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15, 2021</w:t>
      </w:r>
    </w:p>
    <w:p>
      <w:pPr>
        <w:spacing w:after="0" w:line="2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AIRLINES HOLDINGS, INC.</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AIRLINES, INC.</w:t>
      </w:r>
    </w:p>
    <w:p>
      <w:pPr>
        <w:spacing w:after="0" w:line="226" w:lineRule="exact"/>
        <w:rPr>
          <w:sz w:val="24"/>
          <w:szCs w:val="24"/>
          <w:color w:val="auto"/>
        </w:rPr>
      </w:pPr>
    </w:p>
    <w:tbl>
      <w:tblPr>
        <w:tblLayout w:type="fixed"/>
        <w:tblInd w:w="1480" w:type="dxa"/>
        <w:tblCellMar>
          <w:top w:w="0" w:type="dxa"/>
          <w:left w:w="0" w:type="dxa"/>
          <w:bottom w:w="0" w:type="dxa"/>
          <w:right w:w="0" w:type="dxa"/>
        </w:tblCellMar>
      </w:tblPr>
      <w:tr>
        <w:trPr>
          <w:trHeight w:val="234"/>
        </w:trPr>
        <w:tc>
          <w:tcPr>
            <w:tcW w:w="614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000" w:type="dxa"/>
            <w:vAlign w:val="bottom"/>
          </w:tcPr>
          <w:p>
            <w:pPr>
              <w:spacing w:after="0"/>
              <w:rPr>
                <w:sz w:val="20"/>
                <w:szCs w:val="20"/>
                <w:color w:val="auto"/>
              </w:rPr>
            </w:pPr>
          </w:p>
        </w:tc>
      </w:tr>
      <w:tr>
        <w:trPr>
          <w:trHeight w:val="342"/>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0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001-06033</w:t>
            </w: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36-2675207</w:t>
            </w:r>
          </w:p>
        </w:tc>
      </w:tr>
      <w:tr>
        <w:trPr>
          <w:trHeight w:val="234"/>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0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001-10323</w:t>
            </w: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74-2099724</w:t>
            </w:r>
          </w:p>
        </w:tc>
      </w:tr>
      <w:tr>
        <w:trPr>
          <w:trHeight w:val="229"/>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10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color w:val="auto"/>
              </w:rPr>
              <w:t>(Commission File Number)</w:t>
            </w: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342"/>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233 S. Wacker Drive,</w:t>
            </w:r>
          </w:p>
        </w:tc>
        <w:tc>
          <w:tcPr>
            <w:tcW w:w="1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Chicago,</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IL</w:t>
            </w:r>
          </w:p>
        </w:tc>
        <w:tc>
          <w:tcPr>
            <w:tcW w:w="200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234"/>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233 S. Wacker Drive,</w:t>
            </w:r>
          </w:p>
        </w:tc>
        <w:tc>
          <w:tcPr>
            <w:tcW w:w="1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Chicago,</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IL</w:t>
            </w:r>
          </w:p>
        </w:tc>
        <w:tc>
          <w:tcPr>
            <w:tcW w:w="200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234"/>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ind w:left="5500" w:hanging="438"/>
        <w:spacing w:after="0"/>
        <w:tabs>
          <w:tab w:leader="none" w:pos="5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825-4000</w:t>
      </w:r>
    </w:p>
    <w:p>
      <w:pPr>
        <w:spacing w:after="0" w:line="31" w:lineRule="exact"/>
        <w:rPr>
          <w:rFonts w:ascii="Times New Roman" w:cs="Times New Roman" w:eastAsia="Times New Roman" w:hAnsi="Times New Roman"/>
          <w:sz w:val="18"/>
          <w:szCs w:val="18"/>
          <w:b w:val="1"/>
          <w:bCs w:val="1"/>
          <w:color w:val="auto"/>
        </w:rPr>
      </w:pPr>
    </w:p>
    <w:p>
      <w:pPr>
        <w:ind w:left="5500" w:hanging="438"/>
        <w:spacing w:after="0"/>
        <w:tabs>
          <w:tab w:leader="none" w:pos="5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825-4000</w:t>
      </w:r>
    </w:p>
    <w:p>
      <w:pPr>
        <w:spacing w:after="0" w:line="9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48"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3"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64"/>
        </w:trPr>
        <w:tc>
          <w:tcPr>
            <w:tcW w:w="3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United Airlines Holdings, Inc.</w:t>
            </w:r>
          </w:p>
        </w:tc>
        <w:tc>
          <w:tcPr>
            <w:tcW w:w="280" w:type="dxa"/>
            <w:vAlign w:val="bottom"/>
          </w:tcPr>
          <w:p>
            <w:pPr>
              <w:spacing w:after="0"/>
              <w:rPr>
                <w:sz w:val="14"/>
                <w:szCs w:val="14"/>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$0.01 par value</w:t>
            </w:r>
          </w:p>
        </w:tc>
        <w:tc>
          <w:tcPr>
            <w:tcW w:w="280" w:type="dxa"/>
            <w:vAlign w:val="bottom"/>
          </w:tcPr>
          <w:p>
            <w:pPr>
              <w:spacing w:after="0"/>
              <w:rPr>
                <w:sz w:val="14"/>
                <w:szCs w:val="14"/>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UAL</w:t>
            </w:r>
          </w:p>
        </w:tc>
        <w:tc>
          <w:tcPr>
            <w:tcW w:w="240" w:type="dxa"/>
            <w:vAlign w:val="bottom"/>
          </w:tcPr>
          <w:p>
            <w:pPr>
              <w:spacing w:after="0"/>
              <w:rPr>
                <w:sz w:val="14"/>
                <w:szCs w:val="14"/>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171"/>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Airlines, Inc.</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9"/>
              </w:rPr>
              <w:t>None</w:t>
            </w: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None</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None</w:t>
            </w:r>
          </w:p>
        </w:tc>
      </w:tr>
    </w:tbl>
    <w:p>
      <w:pPr>
        <w:spacing w:after="0" w:line="340" w:lineRule="exact"/>
        <w:rPr>
          <w:sz w:val="24"/>
          <w:szCs w:val="24"/>
          <w:color w:val="auto"/>
        </w:rPr>
      </w:pPr>
    </w:p>
    <w:p>
      <w:pPr>
        <w:ind w:right="4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204" w:lineRule="exact"/>
        <w:rPr>
          <w:sz w:val="24"/>
          <w:szCs w:val="24"/>
          <w:color w:val="auto"/>
        </w:rPr>
      </w:pPr>
    </w:p>
    <w:p>
      <w:pPr>
        <w:ind w:right="9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721360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69850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95250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Payroll Support Program Extension Agreement</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United Airlines Holdings, Inc. ("UAL") and United Airlines, Inc., a wholly-owned subsidiary of UAL ("United" and, together with UAL, the "Company") submitted an application to the United States Department of the Treasury (the "U.S. Treasury Department") pursuant to the Payroll Support Program established under Subtitle A of Title IV of Division N of the Consolidated Appropriations Act, 2021 (the "PSP Extension Law").</w:t>
      </w:r>
    </w:p>
    <w:p>
      <w:pPr>
        <w:spacing w:after="0" w:line="12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January 15, 2021, in connection with the Payroll Support Program, United entered into a Payroll Support Program Extension Agreement (the "PSP Agreement") with the U.S. Treasury Department providing the Company with total funding of approximately $2.6 billion.</w:t>
      </w:r>
    </w:p>
    <w:p>
      <w:pPr>
        <w:spacing w:after="0" w:line="10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Pursuant to the PSP Agreement, United and its affiliates will be required to comply with certain provisions of the PSP Extension Law, including, among others, the requirement that all funds provided under the Payroll Support Program will be used by United exclusively for the continuation of payment of its U.S. employee wages, salaries and benefits, including the payment of lost wages, salaries and benefits to returning U.S. employees; requirements to maintain U.S. employment levels from the date of the PSP Agreement through March 31, 2021; the requirements to recall (as such term is defined in the PSP Agreement), not later than 72 hours after the PSP Agreement has been executed, any U.S. employees subject to involuntary termination or furlough between October 1, 2020 and the date of the PSP Agreement, compensate such returning employees for certain lost salary, wages and benefits between December 1, 2020 and the date of the PSP Agreement and restore certain rights and protections for such returning employees; provisions prohibiting certain reductions in U.S. employee wages, salaries and benefits; provisions prohibiting the payment of dividends and the repurchase of certain equity until March 31, 2022; audit and reporting requirements; provisions to comply with certain continuation of service requirements until March 1, 2022; and provisions restricting the payment of certain executive compensation until October 1, 2022.</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January 15, 2021, UAL issued a promissory note (the "PSP Note") to the U.S. Treasury Department evidencing senior unsecured indebtedness of UAL in the initial principal amount of approximately $361 million. The principal amount of the PSP Note will increase in an amount equal to 30% of any disbursement made by the U.S. Treasury Department to United under the PSP Agreement after the initial issuance date. The aggregate principal amount of the PSP Note after all disbursements will be approximately $753 million.</w:t>
      </w:r>
    </w:p>
    <w:p>
      <w:pPr>
        <w:spacing w:after="0" w:line="12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PSP Note will be guaranteed by United, and will mature ten years after issuance on January 15, 2031 (the "Maturity Date"). If any subsidiary of UAL (other than United) guarantees other unsecured indebtedness of UAL with a principal balance in excess of a specified amount, then the subsidiary shall be required to guarantee the obligations of UAL under the PSP Note. UAL may, at its option, prepay the PSP Note, at any time, and from time to time, at par. UAL is required to prepay the PSP Note upon the occurrence of certain change of control triggering events. The PSP Note does not require any amortization, and is to be repaid in full on the Maturity Date.</w:t>
      </w:r>
    </w:p>
    <w:p>
      <w:pPr>
        <w:spacing w:after="0" w:line="1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Interest on the PSP Note is payable semi-annually in arrears on the last business day of March and September of each year, beginning on March 31, 2021, at a rate of 1.00% in years 1 through 5, and at the Secured Overnight Financing Rate (SOFR) plus 2.00% in years 6 through 10.</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Agreement</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the PSP Note, UAL also entered into a warrant agreement (the "Warrant Agreement") with the U.S. Treasury Department on January 15, 2021, pursuant to which UAL will issue to the U.S. Treasury Department warrants to purchase up to approximately 1.7 million shares of UAL common stock, pro rata in conjunction with increases to the principal amount outstanding under the PSP Note (the "Warrants"), with an initial issuance of warrants to purchase up to approximately 0.8 million shares of common stock. The Warrants will have a strike price of $43.26 per share (which was the closing price of UAL's common stock on The Nasdaq Stock Market on December 24, 2020). The Warrants will expire five years after issuance, and are exercisable either through net share settlement in cash or in shares of UAL common stock, at UAL's option.</w:t>
      </w:r>
    </w:p>
    <w:p>
      <w:pPr>
        <w:spacing w:after="0" w:line="13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Warrants contain customary anti-dilution provisions, registration rights and are freely transferable. Pursuant to the terms of the Warrants, Warrant holders do not have any voting rights.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foregoing descriptions do not purport to be complete and are qualified in their entirety by reference to each of the PSP Agreement, the PSP Note, the Warrant Agreement and the Form of Warrant. The PSP Note, the Warrant Agreement, the Form of Warrant and the PSP Agreement are attached as Exhibits 4.1, 4.2, 4.3 and 10.1, respectively, to this Current Report on Form 8-K and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Third Amendment to Loan and Guarantee Agreement</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January 15, 2021 (the "Amendment Date"), the Company entered into a Third Amendment to Loan and Guarantee Agreement, dated as of the Amendment Date (the "Amendment"), which amended the Loan and Guarantee Agreement dated as of September 28, 2020 (as amended and restated by the Restatement Agreement dated November 6, 2020 and by the Second Amendment to Loan and Guarantee Agreement dated as of December 8, 2020, the "Previous Credit Agreement", and, the Previous Credit Agreement, as amended by the Amendment, the "Amended Credit Agreement"), among United, as borrower, UAL, as parent and guarantor, the subsidiaries of UAL other than United party thereto from time to time, as guarantors, the U.S. Treasury Department, as lender, and The Bank of New York Mellon, as administrative agent and collateral agent.</w:t>
      </w:r>
    </w:p>
    <w:p>
      <w:pPr>
        <w:spacing w:after="0" w:line="13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Amendment (i) extends the termination date of the commitments for the $7.491 billion term loan facility (the "Term Loan Facility") under the Amended Credit Agreement from March 26, 2021 to May 28, 2021, and (ii) includes certain technical amendments.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September 28, 2020, United borrowed the initial term loan under the Term Loan Facility in an amount equal to $520 million. United has not borrowed additional amounts under the Term Loan Facility as of the date of this report.</w:t>
      </w:r>
    </w:p>
    <w:p>
      <w:pPr>
        <w:spacing w:after="0" w:line="108" w:lineRule="exact"/>
        <w:rPr>
          <w:sz w:val="20"/>
          <w:szCs w:val="20"/>
          <w:color w:val="auto"/>
        </w:rPr>
      </w:pPr>
    </w:p>
    <w:p>
      <w:pPr>
        <w:ind w:right="80"/>
        <w:spacing w:after="0" w:line="266" w:lineRule="auto"/>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auto"/>
          </w:rPr>
          <w:t xml:space="preserve">The other material terms of the Previous Credit Agreement remain effective as described in the </w:t>
        </w:r>
        <w:r>
          <w:rPr>
            <w:rFonts w:ascii="Times New Roman" w:cs="Times New Roman" w:eastAsia="Times New Roman" w:hAnsi="Times New Roman"/>
            <w:sz w:val="18"/>
            <w:szCs w:val="18"/>
            <w:u w:val="single" w:color="auto"/>
            <w:color w:val="0000FF"/>
          </w:rPr>
          <w:t>Current Report on Form 8-K of the Company filed on</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FF"/>
          </w:rPr>
          <w:t>September 30, 2020</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updated by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Current Report on Form 8-K of the Company filed on November 9, 2020</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by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Current Report on Form 8-K</w:t>
        </w:r>
        <w:r>
          <w:rPr>
            <w:rFonts w:ascii="Times New Roman" w:cs="Times New Roman" w:eastAsia="Times New Roman" w:hAnsi="Times New Roman"/>
            <w:sz w:val="18"/>
            <w:szCs w:val="18"/>
            <w:color w:val="0000FF"/>
          </w:rPr>
          <w:t xml:space="preserve"> of</w:t>
        </w:r>
      </w:hyperlink>
      <w:r>
        <w:rPr>
          <w:rFonts w:ascii="Times New Roman" w:cs="Times New Roman" w:eastAsia="Times New Roman" w:hAnsi="Times New Roman"/>
          <w:sz w:val="18"/>
          <w:szCs w:val="18"/>
          <w:color w:val="0000FF"/>
        </w:rPr>
        <w:t xml:space="preserve"> </w:t>
      </w:r>
      <w:hyperlink r:id="rId15">
        <w:r>
          <w:rPr>
            <w:rFonts w:ascii="Times New Roman" w:cs="Times New Roman" w:eastAsia="Times New Roman" w:hAnsi="Times New Roman"/>
            <w:sz w:val="18"/>
            <w:szCs w:val="18"/>
            <w:u w:val="single" w:color="auto"/>
            <w:color w:val="0000FF"/>
          </w:rPr>
          <w:t>the Company filed on December 8, 2020</w:t>
        </w:r>
        <w:r>
          <w:rPr>
            <w:rFonts w:ascii="Times New Roman" w:cs="Times New Roman" w:eastAsia="Times New Roman" w:hAnsi="Times New Roman"/>
            <w:sz w:val="18"/>
            <w:szCs w:val="18"/>
            <w:color w:val="000000"/>
          </w:rPr>
          <w:t>.</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6963410</wp:posOffset>
            </wp:positionH>
            <wp:positionV relativeFrom="paragraph">
              <wp:posOffset>-175895</wp:posOffset>
            </wp:positionV>
            <wp:extent cx="1238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825" cy="8890"/>
                    </a:xfrm>
                    <a:prstGeom prst="rect">
                      <a:avLst/>
                    </a:prstGeom>
                    <a:noFill/>
                  </pic:spPr>
                </pic:pic>
              </a:graphicData>
            </a:graphic>
          </wp:anchor>
        </w:drawing>
      </w:r>
    </w:p>
    <w:p>
      <w:pPr>
        <w:spacing w:after="0" w:line="102" w:lineRule="exact"/>
        <w:rPr>
          <w:rFonts w:ascii="Times New Roman" w:cs="Times New Roman" w:eastAsia="Times New Roman" w:hAnsi="Times New Roman"/>
          <w:sz w:val="18"/>
          <w:szCs w:val="18"/>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foregoing description does not purport to be complete and is qualified in its entirety by reference to each of the Restatement Agreement dated November 6, 2020 and the Second Amendment to Loan and Guarantee Agreement dated as of December 8, 2020, copies of which will be filed as exhibits to the Company's Annual Report on Form 10-K for the year ending December 31, 2020, and by reference to the Amendment (including the Amended Credit Agreement), a copy of which will be filed as an exhibit to the Company's Quarterly Report on Form 10-Q for the quarter ending March 31, 2021.</w:t>
      </w:r>
    </w:p>
    <w:p>
      <w:pPr>
        <w:spacing w:after="0" w:line="12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62" w:lineRule="exact"/>
        <w:rPr>
          <w:rFonts w:ascii="Times New Roman" w:cs="Times New Roman" w:eastAsia="Times New Roman" w:hAnsi="Times New Roman"/>
          <w:sz w:val="18"/>
          <w:szCs w:val="18"/>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15, 2021, UAL issued a press release announcing the financial results of the Company for fourth quarter and full year 2020. The press release is attached as Exhibit 99.1 and is incorporated herein by reference.</w:t>
      </w:r>
    </w:p>
    <w:p>
      <w:pPr>
        <w:spacing w:after="0" w:line="108" w:lineRule="exact"/>
        <w:rPr>
          <w:rFonts w:ascii="Times New Roman" w:cs="Times New Roman" w:eastAsia="Times New Roman" w:hAnsi="Times New Roman"/>
          <w:sz w:val="18"/>
          <w:szCs w:val="18"/>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is being furnished and shall not be deemed to be "filed" for purposes of Section 18 of the Securities Exchange Act of 1934, as amended (the "Exchange Act"), or otherwise subject to the liabilities of that Section and shall not be deemed incorporated by reference into any registration statement or other document filed pursuant to the Securities Act of 1933, as amended (the "Securities Act"), except as shall be expressly set forth by specific reference in such filing.</w:t>
      </w:r>
    </w:p>
    <w:p>
      <w:pPr>
        <w:spacing w:after="0" w:line="10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5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 information described under Item 1.01 is incorporated herein by reference to the extent responsive to Item 2.03</w:t>
      </w:r>
      <w:r>
        <w:rPr>
          <w:rFonts w:ascii="Times New Roman" w:cs="Times New Roman" w:eastAsia="Times New Roman" w:hAnsi="Times New Roman"/>
          <w:sz w:val="21"/>
          <w:szCs w:val="21"/>
          <w:color w:val="auto"/>
        </w:rPr>
        <w:t>.</w:t>
      </w:r>
    </w:p>
    <w:p>
      <w:pPr>
        <w:spacing w:after="0" w:line="14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148" w:lineRule="exact"/>
        <w:rPr>
          <w:rFonts w:ascii="Times New Roman" w:cs="Times New Roman" w:eastAsia="Times New Roman" w:hAnsi="Times New Roman"/>
          <w:sz w:val="18"/>
          <w:szCs w:val="18"/>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The information described under Item 1.01 is incorporated herein by reference to the extent responsive to Item 3.02. The Warrants were or will be issued pursuant to an exemption from registration provided for under Section 4(a)(2) of the Securities Act.</w:t>
      </w:r>
    </w:p>
    <w:p>
      <w:pPr>
        <w:spacing w:after="0" w:line="10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4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Fourth Quarter and Full Year 2020</w:t>
      </w:r>
    </w:p>
    <w:p>
      <w:pPr>
        <w:spacing w:after="0" w:line="14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 following are certain excerpts from UAL's press release announcing the financial results of the Company for fourth quarter and full year 2020:</w:t>
      </w:r>
    </w:p>
    <w:p>
      <w:pPr>
        <w:spacing w:after="0" w:line="158" w:lineRule="exact"/>
        <w:rPr>
          <w:rFonts w:ascii="Times New Roman" w:cs="Times New Roman" w:eastAsia="Times New Roman" w:hAnsi="Times New Roman"/>
          <w:sz w:val="18"/>
          <w:szCs w:val="18"/>
          <w:color w:val="auto"/>
        </w:rPr>
      </w:pPr>
    </w:p>
    <w:p>
      <w:pPr>
        <w:ind w:left="660" w:right="300" w:hanging="328"/>
        <w:spacing w:after="0" w:line="26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beginning of the COVID-19 crisis, United has raised over $26 billion in liquidity and made important progress in reducing core cash burn (see detailed chart below) to ensure the company's survival. Over the last three quarters, the company has identified $1.4 billion of annual cost savings and has a path to achieve at least $2.0 billion in structural reductions moving forward. United ended 2020 with $19.7 billion in liquidity</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including an undrawn revolver and funds available under the CARES Act loan program from the U.S. Treasury.</w:t>
      </w:r>
    </w:p>
    <w:p>
      <w:pPr>
        <w:spacing w:after="0" w:line="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fourth-quarter net loss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of $1.9 billion, $7.1 billion for the full-year 2020.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3" w:name="page4"/>
    <w:bookmarkEnd w:id="3"/>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fourth-quarter total operating revenue of $3.4 billion, down 69% versus fourth-quarter 2019.</w:t>
      </w:r>
    </w:p>
    <w:p>
      <w:pPr>
        <w:spacing w:after="0" w:line="171" w:lineRule="exact"/>
        <w:rPr>
          <w:rFonts w:ascii="Times New Roman" w:cs="Times New Roman" w:eastAsia="Times New Roman" w:hAnsi="Times New Roman"/>
          <w:sz w:val="18"/>
          <w:szCs w:val="18"/>
          <w:color w:val="auto"/>
        </w:rPr>
      </w:pPr>
    </w:p>
    <w:p>
      <w:pPr>
        <w:ind w:left="660" w:right="2500" w:hanging="328"/>
        <w:spacing w:after="0" w:line="3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fourth-quarter operating expenses down 45% versus fourth-quarter 2019, down 42% excluding special charges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p>
      <w:pPr>
        <w:ind w:left="660" w:right="1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$968 million in net proceeds from the sale of 20.8 million shares in the ATM program in the fourth quarter 2020. For the full year 2020, total net proceeds were $989 million from the sale of 21.4 million shares through the ATM program.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Expects first quarter 2021 capacity to be down at least 51 percent versus the first quarter of 2019.</w:t>
      </w:r>
    </w:p>
    <w:p>
      <w:pPr>
        <w:spacing w:after="0" w:line="1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fourth-quarter daily cash burn</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of $23 million, plus $10 million of average debt principal payments and severance payments per day.</w:t>
      </w:r>
    </w:p>
    <w:p>
      <w:pPr>
        <w:spacing w:after="0" w:line="1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fourth-quarter core cash burn</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of $19 million per day, an improvement of an average of $5 million per day versus the third-quarter 2020.</w:t>
      </w:r>
    </w:p>
    <w:p>
      <w:pPr>
        <w:spacing w:after="0" w:line="113" w:lineRule="exact"/>
        <w:rPr>
          <w:rFonts w:ascii="Times New Roman" w:cs="Times New Roman" w:eastAsia="Times New Roman" w:hAnsi="Times New Roman"/>
          <w:sz w:val="18"/>
          <w:szCs w:val="18"/>
          <w:color w:val="auto"/>
        </w:rPr>
      </w:pPr>
    </w:p>
    <w:p>
      <w:pPr>
        <w:ind w:left="660" w:right="680" w:hanging="328"/>
        <w:spacing w:after="0" w:line="23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cash burn captures underlying operational performance of the company throughout the pandemic; a reconciliation with cash burn</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is provided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$M/day</w:t>
            </w: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2Q20</w:t>
            </w: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3Q20</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4Q20</w:t>
            </w:r>
          </w:p>
        </w:tc>
      </w:tr>
      <w:tr>
        <w:trPr>
          <w:trHeight w:val="131"/>
        </w:trPr>
        <w:tc>
          <w:tcPr>
            <w:tcW w:w="60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r>
      <w:tr>
        <w:trPr>
          <w:trHeight w:val="216"/>
        </w:trPr>
        <w:tc>
          <w:tcPr>
            <w:tcW w:w="62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Cash burn</w:t>
            </w:r>
            <w:r>
              <w:rPr>
                <w:rFonts w:ascii="Times New Roman" w:cs="Times New Roman" w:eastAsia="Times New Roman" w:hAnsi="Times New Roman"/>
                <w:sz w:val="21"/>
                <w:szCs w:val="21"/>
                <w:color w:val="auto"/>
                <w:vertAlign w:val="superscript"/>
              </w:rPr>
              <w:t>4</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$(40)</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$(33)</w:t>
            </w:r>
          </w:p>
        </w:tc>
      </w:tr>
      <w:tr>
        <w:trPr>
          <w:trHeight w:val="213"/>
        </w:trPr>
        <w:tc>
          <w:tcPr>
            <w:tcW w:w="6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Debt principal and severance payments</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w:t>
            </w:r>
          </w:p>
        </w:tc>
        <w:tc>
          <w:tcPr>
            <w:tcW w:w="2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w:t>
            </w:r>
          </w:p>
        </w:tc>
      </w:tr>
      <w:tr>
        <w:trPr>
          <w:trHeight w:val="219"/>
        </w:trPr>
        <w:tc>
          <w:tcPr>
            <w:tcW w:w="6200" w:type="dxa"/>
            <w:vAlign w:val="bottom"/>
            <w:gridSpan w:val="2"/>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Timing of certain payments</w:t>
            </w:r>
            <w:r>
              <w:rPr>
                <w:rFonts w:ascii="Times New Roman" w:cs="Times New Roman" w:eastAsia="Times New Roman" w:hAnsi="Times New Roman"/>
                <w:sz w:val="21"/>
                <w:szCs w:val="21"/>
                <w:color w:val="auto"/>
                <w:vertAlign w:val="superscript"/>
              </w:rPr>
              <w:t>5</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w:t>
            </w:r>
          </w:p>
        </w:tc>
      </w:tr>
      <w:tr>
        <w:trPr>
          <w:trHeight w:val="216"/>
        </w:trPr>
        <w:tc>
          <w:tcPr>
            <w:tcW w:w="620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6"/>
                <w:szCs w:val="16"/>
                <w:color w:val="auto"/>
              </w:rPr>
              <w:t>Investments in the recovery</w:t>
            </w:r>
            <w:r>
              <w:rPr>
                <w:rFonts w:ascii="Times New Roman" w:cs="Times New Roman" w:eastAsia="Times New Roman" w:hAnsi="Times New Roman"/>
                <w:sz w:val="21"/>
                <w:szCs w:val="21"/>
                <w:color w:val="auto"/>
                <w:vertAlign w:val="superscript"/>
              </w:rPr>
              <w:t>6</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w:t>
            </w:r>
          </w:p>
        </w:tc>
      </w:tr>
      <w:tr>
        <w:trPr>
          <w:trHeight w:val="213"/>
        </w:trPr>
        <w:tc>
          <w:tcPr>
            <w:tcW w:w="6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Capital expenditures, net of flight equipment purchase deposit returns</w:t>
            </w:r>
          </w:p>
        </w:tc>
        <w:tc>
          <w:tcPr>
            <w:tcW w:w="1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w:t>
            </w:r>
          </w:p>
        </w:tc>
      </w:tr>
      <w:tr>
        <w:trPr>
          <w:trHeight w:val="212"/>
        </w:trPr>
        <w:tc>
          <w:tcPr>
            <w:tcW w:w="620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16"/>
                <w:szCs w:val="16"/>
                <w:b w:val="1"/>
                <w:bCs w:val="1"/>
                <w:color w:val="auto"/>
              </w:rPr>
              <w:t>Core cash burn</w:t>
            </w:r>
            <w:r>
              <w:rPr>
                <w:rFonts w:ascii="Times New Roman" w:cs="Times New Roman" w:eastAsia="Times New Roman" w:hAnsi="Times New Roman"/>
                <w:sz w:val="21"/>
                <w:szCs w:val="21"/>
                <w:b w:val="1"/>
                <w:bCs w:val="1"/>
                <w:color w:val="auto"/>
                <w:vertAlign w:val="superscript"/>
              </w:rPr>
              <w:t>4</w:t>
            </w:r>
          </w:p>
        </w:tc>
        <w:tc>
          <w:tcPr>
            <w:tcW w:w="1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$(38)</w:t>
            </w:r>
          </w:p>
        </w:tc>
        <w:tc>
          <w:tcPr>
            <w:tcW w:w="24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$(24)</w:t>
            </w:r>
          </w:p>
        </w:tc>
        <w:tc>
          <w:tcPr>
            <w:tcW w:w="24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$(19)</w:t>
            </w:r>
          </w:p>
        </w:tc>
      </w:tr>
      <w:tr>
        <w:trPr>
          <w:trHeight w:val="21"/>
        </w:trPr>
        <w:tc>
          <w:tcPr>
            <w:tcW w:w="6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000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pacing w:after="0" w:line="296" w:lineRule="exact"/>
        <w:rPr>
          <w:sz w:val="20"/>
          <w:szCs w:val="20"/>
          <w:color w:val="auto"/>
        </w:rPr>
      </w:pPr>
    </w:p>
    <w:p>
      <w:pPr>
        <w:ind w:right="160" w:firstLine="8"/>
        <w:spacing w:after="0" w:line="225" w:lineRule="auto"/>
        <w:tabs>
          <w:tab w:leader="none" w:pos="68"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Total available liquidity includes cash and cash equivalents, short-term investments and $1 billion available under our undrawn revolving credit facility, as well as $7 billion available under the CARES Act Loan program.</w:t>
      </w:r>
    </w:p>
    <w:p>
      <w:pPr>
        <w:ind w:right="2280"/>
        <w:spacing w:after="0" w:line="21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2</w:t>
      </w:r>
      <w:r>
        <w:rPr>
          <w:rFonts w:ascii="Arial" w:cs="Arial" w:eastAsia="Arial" w:hAnsi="Arial"/>
          <w:sz w:val="13"/>
          <w:szCs w:val="13"/>
          <w:color w:val="auto"/>
        </w:rPr>
        <w:t xml:space="preserve"> Excludes operating and nonoperating special charges, and unrealized gains and losses on investments. Reconciliations of non-GAAP financial measures to the most directly comparable GAAP measures are included in the tables accompanying this release.</w:t>
      </w:r>
    </w:p>
    <w:p>
      <w:pPr>
        <w:spacing w:after="0" w:line="1" w:lineRule="exact"/>
        <w:rPr>
          <w:rFonts w:ascii="Arial" w:cs="Arial" w:eastAsia="Arial" w:hAnsi="Arial"/>
          <w:sz w:val="16"/>
          <w:szCs w:val="16"/>
          <w:color w:val="auto"/>
          <w:vertAlign w:val="superscript"/>
        </w:rPr>
      </w:pPr>
    </w:p>
    <w:p>
      <w:pPr>
        <w:spacing w:after="0" w:line="19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3</w:t>
      </w:r>
      <w:r>
        <w:rPr>
          <w:rFonts w:ascii="Arial" w:cs="Arial" w:eastAsia="Arial" w:hAnsi="Arial"/>
          <w:sz w:val="13"/>
          <w:szCs w:val="13"/>
          <w:color w:val="auto"/>
        </w:rPr>
        <w:t xml:space="preserve"> Reconciliations of non-GAAP financial measures to the most directly comparable GAAP measures are included in the tables accompanying this release.</w:t>
      </w:r>
    </w:p>
    <w:p>
      <w:pPr>
        <w:spacing w:after="0" w:line="209"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4</w:t>
      </w:r>
      <w:r>
        <w:rPr>
          <w:rFonts w:ascii="Arial" w:cs="Arial" w:eastAsia="Arial" w:hAnsi="Arial"/>
          <w:sz w:val="13"/>
          <w:szCs w:val="13"/>
          <w:color w:val="auto"/>
        </w:rPr>
        <w:t xml:space="preserve"> Cash burn, as previously guided, is defined as: Net cash from operations, less investing and financing activities. Proceeds from the issuance of new debt (excluding expected aircraft financing), government grants associated with the Payroll Support Program of the CARES Act, issuance of new stock, net proceeds from the sale of short-term and other investments and changes in certain restricted cash balances are not included in this figure. Core cash burn is defined as: Cash burn, as further adjusted to exclude: debt principal payments, timing of certain payments</w:t>
      </w:r>
      <w:r>
        <w:rPr>
          <w:rFonts w:ascii="Arial" w:cs="Arial" w:eastAsia="Arial" w:hAnsi="Arial"/>
          <w:sz w:val="16"/>
          <w:szCs w:val="16"/>
          <w:color w:val="auto"/>
          <w:vertAlign w:val="superscript"/>
        </w:rPr>
        <w:t>5</w:t>
      </w:r>
      <w:r>
        <w:rPr>
          <w:rFonts w:ascii="Arial" w:cs="Arial" w:eastAsia="Arial" w:hAnsi="Arial"/>
          <w:sz w:val="13"/>
          <w:szCs w:val="13"/>
          <w:color w:val="auto"/>
        </w:rPr>
        <w:t>, capital expenditures (net of flight equipment purchase deposit returns), investments in the recovery</w:t>
      </w:r>
      <w:r>
        <w:rPr>
          <w:rFonts w:ascii="Arial" w:cs="Arial" w:eastAsia="Arial" w:hAnsi="Arial"/>
          <w:sz w:val="16"/>
          <w:szCs w:val="16"/>
          <w:color w:val="auto"/>
          <w:vertAlign w:val="superscript"/>
        </w:rPr>
        <w:t>6</w:t>
      </w:r>
      <w:r>
        <w:rPr>
          <w:rFonts w:ascii="Arial" w:cs="Arial" w:eastAsia="Arial" w:hAnsi="Arial"/>
          <w:sz w:val="13"/>
          <w:szCs w:val="13"/>
          <w:color w:val="auto"/>
        </w:rPr>
        <w:t xml:space="preserve"> and severance payments. Amounts may not add due to rounding. See the tables accompanying this release for further information.</w:t>
      </w:r>
    </w:p>
    <w:p>
      <w:pPr>
        <w:spacing w:after="0" w:line="1" w:lineRule="exact"/>
        <w:rPr>
          <w:rFonts w:ascii="Arial" w:cs="Arial" w:eastAsia="Arial" w:hAnsi="Arial"/>
          <w:sz w:val="16"/>
          <w:szCs w:val="16"/>
          <w:color w:val="auto"/>
          <w:vertAlign w:val="superscript"/>
        </w:rPr>
      </w:pPr>
    </w:p>
    <w:p>
      <w:pPr>
        <w:ind w:right="300"/>
        <w:spacing w:after="0" w:line="21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5</w:t>
      </w:r>
      <w:r>
        <w:rPr>
          <w:rFonts w:ascii="Arial" w:cs="Arial" w:eastAsia="Arial" w:hAnsi="Arial"/>
          <w:sz w:val="13"/>
          <w:szCs w:val="13"/>
          <w:color w:val="auto"/>
        </w:rPr>
        <w:t xml:space="preserve"> Timing of certain payments refers to exclusion of payments in the quarter that had been deferred from prior periods or additions of payments that were deferred to a future period to maximize cash preservation.</w:t>
      </w:r>
    </w:p>
    <w:p>
      <w:pPr>
        <w:spacing w:after="0" w:line="1" w:lineRule="exact"/>
        <w:rPr>
          <w:rFonts w:ascii="Arial" w:cs="Arial" w:eastAsia="Arial" w:hAnsi="Arial"/>
          <w:sz w:val="16"/>
          <w:szCs w:val="16"/>
          <w:color w:val="auto"/>
          <w:vertAlign w:val="superscript"/>
        </w:rPr>
      </w:pPr>
    </w:p>
    <w:p>
      <w:pPr>
        <w:spacing w:after="0"/>
        <w:rPr>
          <w:rFonts w:ascii="Arial" w:cs="Arial" w:eastAsia="Arial" w:hAnsi="Arial"/>
          <w:sz w:val="16"/>
          <w:szCs w:val="16"/>
          <w:color w:val="auto"/>
          <w:vertAlign w:val="superscript"/>
        </w:rPr>
      </w:pPr>
      <w:r>
        <w:rPr>
          <w:rFonts w:ascii="Arial" w:cs="Arial" w:eastAsia="Arial" w:hAnsi="Arial"/>
          <w:sz w:val="16"/>
          <w:szCs w:val="16"/>
          <w:color w:val="auto"/>
          <w:vertAlign w:val="superscript"/>
        </w:rPr>
        <w:t>6</w:t>
      </w:r>
      <w:r>
        <w:rPr>
          <w:rFonts w:ascii="Arial" w:cs="Arial" w:eastAsia="Arial" w:hAnsi="Arial"/>
          <w:sz w:val="13"/>
          <w:szCs w:val="13"/>
          <w:color w:val="auto"/>
        </w:rPr>
        <w:t xml:space="preserve"> Investments in the recovery primarily include, but are not limited to, spending on engine and airframe maintenance to prepare for the efficient operations ramp up as air travel demand returns.</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CONSOLIDATED OPERATIONS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color w:val="auto"/>
              </w:rPr>
              <w:t>Three Months Ended</w:t>
            </w:r>
          </w:p>
        </w:tc>
        <w:tc>
          <w:tcPr>
            <w:tcW w:w="112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color w:val="auto"/>
              </w:rPr>
              <w:t>Year Ended</w:t>
            </w:r>
          </w:p>
        </w:tc>
        <w:tc>
          <w:tcPr>
            <w:tcW w:w="112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95"/>
        </w:trPr>
        <w:tc>
          <w:tcPr>
            <w:tcW w:w="4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20" w:type="dxa"/>
            <w:vAlign w:val="bottom"/>
            <w:gridSpan w:val="4"/>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December 31,</w:t>
            </w:r>
          </w:p>
        </w:tc>
        <w:tc>
          <w:tcPr>
            <w:tcW w:w="11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60" w:type="dxa"/>
            <w:vAlign w:val="bottom"/>
            <w:gridSpan w:val="4"/>
            <w:vMerge w:val="restart"/>
          </w:tcPr>
          <w:p>
            <w:pPr>
              <w:jc w:val="right"/>
              <w:ind w:right="339"/>
              <w:spacing w:after="0"/>
              <w:rPr>
                <w:sz w:val="20"/>
                <w:szCs w:val="20"/>
                <w:color w:val="auto"/>
              </w:rPr>
            </w:pPr>
            <w:r>
              <w:rPr>
                <w:rFonts w:ascii="Times New Roman" w:cs="Times New Roman" w:eastAsia="Times New Roman" w:hAnsi="Times New Roman"/>
                <w:sz w:val="16"/>
                <w:szCs w:val="16"/>
                <w:color w:val="auto"/>
              </w:rPr>
              <w:t>December 31,</w:t>
            </w:r>
          </w:p>
        </w:tc>
        <w:tc>
          <w:tcPr>
            <w:tcW w:w="1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4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2"/>
            <w:vMerge w:val="restart"/>
          </w:tcPr>
          <w:p>
            <w:pPr>
              <w:jc w:val="center"/>
              <w:ind w:right="860"/>
              <w:spacing w:after="0" w:line="162" w:lineRule="exact"/>
              <w:rPr>
                <w:sz w:val="20"/>
                <w:szCs w:val="20"/>
                <w:color w:val="auto"/>
              </w:rPr>
            </w:pPr>
            <w:r>
              <w:rPr>
                <w:rFonts w:ascii="Times New Roman" w:cs="Times New Roman" w:eastAsia="Times New Roman" w:hAnsi="Times New Roman"/>
                <w:sz w:val="16"/>
                <w:szCs w:val="16"/>
                <w:color w:val="auto"/>
              </w:rPr>
              <w:t>Increase/</w:t>
            </w:r>
          </w:p>
        </w:tc>
        <w:tc>
          <w:tcPr>
            <w:tcW w:w="1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Increase/</w:t>
            </w:r>
          </w:p>
        </w:tc>
        <w:tc>
          <w:tcPr>
            <w:tcW w:w="0" w:type="dxa"/>
            <w:vAlign w:val="bottom"/>
          </w:tcPr>
          <w:p>
            <w:pPr>
              <w:spacing w:after="0"/>
              <w:rPr>
                <w:sz w:val="1"/>
                <w:szCs w:val="1"/>
                <w:color w:val="auto"/>
              </w:rPr>
            </w:pPr>
          </w:p>
        </w:tc>
      </w:tr>
      <w:tr>
        <w:trPr>
          <w:trHeight w:val="26"/>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millions, except per share data)</w:t>
            </w:r>
          </w:p>
        </w:tc>
        <w:tc>
          <w:tcPr>
            <w:tcW w:w="200" w:type="dxa"/>
            <w:vAlign w:val="bottom"/>
          </w:tcPr>
          <w:p>
            <w:pPr>
              <w:spacing w:after="0"/>
              <w:rPr>
                <w:sz w:val="2"/>
                <w:szCs w:val="2"/>
                <w:color w:val="auto"/>
              </w:rPr>
            </w:pPr>
          </w:p>
        </w:tc>
        <w:tc>
          <w:tcPr>
            <w:tcW w:w="7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Pr>
          <w:p>
            <w:pPr>
              <w:spacing w:after="0"/>
              <w:rPr>
                <w:sz w:val="2"/>
                <w:szCs w:val="2"/>
                <w:color w:val="auto"/>
              </w:rPr>
            </w:pPr>
          </w:p>
        </w:tc>
        <w:tc>
          <w:tcPr>
            <w:tcW w:w="1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center"/>
              <w:ind w:right="860"/>
              <w:spacing w:after="0"/>
              <w:rPr>
                <w:sz w:val="20"/>
                <w:szCs w:val="20"/>
                <w:color w:val="auto"/>
              </w:rPr>
            </w:pPr>
            <w:r>
              <w:rPr>
                <w:rFonts w:ascii="Times New Roman" w:cs="Times New Roman" w:eastAsia="Times New Roman" w:hAnsi="Times New Roman"/>
                <w:sz w:val="16"/>
                <w:szCs w:val="16"/>
                <w:color w:val="auto"/>
              </w:rPr>
              <w:t>(Decrease)</w:t>
            </w: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19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w:t>
            </w: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Passenger</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8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39,625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Cargo</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operating revenue</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8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operating revenue</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43,259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0" w:type="dxa"/>
            <w:vAlign w:val="bottom"/>
          </w:tcPr>
          <w:p>
            <w:pPr>
              <w:spacing w:after="0"/>
              <w:rPr>
                <w:sz w:val="1"/>
                <w:szCs w:val="1"/>
                <w:color w:val="auto"/>
              </w:rPr>
            </w:pPr>
          </w:p>
        </w:tc>
      </w:tr>
      <w:tr>
        <w:trPr>
          <w:trHeight w:val="91"/>
        </w:trPr>
        <w:tc>
          <w:tcPr>
            <w:tcW w:w="4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Salaries and related costs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Aircraft fuel</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Regional capacity purchase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Landing fees and other rent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Aircraft maintenance materials and outside repairs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Distribution expenses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Aircraft rent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Special charges (credits)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18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8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0" w:type="dxa"/>
            <w:vAlign w:val="bottom"/>
          </w:tcPr>
          <w:p>
            <w:pPr>
              <w:spacing w:after="0"/>
              <w:rPr>
                <w:sz w:val="1"/>
                <w:szCs w:val="1"/>
                <w:color w:val="auto"/>
              </w:rPr>
            </w:pPr>
          </w:p>
        </w:tc>
      </w:tr>
      <w:tr>
        <w:trPr>
          <w:trHeight w:val="207"/>
        </w:trPr>
        <w:tc>
          <w:tcPr>
            <w:tcW w:w="4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operating expense</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10,027</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8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21,714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38,958</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0" w:type="dxa"/>
            <w:vAlign w:val="bottom"/>
          </w:tcPr>
          <w:p>
            <w:pPr>
              <w:spacing w:after="0"/>
              <w:rPr>
                <w:sz w:val="1"/>
                <w:szCs w:val="1"/>
                <w:color w:val="auto"/>
              </w:rPr>
            </w:pPr>
          </w:p>
        </w:tc>
      </w:tr>
      <w:tr>
        <w:trPr>
          <w:trHeight w:val="91"/>
        </w:trPr>
        <w:tc>
          <w:tcPr>
            <w:tcW w:w="4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tcPr>
          <w:p>
            <w:pPr>
              <w:spacing w:after="0"/>
              <w:rPr>
                <w:sz w:val="18"/>
                <w:szCs w:val="18"/>
                <w:color w:val="auto"/>
              </w:rPr>
            </w:pPr>
          </w:p>
        </w:tc>
        <w:tc>
          <w:tcPr>
            <w:tcW w:w="18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4,301</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11"/>
        </w:trPr>
        <w:tc>
          <w:tcPr>
            <w:tcW w:w="4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Nonoperating income (expense):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capitalized</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Unrealized gains (losses) on investments, net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Miscellaneous, net</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7"/>
        </w:trPr>
        <w:tc>
          <w:tcPr>
            <w:tcW w:w="4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nonoperating expense</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7"/>
                <w:szCs w:val="17"/>
                <w:color w:val="auto"/>
              </w:rPr>
            </w:pPr>
          </w:p>
        </w:tc>
        <w:tc>
          <w:tcPr>
            <w:tcW w:w="1880" w:type="dxa"/>
            <w:vAlign w:val="bottom"/>
            <w:tcBorders>
              <w:bottom w:val="single" w:sz="8" w:color="CCEEFF"/>
            </w:tcBorders>
            <w:gridSpan w:val="2"/>
          </w:tcPr>
          <w:p>
            <w:pPr>
              <w:ind w:left="74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91"/>
        </w:trPr>
        <w:tc>
          <w:tcPr>
            <w:tcW w:w="4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tcPr>
          <w:p>
            <w:pPr>
              <w:spacing w:after="0"/>
              <w:rPr>
                <w:sz w:val="18"/>
                <w:szCs w:val="18"/>
                <w:color w:val="auto"/>
              </w:rPr>
            </w:pPr>
          </w:p>
        </w:tc>
        <w:tc>
          <w:tcPr>
            <w:tcW w:w="18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11"/>
        </w:trPr>
        <w:tc>
          <w:tcPr>
            <w:tcW w:w="4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gridSpan w:val="2"/>
          </w:tcPr>
          <w:p>
            <w:pPr>
              <w:ind w:left="74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weighted average shares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line="20" w:lineRule="exact"/>
              <w:rPr>
                <w:sz w:val="1"/>
                <w:szCs w:val="1"/>
                <w:color w:val="auto"/>
              </w:rPr>
            </w:pPr>
          </w:p>
        </w:tc>
      </w:tr>
      <w:tr>
        <w:trPr>
          <w:trHeight w:val="184"/>
        </w:trPr>
        <w:tc>
          <w:tcPr>
            <w:tcW w:w="44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w:t>
            </w:r>
          </w:p>
        </w:tc>
        <w:tc>
          <w:tcPr>
            <w:tcW w:w="112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w:t>
            </w: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PASSENGER REVENUE INFORMATION AND STATISTICS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Passenger revenue information is as follows (in millions, except for percentage changes):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4Q 2020</w:t>
            </w:r>
          </w:p>
        </w:tc>
        <w:tc>
          <w:tcPr>
            <w:tcW w:w="10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Passenger</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Available</w:t>
            </w: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rPr>
              <w:t>4Q 2020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4Q 2020</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w w:val="99"/>
              </w:rPr>
              <w:t>Revenue</w:t>
            </w: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PRASM vs.</w:t>
            </w:r>
          </w:p>
        </w:tc>
        <w:tc>
          <w:tcPr>
            <w:tcW w:w="12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Yield vs.</w:t>
            </w:r>
          </w:p>
        </w:tc>
        <w:tc>
          <w:tcPr>
            <w:tcW w:w="12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Seat Miles</w:t>
            </w:r>
          </w:p>
        </w:tc>
        <w:tc>
          <w:tcPr>
            <w:tcW w:w="120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159"/>
              <w:spacing w:after="0" w:line="162" w:lineRule="exact"/>
              <w:rPr>
                <w:sz w:val="20"/>
                <w:szCs w:val="20"/>
                <w:color w:val="auto"/>
              </w:rPr>
            </w:pPr>
            <w:r>
              <w:rPr>
                <w:rFonts w:ascii="Times New Roman" w:cs="Times New Roman" w:eastAsia="Times New Roman" w:hAnsi="Times New Roman"/>
                <w:sz w:val="16"/>
                <w:szCs w:val="16"/>
                <w:color w:val="auto"/>
              </w:rPr>
              <w:t>Passenger</w:t>
            </w:r>
          </w:p>
        </w:tc>
        <w:tc>
          <w:tcPr>
            <w:tcW w:w="100" w:type="dxa"/>
            <w:vAlign w:val="bottom"/>
          </w:tcPr>
          <w:p>
            <w:pPr>
              <w:spacing w:after="0"/>
              <w:rPr>
                <w:sz w:val="14"/>
                <w:szCs w:val="14"/>
                <w:color w:val="auto"/>
              </w:rPr>
            </w:pPr>
          </w:p>
        </w:tc>
        <w:tc>
          <w:tcPr>
            <w:tcW w:w="12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w w:val="98"/>
              </w:rPr>
              <w:t>vs.</w:t>
            </w:r>
          </w:p>
        </w:tc>
        <w:tc>
          <w:tcPr>
            <w:tcW w:w="120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w w:val="98"/>
              </w:rPr>
              <w:t>vs.</w:t>
            </w:r>
          </w:p>
        </w:tc>
        <w:tc>
          <w:tcPr>
            <w:tcW w:w="12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Available Seat</w:t>
            </w: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Revenue</w:t>
            </w:r>
          </w:p>
        </w:tc>
        <w:tc>
          <w:tcPr>
            <w:tcW w:w="0" w:type="dxa"/>
            <w:vAlign w:val="bottom"/>
          </w:tcPr>
          <w:p>
            <w:pPr>
              <w:spacing w:after="0"/>
              <w:rPr>
                <w:sz w:val="1"/>
                <w:szCs w:val="1"/>
                <w:color w:val="auto"/>
              </w:rPr>
            </w:pPr>
          </w:p>
        </w:tc>
      </w:tr>
      <w:tr>
        <w:trPr>
          <w:trHeight w:val="213"/>
        </w:trPr>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4Q 2019</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4Q 2019</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4Q 2019</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4Q 2019</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Miles</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Passenger Miles</w:t>
            </w:r>
          </w:p>
        </w:tc>
        <w:tc>
          <w:tcPr>
            <w:tcW w:w="0" w:type="dxa"/>
            <w:vAlign w:val="bottom"/>
          </w:tcPr>
          <w:p>
            <w:pPr>
              <w:spacing w:after="0"/>
              <w:rPr>
                <w:sz w:val="1"/>
                <w:szCs w:val="1"/>
                <w:color w:val="auto"/>
              </w:rPr>
            </w:pPr>
          </w:p>
        </w:tc>
      </w:tr>
      <w:tr>
        <w:trPr>
          <w:trHeight w:val="212"/>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(71.6%)</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19,166</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12,417</w:t>
            </w:r>
          </w:p>
        </w:tc>
        <w:tc>
          <w:tcPr>
            <w:tcW w:w="0" w:type="dxa"/>
            <w:vAlign w:val="bottom"/>
          </w:tcPr>
          <w:p>
            <w:pPr>
              <w:spacing w:after="0"/>
              <w:rPr>
                <w:sz w:val="1"/>
                <w:szCs w:val="1"/>
                <w:color w:val="auto"/>
              </w:rPr>
            </w:pPr>
          </w:p>
        </w:tc>
      </w:tr>
      <w:tr>
        <w:trPr>
          <w:trHeight w:val="257"/>
        </w:trPr>
        <w:tc>
          <w:tcPr>
            <w:tcW w:w="2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Atlantic</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(87.7%)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(90.8%)</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Latin America</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w:t>
            </w:r>
          </w:p>
        </w:tc>
        <w:tc>
          <w:tcPr>
            <w:tcW w:w="0" w:type="dxa"/>
            <w:vAlign w:val="bottom"/>
          </w:tcPr>
          <w:p>
            <w:pPr>
              <w:spacing w:after="0"/>
              <w:rPr>
                <w:sz w:val="1"/>
                <w:szCs w:val="1"/>
                <w:color w:val="auto"/>
              </w:rPr>
            </w:pPr>
          </w:p>
        </w:tc>
      </w:tr>
      <w:tr>
        <w:trPr>
          <w:trHeight w:val="207"/>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(82.9%)</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11,525</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4,654</w:t>
            </w:r>
          </w:p>
        </w:tc>
        <w:tc>
          <w:tcPr>
            <w:tcW w:w="0" w:type="dxa"/>
            <w:vAlign w:val="bottom"/>
          </w:tcPr>
          <w:p>
            <w:pPr>
              <w:spacing w:after="0"/>
              <w:rPr>
                <w:sz w:val="1"/>
                <w:szCs w:val="1"/>
                <w:color w:val="auto"/>
              </w:rPr>
            </w:pPr>
          </w:p>
        </w:tc>
      </w:tr>
      <w:tr>
        <w:trPr>
          <w:trHeight w:val="259"/>
        </w:trPr>
        <w:tc>
          <w:tcPr>
            <w:tcW w:w="29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2,410</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(75.7%)</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30,691</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17,071</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 operating statistics are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color w:val="auto"/>
              </w:rPr>
              <w:t>Three Months Ended</w:t>
            </w:r>
          </w:p>
        </w:tc>
        <w:tc>
          <w:tcPr>
            <w:tcW w:w="104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Year Ended</w:t>
            </w:r>
          </w:p>
        </w:tc>
        <w:tc>
          <w:tcPr>
            <w:tcW w:w="740" w:type="dxa"/>
            <w:vAlign w:val="bottom"/>
          </w:tcPr>
          <w:p>
            <w:pPr>
              <w:spacing w:after="0"/>
              <w:rPr>
                <w:sz w:val="16"/>
                <w:szCs w:val="16"/>
                <w:color w:val="auto"/>
              </w:rPr>
            </w:pPr>
          </w:p>
        </w:tc>
        <w:tc>
          <w:tcPr>
            <w:tcW w:w="106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3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900" w:type="dxa"/>
            <w:vAlign w:val="bottom"/>
            <w:gridSpan w:val="4"/>
            <w:vMerge w:val="restart"/>
          </w:tcPr>
          <w:p>
            <w:pPr>
              <w:jc w:val="right"/>
              <w:ind w:right="519"/>
              <w:spacing w:after="0"/>
              <w:rPr>
                <w:sz w:val="20"/>
                <w:szCs w:val="20"/>
                <w:color w:val="auto"/>
              </w:rPr>
            </w:pPr>
            <w:r>
              <w:rPr>
                <w:rFonts w:ascii="Times New Roman" w:cs="Times New Roman" w:eastAsia="Times New Roman" w:hAnsi="Times New Roman"/>
                <w:sz w:val="16"/>
                <w:szCs w:val="16"/>
                <w:color w:val="auto"/>
              </w:rPr>
              <w:t>December 31,</w:t>
            </w:r>
          </w:p>
        </w:tc>
        <w:tc>
          <w:tcPr>
            <w:tcW w:w="104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0" w:type="dxa"/>
            <w:vAlign w:val="bottom"/>
            <w:gridSpan w:val="4"/>
            <w:vMerge w:val="restart"/>
          </w:tcPr>
          <w:p>
            <w:pPr>
              <w:jc w:val="right"/>
              <w:ind w:right="579"/>
              <w:spacing w:after="0"/>
              <w:rPr>
                <w:sz w:val="20"/>
                <w:szCs w:val="20"/>
                <w:color w:val="auto"/>
              </w:rPr>
            </w:pPr>
            <w:r>
              <w:rPr>
                <w:rFonts w:ascii="Times New Roman" w:cs="Times New Roman" w:eastAsia="Times New Roman" w:hAnsi="Times New Roman"/>
                <w:sz w:val="16"/>
                <w:szCs w:val="16"/>
                <w:color w:val="auto"/>
              </w:rPr>
              <w:t>December 31,</w:t>
            </w:r>
          </w:p>
        </w:tc>
        <w:tc>
          <w:tcPr>
            <w:tcW w:w="106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500"/>
              <w:spacing w:after="0" w:line="142" w:lineRule="exact"/>
              <w:rPr>
                <w:sz w:val="20"/>
                <w:szCs w:val="20"/>
                <w:color w:val="auto"/>
              </w:rPr>
            </w:pPr>
            <w:r>
              <w:rPr>
                <w:rFonts w:ascii="Times New Roman" w:cs="Times New Roman" w:eastAsia="Times New Roman" w:hAnsi="Times New Roman"/>
                <w:sz w:val="16"/>
                <w:szCs w:val="16"/>
                <w:color w:val="auto"/>
              </w:rPr>
              <w:t>Increase/</w:t>
            </w:r>
          </w:p>
        </w:tc>
        <w:tc>
          <w:tcPr>
            <w:tcW w:w="24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420"/>
              <w:spacing w:after="0" w:line="142" w:lineRule="exact"/>
              <w:rPr>
                <w:sz w:val="20"/>
                <w:szCs w:val="20"/>
                <w:color w:val="auto"/>
              </w:rPr>
            </w:pPr>
            <w:r>
              <w:rPr>
                <w:rFonts w:ascii="Times New Roman" w:cs="Times New Roman" w:eastAsia="Times New Roman" w:hAnsi="Times New Roman"/>
                <w:sz w:val="16"/>
                <w:szCs w:val="16"/>
                <w:color w:val="auto"/>
              </w:rPr>
              <w:t>Increase/</w:t>
            </w:r>
          </w:p>
        </w:tc>
        <w:tc>
          <w:tcPr>
            <w:tcW w:w="0" w:type="dxa"/>
            <w:vAlign w:val="bottom"/>
          </w:tcPr>
          <w:p>
            <w:pPr>
              <w:spacing w:after="0"/>
              <w:rPr>
                <w:sz w:val="1"/>
                <w:szCs w:val="1"/>
                <w:color w:val="auto"/>
              </w:rPr>
            </w:pPr>
          </w:p>
        </w:tc>
      </w:tr>
      <w:tr>
        <w:trPr>
          <w:trHeight w:val="204"/>
        </w:trPr>
        <w:tc>
          <w:tcPr>
            <w:tcW w:w="3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Pr>
          <w:p>
            <w:pPr>
              <w:spacing w:after="0"/>
              <w:rPr>
                <w:sz w:val="17"/>
                <w:szCs w:val="17"/>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color w:val="auto"/>
              </w:rPr>
              <w:t>(Decrease)</w:t>
            </w:r>
          </w:p>
        </w:tc>
        <w:tc>
          <w:tcPr>
            <w:tcW w:w="240" w:type="dxa"/>
            <w:vAlign w:val="bottom"/>
          </w:tcPr>
          <w:p>
            <w:pPr>
              <w:spacing w:after="0"/>
              <w:rPr>
                <w:sz w:val="17"/>
                <w:szCs w:val="17"/>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12"/>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Passengers (thousands)</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14,850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40,306</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5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57,761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162,443</w:t>
            </w:r>
          </w:p>
        </w:tc>
        <w:tc>
          <w:tcPr>
            <w:tcW w:w="12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passenger miles (millions)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17,071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58,633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73,883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239,360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Available seat miles (millions)</w:t>
            </w:r>
          </w:p>
        </w:tc>
        <w:tc>
          <w:tcPr>
            <w:tcW w:w="22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30,691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71,038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122,804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284,999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Passenger load factor:</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Consolidated</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82.5 %</w:t>
            </w:r>
          </w:p>
        </w:tc>
        <w:tc>
          <w:tcPr>
            <w:tcW w:w="100" w:type="dxa"/>
            <w:vAlign w:val="bottom"/>
          </w:tcPr>
          <w:p>
            <w:pPr>
              <w:spacing w:after="0"/>
              <w:rPr>
                <w:sz w:val="18"/>
                <w:szCs w:val="18"/>
                <w:color w:val="auto"/>
              </w:rPr>
            </w:pPr>
          </w:p>
        </w:tc>
        <w:tc>
          <w:tcPr>
            <w:tcW w:w="14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(26.9) pts.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84.0 %</w:t>
            </w:r>
          </w:p>
        </w:tc>
        <w:tc>
          <w:tcPr>
            <w:tcW w:w="120" w:type="dxa"/>
            <w:vAlign w:val="bottom"/>
          </w:tcPr>
          <w:p>
            <w:pPr>
              <w:spacing w:after="0"/>
              <w:rPr>
                <w:sz w:val="18"/>
                <w:szCs w:val="18"/>
                <w:color w:val="auto"/>
              </w:rPr>
            </w:pPr>
          </w:p>
        </w:tc>
        <w:tc>
          <w:tcPr>
            <w:tcW w:w="13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(23.8) pts.</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Domestic</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83.8 %</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(19.0) pts.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85.2 %</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(22.0) pts.</w:t>
            </w:r>
          </w:p>
        </w:tc>
        <w:tc>
          <w:tcPr>
            <w:tcW w:w="0" w:type="dxa"/>
            <w:vAlign w:val="bottom"/>
          </w:tcPr>
          <w:p>
            <w:pPr>
              <w:spacing w:after="0"/>
              <w:rPr>
                <w:sz w:val="1"/>
                <w:szCs w:val="1"/>
                <w:color w:val="auto"/>
              </w:rPr>
            </w:pPr>
          </w:p>
        </w:tc>
      </w:tr>
      <w:tr>
        <w:trPr>
          <w:trHeight w:val="213"/>
        </w:trPr>
        <w:tc>
          <w:tcPr>
            <w:tcW w:w="3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International</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80.8 %</w:t>
            </w:r>
          </w:p>
        </w:tc>
        <w:tc>
          <w:tcPr>
            <w:tcW w:w="100" w:type="dxa"/>
            <w:vAlign w:val="bottom"/>
          </w:tcPr>
          <w:p>
            <w:pPr>
              <w:spacing w:after="0"/>
              <w:rPr>
                <w:sz w:val="18"/>
                <w:szCs w:val="18"/>
                <w:color w:val="auto"/>
              </w:rPr>
            </w:pPr>
          </w:p>
        </w:tc>
        <w:tc>
          <w:tcPr>
            <w:tcW w:w="14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(40.4) pts.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82.4 %</w:t>
            </w:r>
          </w:p>
        </w:tc>
        <w:tc>
          <w:tcPr>
            <w:tcW w:w="120" w:type="dxa"/>
            <w:vAlign w:val="bottom"/>
          </w:tcPr>
          <w:p>
            <w:pPr>
              <w:spacing w:after="0"/>
              <w:rPr>
                <w:sz w:val="18"/>
                <w:szCs w:val="18"/>
                <w:color w:val="auto"/>
              </w:rPr>
            </w:pPr>
          </w:p>
        </w:tc>
        <w:tc>
          <w:tcPr>
            <w:tcW w:w="13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(27.3) pts.</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Passenger revenue per available seat mile (cents)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13.98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13.90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 per available seat mile (cents)</w:t>
            </w:r>
          </w:p>
        </w:tc>
        <w:tc>
          <w:tcPr>
            <w:tcW w:w="22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15.33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15.18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yield per revenue passenger mile (cents)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16.94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Cargo ton miles (millions)</w:t>
            </w:r>
          </w:p>
        </w:tc>
        <w:tc>
          <w:tcPr>
            <w:tcW w:w="22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889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3,329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Aircraft in fleet at end of period</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stage length (miles)</w:t>
            </w:r>
          </w:p>
        </w:tc>
        <w:tc>
          <w:tcPr>
            <w:tcW w:w="22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1,446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1,460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headcount (in thousands)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aircraft fuel price per gallon</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5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Fuel gallons consumed (millions)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4,292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Note: </w:t>
      </w:r>
      <w:r>
        <w:rPr>
          <w:rFonts w:ascii="Times New Roman" w:cs="Times New Roman" w:eastAsia="Times New Roman" w:hAnsi="Times New Roman"/>
          <w:sz w:val="16"/>
          <w:szCs w:val="16"/>
          <w:color w:val="auto"/>
        </w:rPr>
        <w:t>See Part II, Item 6, Selected Financial Data, of UAL's Annual Report on Form 10-K for the fiscal year ended December 31, 2019, for definitions of these statistics.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Cash burn: </w:t>
      </w:r>
      <w:r>
        <w:rPr>
          <w:rFonts w:ascii="Times New Roman" w:cs="Times New Roman" w:eastAsia="Times New Roman" w:hAnsi="Times New Roman"/>
          <w:sz w:val="18"/>
          <w:szCs w:val="18"/>
          <w:color w:val="auto"/>
        </w:rPr>
        <w:t>The company's management views "cash burn" as an important measure in monitoring liquidity in order to assess the company's cash needs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the impact of certain extraordinary actions or events, and the company believes this provides useful information to investors about the company's liquidity position. In light of the transition to recovery in 2021, the company is now presenting "core cash burn", which the company believes better reflects the core operational performance of the company's business.</w:t>
      </w:r>
    </w:p>
    <w:p>
      <w:pPr>
        <w:spacing w:after="0" w:line="82"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Three Months Ended</w:t>
            </w:r>
          </w:p>
        </w:tc>
        <w:tc>
          <w:tcPr>
            <w:tcW w:w="200" w:type="dxa"/>
            <w:vAlign w:val="bottom"/>
          </w:tcPr>
          <w:p>
            <w:pPr>
              <w:spacing w:after="0"/>
              <w:rPr>
                <w:sz w:val="16"/>
                <w:szCs w:val="16"/>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Three Months Ended</w:t>
            </w:r>
          </w:p>
        </w:tc>
        <w:tc>
          <w:tcPr>
            <w:tcW w:w="180" w:type="dxa"/>
            <w:vAlign w:val="bottom"/>
          </w:tcPr>
          <w:p>
            <w:pPr>
              <w:spacing w:after="0"/>
              <w:rPr>
                <w:sz w:val="16"/>
                <w:szCs w:val="16"/>
                <w:color w:val="auto"/>
              </w:rPr>
            </w:pPr>
          </w:p>
        </w:tc>
        <w:tc>
          <w:tcPr>
            <w:tcW w:w="17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213"/>
        </w:trPr>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June 30, 2020</w:t>
            </w:r>
          </w:p>
        </w:tc>
        <w:tc>
          <w:tcPr>
            <w:tcW w:w="200" w:type="dxa"/>
            <w:vAlign w:val="bottom"/>
          </w:tcPr>
          <w:p>
            <w:pPr>
              <w:spacing w:after="0"/>
              <w:rPr>
                <w:sz w:val="18"/>
                <w:szCs w:val="18"/>
                <w:color w:val="auto"/>
              </w:rPr>
            </w:pP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September 30, 2020</w:t>
            </w:r>
          </w:p>
        </w:tc>
        <w:tc>
          <w:tcPr>
            <w:tcW w:w="180" w:type="dxa"/>
            <w:vAlign w:val="bottom"/>
          </w:tcPr>
          <w:p>
            <w:pPr>
              <w:spacing w:after="0"/>
              <w:rPr>
                <w:sz w:val="18"/>
                <w:szCs w:val="18"/>
                <w:color w:val="auto"/>
              </w:rPr>
            </w:pPr>
          </w:p>
        </w:tc>
        <w:tc>
          <w:tcPr>
            <w:tcW w:w="17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December 31, 2020</w:t>
            </w:r>
          </w:p>
        </w:tc>
        <w:tc>
          <w:tcPr>
            <w:tcW w:w="0" w:type="dxa"/>
            <w:vAlign w:val="bottom"/>
          </w:tcPr>
          <w:p>
            <w:pPr>
              <w:spacing w:after="0"/>
              <w:rPr>
                <w:sz w:val="1"/>
                <w:szCs w:val="1"/>
                <w:color w:val="auto"/>
              </w:rPr>
            </w:pPr>
          </w:p>
        </w:tc>
      </w:tr>
      <w:tr>
        <w:trPr>
          <w:trHeight w:val="212"/>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by operating activities</w:t>
            </w: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provided by investing activities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provided by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0" w:type="dxa"/>
            <w:vAlign w:val="bottom"/>
          </w:tcPr>
          <w:p>
            <w:pPr>
              <w:spacing w:after="0"/>
              <w:rPr>
                <w:sz w:val="1"/>
                <w:szCs w:val="1"/>
                <w:color w:val="auto"/>
              </w:rPr>
            </w:pPr>
          </w:p>
        </w:tc>
      </w:tr>
      <w:tr>
        <w:trPr>
          <w:trHeight w:val="273"/>
        </w:trPr>
        <w:tc>
          <w:tcPr>
            <w:tcW w:w="5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 remove:</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CARES Act Payroll Support Program ("PSP") grant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PSP Note</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Equity issuances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0" w:type="dxa"/>
            <w:vAlign w:val="bottom"/>
          </w:tcPr>
          <w:p>
            <w:pPr>
              <w:spacing w:after="0"/>
              <w:rPr>
                <w:sz w:val="1"/>
                <w:szCs w:val="1"/>
                <w:color w:val="auto"/>
              </w:rPr>
            </w:pPr>
          </w:p>
        </w:tc>
      </w:tr>
      <w:tr>
        <w:trPr>
          <w:trHeight w:val="213"/>
        </w:trPr>
        <w:tc>
          <w:tcPr>
            <w:tcW w:w="5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proceeds from sale of short-term and other investments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Secured debt (net of discount and fees)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3"/>
        </w:trPr>
        <w:tc>
          <w:tcPr>
            <w:tcW w:w="5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Increase in certain restricted cash balances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CARES Act secured loan</w:t>
            </w:r>
          </w:p>
        </w:tc>
        <w:tc>
          <w:tcPr>
            <w:tcW w:w="1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adjustments</w:t>
            </w:r>
          </w:p>
        </w:tc>
        <w:tc>
          <w:tcPr>
            <w:tcW w:w="18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6,687</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9,040</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Cash Burn</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Days in the period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0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daily cash burn</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Further adjusted to remove: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Debt principal and severance payments (a)</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0" w:type="dxa"/>
            <w:vAlign w:val="bottom"/>
          </w:tcPr>
          <w:p>
            <w:pPr>
              <w:spacing w:after="0"/>
              <w:rPr>
                <w:sz w:val="1"/>
                <w:szCs w:val="1"/>
                <w:color w:val="auto"/>
              </w:rPr>
            </w:pPr>
          </w:p>
        </w:tc>
      </w:tr>
      <w:tr>
        <w:trPr>
          <w:trHeight w:val="213"/>
        </w:trPr>
        <w:tc>
          <w:tcPr>
            <w:tcW w:w="5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Timing of certain payments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Capital expenditures, net of flight equipment purchase deposit returns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13"/>
        </w:trPr>
        <w:tc>
          <w:tcPr>
            <w:tcW w:w="5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Investments in the recovery</w:t>
            </w:r>
          </w:p>
        </w:tc>
        <w:tc>
          <w:tcPr>
            <w:tcW w:w="18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additional adjustments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0" w:type="dxa"/>
            <w:vAlign w:val="bottom"/>
          </w:tcPr>
          <w:p>
            <w:pPr>
              <w:spacing w:after="0"/>
              <w:rPr>
                <w:sz w:val="1"/>
                <w:szCs w:val="1"/>
                <w:color w:val="auto"/>
              </w:rPr>
            </w:pPr>
          </w:p>
        </w:tc>
      </w:tr>
      <w:tr>
        <w:trPr>
          <w:trHeight w:val="212"/>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Core cash burn</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Days in the period</w:t>
            </w: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2"/>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daily core cash burn</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 Fourth quarter amounts include interest payments on extinguished debt</w:t>
            </w: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 millions)</w:t>
            </w:r>
          </w:p>
        </w:tc>
        <w:tc>
          <w:tcPr>
            <w:tcW w:w="16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December 31, 2020</w:t>
            </w:r>
          </w:p>
        </w:tc>
        <w:tc>
          <w:tcPr>
            <w:tcW w:w="160" w:type="dxa"/>
            <w:vAlign w:val="bottom"/>
          </w:tcPr>
          <w:p>
            <w:pPr>
              <w:spacing w:after="0"/>
              <w:rPr>
                <w:sz w:val="18"/>
                <w:szCs w:val="18"/>
                <w:color w:val="auto"/>
              </w:rPr>
            </w:pP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December 31, 2019</w:t>
            </w:r>
          </w:p>
        </w:tc>
        <w:tc>
          <w:tcPr>
            <w:tcW w:w="0" w:type="dxa"/>
            <w:vAlign w:val="bottom"/>
          </w:tcPr>
          <w:p>
            <w:pPr>
              <w:spacing w:after="0"/>
              <w:rPr>
                <w:sz w:val="1"/>
                <w:szCs w:val="1"/>
                <w:color w:val="auto"/>
              </w:rPr>
            </w:pPr>
          </w:p>
        </w:tc>
      </w:tr>
      <w:tr>
        <w:trPr>
          <w:trHeight w:val="199"/>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Receivables, less allowance for credit losses (2020—$78; 2019—$9)</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Aircraft fuel, spare parts and supplies, less obsolescence allowance (2020—$478; 2019—$425)</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0" w:type="dxa"/>
            <w:vAlign w:val="bottom"/>
          </w:tcPr>
          <w:p>
            <w:pPr>
              <w:spacing w:after="0"/>
              <w:rPr>
                <w:sz w:val="1"/>
                <w:szCs w:val="1"/>
                <w:color w:val="auto"/>
              </w:rPr>
            </w:pPr>
          </w:p>
        </w:tc>
      </w:tr>
      <w:tr>
        <w:trPr>
          <w:trHeight w:val="213"/>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0" w:type="dxa"/>
            <w:vAlign w:val="bottom"/>
          </w:tcPr>
          <w:p>
            <w:pPr>
              <w:spacing w:after="0"/>
              <w:rPr>
                <w:sz w:val="1"/>
                <w:szCs w:val="1"/>
                <w:color w:val="auto"/>
              </w:rPr>
            </w:pPr>
          </w:p>
        </w:tc>
      </w:tr>
      <w:tr>
        <w:trPr>
          <w:trHeight w:val="209"/>
        </w:trPr>
        <w:tc>
          <w:tcPr>
            <w:tcW w:w="7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8,194</w:t>
            </w:r>
          </w:p>
        </w:tc>
        <w:tc>
          <w:tcPr>
            <w:tcW w:w="0" w:type="dxa"/>
            <w:vAlign w:val="bottom"/>
          </w:tcPr>
          <w:p>
            <w:pPr>
              <w:spacing w:after="0"/>
              <w:rPr>
                <w:sz w:val="1"/>
                <w:szCs w:val="1"/>
                <w:color w:val="auto"/>
              </w:rPr>
            </w:pPr>
          </w:p>
        </w:tc>
      </w:tr>
      <w:tr>
        <w:trPr>
          <w:trHeight w:val="77"/>
        </w:trPr>
        <w:tc>
          <w:tcPr>
            <w:tcW w:w="7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property and equipment, net</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30,170</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Borders>
              <w:bottom w:val="single" w:sz="8" w:color="CCEEFF"/>
            </w:tcBorders>
          </w:tcPr>
          <w:p>
            <w:pPr>
              <w:spacing w:after="0"/>
              <w:rPr>
                <w:sz w:val="21"/>
                <w:szCs w:val="21"/>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4,537</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4,758</w:t>
            </w:r>
          </w:p>
        </w:tc>
        <w:tc>
          <w:tcPr>
            <w:tcW w:w="0" w:type="dxa"/>
            <w:vAlign w:val="bottom"/>
          </w:tcPr>
          <w:p>
            <w:pPr>
              <w:spacing w:after="0"/>
              <w:rPr>
                <w:sz w:val="1"/>
                <w:szCs w:val="1"/>
                <w:color w:val="auto"/>
              </w:rPr>
            </w:pP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4,523</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Intangibles, less accumulated amortization (2020—$1,495; 2019—$1,440)</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Notes receivable, less allowance for credit losses (2020—$522)</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Investments in affiliates and other, net</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0" w:type="dxa"/>
            <w:vAlign w:val="bottom"/>
          </w:tcPr>
          <w:p>
            <w:pPr>
              <w:spacing w:after="0"/>
              <w:rPr>
                <w:sz w:val="1"/>
                <w:szCs w:val="1"/>
                <w:color w:val="auto"/>
              </w:rPr>
            </w:pPr>
          </w:p>
        </w:tc>
      </w:tr>
      <w:tr>
        <w:trPr>
          <w:trHeight w:val="209"/>
        </w:trPr>
        <w:tc>
          <w:tcPr>
            <w:tcW w:w="7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9,489</w:t>
            </w:r>
          </w:p>
        </w:tc>
        <w:tc>
          <w:tcPr>
            <w:tcW w:w="0" w:type="dxa"/>
            <w:vAlign w:val="bottom"/>
          </w:tcPr>
          <w:p>
            <w:pPr>
              <w:spacing w:after="0"/>
              <w:rPr>
                <w:sz w:val="1"/>
                <w:szCs w:val="1"/>
                <w:color w:val="auto"/>
              </w:rPr>
            </w:pPr>
          </w:p>
        </w:tc>
      </w:tr>
      <w:tr>
        <w:trPr>
          <w:trHeight w:val="212"/>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59,548</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52,611</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76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Advance ticket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4,833</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4,819</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Frequent flyer deferred revenue</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maturities of finance leases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maturities of operating leases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0" w:type="dxa"/>
            <w:vAlign w:val="bottom"/>
          </w:tcPr>
          <w:p>
            <w:pPr>
              <w:spacing w:after="0"/>
              <w:rPr>
                <w:sz w:val="1"/>
                <w:szCs w:val="1"/>
                <w:color w:val="auto"/>
              </w:rPr>
            </w:pPr>
          </w:p>
        </w:tc>
      </w:tr>
      <w:tr>
        <w:trPr>
          <w:trHeight w:val="207"/>
        </w:trPr>
        <w:tc>
          <w:tcPr>
            <w:tcW w:w="76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12,725</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14,938</w:t>
            </w:r>
          </w:p>
        </w:tc>
        <w:tc>
          <w:tcPr>
            <w:tcW w:w="0" w:type="dxa"/>
            <w:vAlign w:val="bottom"/>
          </w:tcPr>
          <w:p>
            <w:pPr>
              <w:spacing w:after="0"/>
              <w:rPr>
                <w:sz w:val="1"/>
                <w:szCs w:val="1"/>
                <w:color w:val="auto"/>
              </w:rPr>
            </w:pPr>
          </w:p>
        </w:tc>
      </w:tr>
      <w:tr>
        <w:trPr>
          <w:trHeight w:val="77"/>
        </w:trPr>
        <w:tc>
          <w:tcPr>
            <w:tcW w:w="76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 and deferred credits:</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24,836</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13,145</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obligations under finance leases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obligations under operating leases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4,986</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Frequent flyer deferred revenue</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2,836</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Postretirement benefit liability</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Pension liability</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financial liabilities from sale-leasebacks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0" w:type="dxa"/>
            <w:vAlign w:val="bottom"/>
          </w:tcPr>
          <w:p>
            <w:pPr>
              <w:spacing w:after="0"/>
              <w:rPr>
                <w:sz w:val="1"/>
                <w:szCs w:val="1"/>
                <w:color w:val="auto"/>
              </w:rPr>
            </w:pPr>
          </w:p>
        </w:tc>
      </w:tr>
      <w:tr>
        <w:trPr>
          <w:trHeight w:val="207"/>
        </w:trPr>
        <w:tc>
          <w:tcPr>
            <w:tcW w:w="76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long-term liabilities and deferred credits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40,863</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26,142</w:t>
            </w: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11,531</w:t>
            </w:r>
          </w:p>
        </w:tc>
        <w:tc>
          <w:tcPr>
            <w:tcW w:w="0" w:type="dxa"/>
            <w:vAlign w:val="bottom"/>
          </w:tcPr>
          <w:p>
            <w:pPr>
              <w:spacing w:after="0"/>
              <w:rPr>
                <w:sz w:val="1"/>
                <w:szCs w:val="1"/>
                <w:color w:val="auto"/>
              </w:rPr>
            </w:pPr>
          </w:p>
        </w:tc>
      </w:tr>
      <w:tr>
        <w:trPr>
          <w:trHeight w:val="212"/>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59,548</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52,611</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STATEMENTS OF CONSOLIDATED CASH FLOWS (UNAUDITED)</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(In millions)</w:t>
            </w:r>
          </w:p>
        </w:tc>
        <w:tc>
          <w:tcPr>
            <w:tcW w:w="300" w:type="dxa"/>
            <w:vAlign w:val="bottom"/>
          </w:tcPr>
          <w:p>
            <w:pPr>
              <w:spacing w:after="0"/>
              <w:rPr>
                <w:sz w:val="16"/>
                <w:szCs w:val="16"/>
                <w:color w:val="auto"/>
              </w:rPr>
            </w:pPr>
          </w:p>
        </w:tc>
        <w:tc>
          <w:tcPr>
            <w:tcW w:w="170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Year Ended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28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2020</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19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6,909</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 net of flight equipment purchase deposit returns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(4,528)</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Purchases of short-term and other 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w:t>
            </w:r>
          </w:p>
        </w:tc>
        <w:tc>
          <w:tcPr>
            <w:tcW w:w="0" w:type="dxa"/>
            <w:vAlign w:val="bottom"/>
          </w:tcPr>
          <w:p>
            <w:pPr>
              <w:spacing w:after="0"/>
              <w:rPr>
                <w:sz w:val="1"/>
                <w:szCs w:val="1"/>
                <w:color w:val="auto"/>
              </w:rPr>
            </w:pPr>
          </w:p>
        </w:tc>
      </w:tr>
      <w:tr>
        <w:trPr>
          <w:trHeight w:val="213"/>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 of short-term and other investments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Loans made to others</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3"/>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Investment in affiliates</w:t>
            </w:r>
          </w:p>
        </w:tc>
        <w:tc>
          <w:tcPr>
            <w:tcW w:w="30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7"/>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(4,560)</w:t>
            </w:r>
          </w:p>
        </w:tc>
        <w:tc>
          <w:tcPr>
            <w:tcW w:w="0" w:type="dxa"/>
            <w:vAlign w:val="bottom"/>
          </w:tcPr>
          <w:p>
            <w:pPr>
              <w:spacing w:after="0"/>
              <w:rPr>
                <w:sz w:val="1"/>
                <w:szCs w:val="1"/>
                <w:color w:val="auto"/>
              </w:rPr>
            </w:pPr>
          </w:p>
        </w:tc>
      </w:tr>
      <w:tr>
        <w:trPr>
          <w:trHeight w:val="239"/>
        </w:trPr>
        <w:tc>
          <w:tcPr>
            <w:tcW w:w="8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0" w:type="dxa"/>
            <w:vAlign w:val="bottom"/>
          </w:tcPr>
          <w:p>
            <w:pPr>
              <w:spacing w:after="0"/>
              <w:rPr>
                <w:sz w:val="1"/>
                <w:szCs w:val="1"/>
                <w:color w:val="auto"/>
              </w:rPr>
            </w:pPr>
          </w:p>
        </w:tc>
      </w:tr>
      <w:tr>
        <w:trPr>
          <w:trHeight w:val="213"/>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equity issuance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of long-term debt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Principal payments under finance leases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13"/>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Capitalized financing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7"/>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12,957</w:t>
            </w:r>
          </w:p>
        </w:tc>
        <w:tc>
          <w:tcPr>
            <w:tcW w:w="2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8,874</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0" w:type="dxa"/>
            <w:vAlign w:val="bottom"/>
          </w:tcPr>
          <w:p>
            <w:pPr>
              <w:spacing w:after="0"/>
              <w:rPr>
                <w:sz w:val="1"/>
                <w:szCs w:val="1"/>
                <w:color w:val="auto"/>
              </w:rPr>
            </w:pPr>
          </w:p>
        </w:tc>
      </w:tr>
      <w:tr>
        <w:trPr>
          <w:trHeight w:val="23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11,742</w:t>
            </w:r>
          </w:p>
        </w:tc>
        <w:tc>
          <w:tcPr>
            <w:tcW w:w="2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and Financing Activities Not Affecting Cash:</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and equipment acquired through the issuance of debt, finance leases and other</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2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Right-of-use assets acquired through operating leases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0" w:type="dxa"/>
            <w:vAlign w:val="bottom"/>
          </w:tcPr>
          <w:p>
            <w:pPr>
              <w:spacing w:after="0"/>
              <w:rPr>
                <w:sz w:val="1"/>
                <w:szCs w:val="1"/>
                <w:color w:val="auto"/>
              </w:rPr>
            </w:pPr>
          </w:p>
        </w:tc>
      </w:tr>
      <w:tr>
        <w:trPr>
          <w:trHeight w:val="213"/>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Lease modifications and lease conversions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Capacity purchase agreement liability converted to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COVID-19 and Outlook</w:t>
      </w:r>
    </w:p>
    <w:p>
      <w:pPr>
        <w:spacing w:after="0" w:line="146"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18"/>
          <w:szCs w:val="18"/>
          <w:color w:val="auto"/>
        </w:rPr>
        <w:t>The COVID-19 pandemic, together with the measures implemented by governmental authorities and private organizations in response to the pandemic, has had an adverse impact that has been material to the Company's business, operating results, financial condition and liquidity. Measures such as "shelter in place" or quarantine requirements, international and domestic travel restrictions or advisories, limitations on public gatherings, social distancing recommendations, remote work arrangements and closures of tourist destinations and attractions, as well as consumer perceptions of the safety, ease and predictability of air travel, have contributed to a precipitous decline in passenger demand and bookings for both business and leisure travel. The COVID-19 pandemic is an act of nature and is a circumstance beyond the Company's control, which is further compounded by governmental restrictions on travel and stay-at-home orders that have substantially reduced bookings and the demand for airline travel, resulting in the temporary grounding of a substantial number of the Company's aircraft.</w:t>
      </w:r>
    </w:p>
    <w:p>
      <w:pPr>
        <w:spacing w:after="0" w:line="103" w:lineRule="exact"/>
        <w:rPr>
          <w:sz w:val="20"/>
          <w:szCs w:val="20"/>
          <w:color w:val="auto"/>
        </w:rPr>
      </w:pPr>
    </w:p>
    <w:p>
      <w:pPr>
        <w:jc w:val="both"/>
        <w:ind w:right="160"/>
        <w:spacing w:after="0" w:line="220" w:lineRule="auto"/>
        <w:rPr>
          <w:sz w:val="20"/>
          <w:szCs w:val="20"/>
          <w:color w:val="auto"/>
        </w:rPr>
      </w:pPr>
      <w:r>
        <w:rPr>
          <w:rFonts w:ascii="Times New Roman" w:cs="Times New Roman" w:eastAsia="Times New Roman" w:hAnsi="Times New Roman"/>
          <w:sz w:val="18"/>
          <w:szCs w:val="18"/>
          <w:color w:val="auto"/>
        </w:rPr>
        <w:t>The Company began experiencing a significant decline in international and domestic demand related to COVID-19 during the first quarter of 2020. The decline in demand caused a material deterioration in our revenues in 2020, resulting in a net loss of $7.1 billion. The full extent of the ongoing impact of COVID-19 on the Company's longer-term operational and financial performance will depend on future developments, including those outside our control related to possible increases in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9" w:name="page10"/>
    <w:bookmarkEnd w:id="9"/>
    <w:p>
      <w:pPr>
        <w:ind w:right="20"/>
        <w:spacing w:after="0" w:line="237" w:lineRule="auto"/>
        <w:rPr>
          <w:sz w:val="20"/>
          <w:szCs w:val="20"/>
          <w:color w:val="auto"/>
        </w:rPr>
      </w:pPr>
      <w:r>
        <w:rPr>
          <w:rFonts w:ascii="Times New Roman" w:cs="Times New Roman" w:eastAsia="Times New Roman" w:hAnsi="Times New Roman"/>
          <w:sz w:val="18"/>
          <w:szCs w:val="18"/>
          <w:color w:val="auto"/>
        </w:rPr>
        <w:t>COVID-19 cases and/or new quarantine requirements being imposed in certain jurisdictions or other restrictions on travel, all of which are highly uncertain and cannot be predicted with certainty.</w:t>
      </w:r>
    </w:p>
    <w:p>
      <w:pPr>
        <w:spacing w:after="0" w:line="104" w:lineRule="exact"/>
        <w:rPr>
          <w:sz w:val="20"/>
          <w:szCs w:val="20"/>
          <w:color w:val="auto"/>
        </w:rPr>
      </w:pPr>
    </w:p>
    <w:p>
      <w:pPr>
        <w:ind w:right="100"/>
        <w:spacing w:after="0" w:line="217" w:lineRule="auto"/>
        <w:rPr>
          <w:sz w:val="20"/>
          <w:szCs w:val="20"/>
          <w:color w:val="auto"/>
        </w:rPr>
      </w:pPr>
      <w:r>
        <w:rPr>
          <w:rFonts w:ascii="Times New Roman" w:cs="Times New Roman" w:eastAsia="Times New Roman" w:hAnsi="Times New Roman"/>
          <w:sz w:val="18"/>
          <w:szCs w:val="18"/>
          <w:color w:val="auto"/>
        </w:rPr>
        <w:t>In response to decreased demand, the Company cut, relative to 2019 capacity, approximately 57% of its scheduled capacity for 2020. In the first quarter of 2021, the Company expects scheduled capacity to be down at least 51% versus the first quarter of 2019. The Company plans to continue to proactively evaluate and cancel flights on a rolling 60-day basis until it sees signs of a recovery in demand and expects demand to remain suppressed, relative to 2019 levels, until the COVID-19 vaccine is widely distributed. In addition, the Company does not currently expect the recovery from COVID-19 to follow a linear path. As such, the Company's actual flown capacity may differ materially from its currently scheduled capacity.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taken a number of actions in response to the decreased demand for air travel. In addition to the schedule reductions discussed above, the</w:t>
      </w:r>
    </w:p>
    <w:p>
      <w:pPr>
        <w:spacing w:after="0"/>
        <w:rPr>
          <w:sz w:val="20"/>
          <w:szCs w:val="20"/>
          <w:color w:val="auto"/>
        </w:rPr>
      </w:pPr>
      <w:r>
        <w:rPr>
          <w:rFonts w:ascii="Times New Roman" w:cs="Times New Roman" w:eastAsia="Times New Roman" w:hAnsi="Times New Roman"/>
          <w:sz w:val="18"/>
          <w:szCs w:val="18"/>
          <w:color w:val="auto"/>
        </w:rPr>
        <w:t>Company has:</w:t>
      </w:r>
    </w:p>
    <w:p>
      <w:pPr>
        <w:spacing w:after="0" w:line="111" w:lineRule="exact"/>
        <w:rPr>
          <w:sz w:val="20"/>
          <w:szCs w:val="20"/>
          <w:color w:val="auto"/>
        </w:rPr>
      </w:pPr>
    </w:p>
    <w:p>
      <w:pPr>
        <w:ind w:left="660" w:right="260" w:hanging="328"/>
        <w:spacing w:after="0" w:line="23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its planned capital expenditures and reduced operating expenditures for 2020 and 2021 (including by postponing projects deemed non-critical to the Company's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terminated its share repurchase program;</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approximately $13.4 billion in secured notes, secured term loan facilities and new aircraft financings;</w:t>
      </w:r>
    </w:p>
    <w:p>
      <w:pPr>
        <w:spacing w:after="0" w:line="144" w:lineRule="exact"/>
        <w:rPr>
          <w:rFonts w:ascii="Times New Roman" w:cs="Times New Roman" w:eastAsia="Times New Roman" w:hAnsi="Times New Roman"/>
          <w:sz w:val="18"/>
          <w:szCs w:val="18"/>
          <w:color w:val="auto"/>
        </w:rPr>
      </w:pPr>
    </w:p>
    <w:p>
      <w:pPr>
        <w:ind w:left="660" w:right="820" w:hanging="328"/>
        <w:spacing w:after="0" w:line="23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borrowed $1.0 billion under the $2.0 billion revolving credit facility of the Amended and Restated Credit and Guaranty Agreement (the "Revolving Credit Agreement");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approximately $1.1 billion in cash proceeds in an underwritten public offering of UAL common stock;</w:t>
      </w:r>
    </w:p>
    <w:p>
      <w:pPr>
        <w:spacing w:after="0" w:line="144"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7"/>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entered into an equity distribution agreement relating to the issuance and sale, from time to time, of up to 28 million shares of UAL common stock with sales, as of December 31, 2020, of approximately 21.4 million shares generating net proceeds of $989 million;</w:t>
      </w:r>
    </w:p>
    <w:p>
      <w:pPr>
        <w:spacing w:after="0" w:line="104" w:lineRule="exact"/>
        <w:rPr>
          <w:rFonts w:ascii="Times New Roman" w:cs="Times New Roman" w:eastAsia="Times New Roman" w:hAnsi="Times New Roman"/>
          <w:sz w:val="18"/>
          <w:szCs w:val="18"/>
          <w:color w:val="auto"/>
          <w:strike w:val="1"/>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agreements to finance certain aircraft currently subject to purchase agreements through sale and leaseback transactions;</w:t>
      </w:r>
    </w:p>
    <w:p>
      <w:pPr>
        <w:spacing w:after="0" w:line="130" w:lineRule="exact"/>
        <w:rPr>
          <w:rFonts w:ascii="Times New Roman" w:cs="Times New Roman" w:eastAsia="Times New Roman" w:hAnsi="Times New Roman"/>
          <w:sz w:val="18"/>
          <w:szCs w:val="18"/>
          <w:color w:val="auto"/>
        </w:rPr>
      </w:pPr>
    </w:p>
    <w:p>
      <w:pPr>
        <w:ind w:left="660" w:right="240" w:hanging="328"/>
        <w:spacing w:after="0" w:line="23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to defer the payment of approximately $199 million in payroll taxes incurred through 2020, as provided by the Coronavirus Aid, Relief, and Economic Security Act (the "CARES Act"), until 2021 and 2022;</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grounded certain of its mainline fleet; and</w:t>
      </w:r>
    </w:p>
    <w:p>
      <w:pPr>
        <w:spacing w:after="0" w:line="144" w:lineRule="exact"/>
        <w:rPr>
          <w:rFonts w:ascii="Times New Roman" w:cs="Times New Roman" w:eastAsia="Times New Roman" w:hAnsi="Times New Roman"/>
          <w:sz w:val="18"/>
          <w:szCs w:val="18"/>
          <w:color w:val="auto"/>
        </w:rPr>
      </w:pPr>
    </w:p>
    <w:p>
      <w:pPr>
        <w:ind w:left="660" w:right="160" w:hanging="328"/>
        <w:spacing w:after="0" w:line="21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taken a number of actions to reduce employee-related costs, including, among other items, the Company's Chief Executive Officer and President waived 100% of their respective base salaries through the end of 2020, other officers temporarily waived a portion of their base salaries, the Company's non-employee directors waived 100% of their cash compensation for the second and third quarters of 2020, the Company suspended merit salary increases for 2020 and implemented a temporary four-day work week for management and administrative employees and the Company offered voluntary unpaid leaves of absence.</w:t>
      </w:r>
    </w:p>
    <w:p>
      <w:pPr>
        <w:spacing w:after="0" w:line="103" w:lineRule="exact"/>
        <w:rPr>
          <w:rFonts w:ascii="Times New Roman" w:cs="Times New Roman" w:eastAsia="Times New Roman" w:hAnsi="Times New Roman"/>
          <w:sz w:val="18"/>
          <w:szCs w:val="18"/>
          <w:color w:val="auto"/>
        </w:rPr>
      </w:pPr>
    </w:p>
    <w:p>
      <w:pPr>
        <w:ind w:left="660" w:right="180" w:hanging="328"/>
        <w:spacing w:after="0" w:line="21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and as announced in July 2020, the Company started the involuntary furlough process earlier this summer when issuing Worker Adjustment and Retraining Notification ("WARN") Act notices to 36,000 of its employees. Since then, the Company worked to reduce the total number of furloughs to approximately 13,000 employees by working closely with its union partners, introducing new voluntary options selected by approximately 9,000 employees and proposing creative solutions that would save jobs. This workforce reduction is part of the Company's strategic realignment of its business and new organizational structure as a result of the impacts of the COVID-19 pandemic on the Company's operations and cost structure.</w:t>
      </w:r>
    </w:p>
    <w:p>
      <w:pPr>
        <w:spacing w:after="0" w:line="108"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The Company continues to focus on reducing expenses and managing its liquidity. We expect to continue to modify our capacity as the timing of demand recovery becomes more certain.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Payroll Support Program Extension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PSP Agreement, the Company offered employment, through March 2021, to approximately 17,300 employees who were impacted by involuntary furloughs or furlough mitigation programs, many of whom have accepted the recall offer. Because the Company cannot predict with certainty whether it will receive further payroll support from the federal government or when demand for air travel will increase in the short term, the Company is preparing for the possibility that these recalled employees might again be furloughed as soon as the end of the first quarter of 2021. The Company may record additional costs associated with these actions in the first quarter of 2021. Also, in order to reduce the number of such furloughs, during the first quarter, the Company expects to offer voluntary leave and other programs to certain of its frontline employees, the cost of which cannot be estimated at this time.</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 Update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also providing the following updates to the Risk Factors set forth in the Company's Annual Report on Form 10-K for the fiscal year ended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 as updated by the Company's Quarterly Report on Form 10-Q for the quarter ended September 30, 2020:</w:t>
      </w:r>
    </w:p>
    <w:p>
      <w:pPr>
        <w:spacing w:after="0" w:line="13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restrictions on the use of the Boeing 737 MAX aircraft, and the inability to accept or integrate new aircraft into our fleet as planned, may have a material adverse effect on our business, operating results and financial condition.</w:t>
      </w:r>
    </w:p>
    <w:p>
      <w:pPr>
        <w:spacing w:after="0" w:line="105"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On March 13, 2019, the FAA issued an emergency order prohibiting the operation of Boeing 737 MAX series aircraft by U.S. certificated operators (the "FAA Order"). As a result, the Company grounded all 14 Boeing 737 MAX 9 aircraft in its fleet, and Boeing also suspended deliveries of new Boeing 737 MAX series aircraft. On November 18, 2020, the FAA announced that it had rescinded the FAA Order and cleared the 737 MAX aircraft to fly again after a 20 month review and certification process. Several countries, following FAA's lead, have lifted the grounding of the Boeing 737 MAX aircraft – including Brazil, Canada and Mexico. Other countries,including certain countries that are part of the European aviation authority, have delayed their expected approval of the aircraft until early 2021. There are also many countries, such as China, that have no current plans to lift the aircraft's grounding and may not do so in the foreseeable future.</w:t>
      </w:r>
    </w:p>
    <w:p>
      <w:pPr>
        <w:spacing w:after="0" w:line="13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2019, the grounding affected the delivery of 16 Boeing 737 MAX aircraft that were scheduled for delivery in 2019 and were not delivered, and it also affected the timing of future Boeing 737 MAX aircraft deliveries, including the Boeing 737 MAX aircraft of which the Company planned to take delivery in 2020. The extent of the delay of future deliveries is expected to be impacted by Boeing's production rate and the pace at which Boeing can deliver aircraft, among other factors, and these factors have been and could continue to be significantly impacted by the COVID-19 pandemic. If, for any reason, we are unable to accept deliveries of new aircraft or integrate such new aircraft into our fleet as planned, we may face higher financing and operating costs than planned, or be required to seek extensions of the terms for certain leased aircraft or otherwise delay the exit of other aircraft from our fleet. Such unanticipated extensions or delays may require us to operate existing aircraft beyond the point at which it is economically optimal to retire them, resulting in increased maintenance costs, or reductions to our schedule, thereby reducing revenues.</w:t>
      </w:r>
    </w:p>
    <w:p>
      <w:pPr>
        <w:spacing w:after="0" w:line="13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response to the grounding of the Boeing 737 MAX aircraft, the Company made adjustments to its flight schedule and operations, including substituting replacement aircraft on routes originally intended to be flown by Boeing 737 MAX aircraft. In 2019 and early 2020, the grounding impacted the Company's ability to implement its strategic growth strategy, reducing the Company's scheduled capacity from its planned capacity, and resulted in increased costs as well as lower operating revenue. Continued restrictions on the use of Boeing 737 MAX aircraft in other countries could impact the aircraft's optimal use in our network. Furthermore, in 2021, like 2020, demand has been, and is expected to continue to be, significantly impacted by COVID-19, which, in addition to the previous grounding of the Boeing 737 MAX aircraft, has materially disrupted the timely execution of our plans to add capacity in 2021. The Company had discussions with Boeing regarding compensation from Boeing for the Company's financial damages related to the grounding of the airline's Boeing 737 MAX aircraft, and in March 2020, the Company entered into a confidential settlement with Boeing with respect to compensation for financial damages incurred in 2019. The settlement agreement was amended and restated in June 2020 to provide for the settlement of additional items related to aircraft delivery and to update the scheduled delivery for substantially all undelivered Boeing 737 MAX aircraft.</w:t>
      </w:r>
    </w:p>
    <w:p>
      <w:pPr>
        <w:spacing w:after="0" w:line="13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many forms of environmental regulation and liability and risks associated with climate change, and may incur substantial costs as a result.</w:t>
      </w:r>
    </w:p>
    <w:p>
      <w:pPr>
        <w:spacing w:after="0" w:line="10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Many aspects of the Company's operations are subject to increasingly stringent federal, state, local and international laws protecting the environment, including those relating to emissions to the air, water discharges, safe drinking water and the use and management of hazardous materials and wastes. Compliance with existing and future environmental laws and regulations can require significant expenditures and violations can lead to significant fines and penalties. In addition, from time to time we are identified as a responsible party for environmental investigation and remediation costs under applicable environmental laws due to the disposal of hazardous substances generated by our operations. We could also be subject to environmental liability claims from various parties, including airport authorities, related to our operations at our owned or leased premises or the off-site disposal of waste generated at our facilities.</w:t>
      </w:r>
    </w:p>
    <w:p>
      <w:pPr>
        <w:spacing w:after="0" w:line="13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may incur substantial costs as a result of changes in weather patterns due to climate change. Increases in the frequency, severity or duration of severe weather events such as thunderstorms, hurricanes, flooding, typhoons, tornados and other severe weather events could result in increases in delays and cancellations, turbulence-related injuries and fuel consumption to avoid such weather, any of which could result in significant loss of revenue and higher costs.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1" w:name="page12"/>
    <w:bookmarkEnd w:id="11"/>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To mitigate climate change risks, CORSIA has been developed by ICAO, a UN specialized agency. CORSIA is intended to create a single global market-based measure to achieve carbon-neutral growth for international aviation after 2020 through airline purchases of carbon offset credits. Certain CORSIA program details remain to be developed and could potentially be affected by political developments in participating countries or the results of the pilot phase of the program, and thus the impact of CORSIA cannot be fully predicted. However, CORSIA is expected to result in increased operating costs for airlines that operate internationally, including the Company.</w:t>
      </w:r>
    </w:p>
    <w:p>
      <w:pPr>
        <w:spacing w:after="0" w:line="1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CORSIA, in December 2020 the EPA adopted its own aircraft and aircraft engine GHG emission standards, which are aligned with the 2017 ICAO airplane carbon dioxide emission standards. Other jurisdictions in which United operates have adopted or are considering GHG emission reduction initiatives, which could impact various aspects of the Company's business. While the Company has voluntarily pledged to reduce 100% of our GHG emissions by 2050, the precise nature of future requirements and their applicability to the Company are difficult to predict, and the financial impact to the Company and the aviation industry would likely be adverse and could be significant if they vary significantly from the Company's own plans and strategy with respect to reducing GHG emissions.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 may adversely impact our operations in the United Kingdom and elsewhere.</w:t>
      </w:r>
    </w:p>
    <w:p>
      <w:pPr>
        <w:spacing w:after="0" w:line="175"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On January 31, 2020, the United Kingdom ("UK") withdrew from the EU, and started a transition period that ran through December 31, 2020. During that time, the EU and UK negotiated a comprehensive trade agreement that provisionally went into effect on January 1, 2021. The agreement includes an aviation chapter that preserves EU-UK air connectivity.</w:t>
      </w:r>
    </w:p>
    <w:p>
      <w:pPr>
        <w:spacing w:after="0" w:line="122"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UK's exit from the EU, we could face new challenges in our operations, such as instability in global financial and foreign exchange markets. This instability could result in market volatility, including in the value of the British pound and European euro, additional travel restrictions on passengers traveling between the UK and EU countries, changes to the legal status of EU-resident employees, legal uncertainty and divergent national laws and regulations. At this time, we cannot predict the precise impact that the UK's exit from the EU will have on our business generally and our UK and European operations more specifically, and no assurance can be given that our operating results, financial condition and prospects would not be adversely impacted by the result.</w:t>
      </w:r>
    </w:p>
    <w:p>
      <w:pPr>
        <w:spacing w:after="0" w:line="129"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Company's ability to use its net operating loss carryforwards and certain other tax attributes to offset future taxable income for U.S. federal income tax purposes may be significantly limited due to various circumstances, including certain possible future transactions involving the sale or issuance of UAL common stock, or if taxable income does not reach sufficient levels.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2020, UAL reported consolidated U.S. federal net operating loss ("NOL") carryforwards of approximately $11.0 billion.</w:t>
      </w:r>
    </w:p>
    <w:p>
      <w:pPr>
        <w:spacing w:after="0" w:line="17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ability to use its NOL carryforwards and certain other tax attributes will depend on the amount of taxable income it generates in future periods. As a result, certain of the Company's NOL carryforwards and other tax attributes may expire before it can generate sufficient taxable income to use them in full.</w:t>
      </w:r>
    </w:p>
    <w:p>
      <w:pPr>
        <w:spacing w:after="0" w:line="12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addition, the Company's ability to use its NOL carryforwards and certain other tax attributes to offset future taxable income may be limited if it experiences an "ownership change" as defined in Section 382 of the Internal Revenue Code of 1986, as amended ("Section 382"). An ownership change generally occurs if certain stockholders increase their aggregate percentage ownership of a corporation's stock by more than 50 percentage points over their lowest percentage ownership at any time during the testing period, which is generally the three-year period preceding any potential ownership change. In general, a corporation that experiences an ownership change will be subject to an annual limitation on its pre-ownership change NOLs and certain other tax attribute carryforwards equal to the value of the corporation's stock immediately before the ownership change, multiplied by the applicable long-term, tax-exempt rate posted by the IRS. Any unused annual limitation may, subject to certain limits, be carried over to later years, and the limitation may, under certain circumstances, be increased by built-in gains in the assets held by such corporation at the time of the ownership change. This limitation could cause the Company's U.S. federal income taxes to be greater, or to be paid earlier, than they otherwise would be, and could cause a portion of the Company's NOLs and certain other tax attributes to expire unused. Similar rules and limitations may apply for state income tax purposes.</w:t>
      </w:r>
    </w:p>
    <w:p>
      <w:pPr>
        <w:spacing w:after="0" w:line="140"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For purposes of determining whether there has been an "ownership change," the change in ownership as a result of purchases by "5-percent shareholders" will be aggregated with certain changes in ownership that occurred over the three-year period ending on the date of such purchases. Potential future transactions involving the sale or issuance of UAL common stock may increase the possibility that the Company will experience a future ownership change under Section 382. Such transactions may include the exercise of warrants issued in connection with the CARES Act programs, the issuance of UAL common stock upon the conversion of any convertible debt that UAL may issue in the future, the repurchase of any debt with UAL common stock, any issuance of UAL common stock for cash, and the acquisition or disposition of any stock by a stockholder owning 5%</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2" w:name="page13"/>
    <w:bookmarkEnd w:id="12"/>
    <w:p>
      <w:pPr>
        <w:ind w:right="20"/>
        <w:spacing w:after="0" w:line="250" w:lineRule="auto"/>
        <w:rPr>
          <w:sz w:val="20"/>
          <w:szCs w:val="20"/>
          <w:color w:val="auto"/>
        </w:rPr>
      </w:pPr>
      <w:r>
        <w:rPr>
          <w:rFonts w:ascii="Times New Roman" w:cs="Times New Roman" w:eastAsia="Times New Roman" w:hAnsi="Times New Roman"/>
          <w:sz w:val="18"/>
          <w:szCs w:val="18"/>
          <w:color w:val="auto"/>
        </w:rPr>
        <w:t>or more of the outstanding shares of UAL common stock, or a combination of the foregoing. If we were to experience an "ownership change," it is possible that the Company's NOLs and certain other tax attribute carryforwards could expire before we would be able to use them to offset future income tax obligations.</w:t>
      </w:r>
    </w:p>
    <w:p>
      <w:pPr>
        <w:spacing w:after="0" w:line="200" w:lineRule="exact"/>
        <w:rPr>
          <w:sz w:val="20"/>
          <w:szCs w:val="20"/>
          <w:color w:val="auto"/>
        </w:rPr>
      </w:pPr>
    </w:p>
    <w:p>
      <w:pPr>
        <w:spacing w:after="0" w:line="328"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On December 4, 2020, the board of directors of the Company adopted a tax benefits preservation plan (the "Plan") in order to preserve the Company's ability to use its NOLs and certain other tax attributes to reduce potential future income tax obligations. The Plan is designed to reduce the likelihood that the Company experiences an "ownership change" by deterring certain acquisitions of Company securities. There is no assurance, however, that the deterrent mechanism will be effective, and such acquisitions may still occur. In addition, the Plan may adversely affect the marketability of UAL common stock by discouraging existing or potential investors from acquiring UAL common stock or additional shares of UAL common stock because any non-exempt third party that acquires 4.9% or more of the then-outstanding shares of UAL common stock would suffer substantial dilution of its ownership interest in the Company.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175"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Certain statements in this Current Report on Form 8-K are forward-looking and thus reflect the Company's current expectations and beliefs with respect to certain current and future events and anticipated financial and operating performance. Such forward-looking statements are and will be subject to many risks and uncertainties relating to the Company's operations and business environment that may cause actual results to differ materially from any future results expressed or implied in such forward-looking statements. Words such as “expects," "will," "plans," "anticipates," "indicates," "remains," "believes," "estimates," "forecast," "guidance," "outlook," "goals," "targets" and similar expressions are intended to identify forward-looking statements. Additionally, forward-looking statements include statements that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report are based upon information available to the Company on the date of this report. The Company undertakes no obligation to publicly update or revise any forward-looking statement, whether as a result of new information, future events, changed circumstances or otherwise, except as required by applicable law.</w:t>
      </w:r>
    </w:p>
    <w:p>
      <w:pPr>
        <w:spacing w:after="0" w:line="13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The Company's actual results could differ materially from these forward-looking statements due to numerous factors including, without limitation, the following: the duration and spread of the ongoing global COVID-19 pandemic and the outbreak of any other disease or similar public health threat and the impact on the business, results of operations and financial condition of the Company; the lenders' ability to accelerate the MileagePlus indebtedness, foreclose upon the collateral securing the MileagePlus indebtedness or exercise other remedies if the Company is not able to comply with the covenants in the MileagePlus financing agreements; the effects of borrowing pursuant to the Loan Program under the CARES Act, and the effects of the grant and promissory note through the Payroll Support Program under the CARES Act; the costs and availability of financing; the Company's significant amount of financial leverage from fixed obligations and ability to seek additional liquidity and maintain adequate liquidity; the Company's ability to comply with the terms of its various financing arrangements; the Company's ability to utilize its net operating losses to offset future taxable income; the material disruption of the Company's strategic operating plan as a result of the COVID-19 pandemic and the Company's ability to execute its strategic operating plans in the long term; general economic conditions (including interest rates, foreign currency exchange rates, investment or credit market conditions, crude oil prices, costs of aircraft fuel and energy refining capacity in relevant markets); risks of doing business globally, including instability and political developments that may impact its operations in certain countries; demand for travel and the impact that global economic and political conditions have on customer travel patterns; the Company's capacity decisions and the capacity decisions of its competitors; competitive pressures on pricing and on demand; changes in aircraft fuel prices; disruptions in the Company's supply of aircraft fuel; the Company's ability to cost-effectively hedge against increases in the price of aircraft fuel, if it decides to do so; the effects of any technology failures, cybersecurity or significant data breaches; disruptions to services provided by third-party service providers; potential reputational or other impact from adverse events involving the Company's aircraft or operations, the aircraft or operations of its regional carriers or its code share partners or the aircraft or operations of another airline; the Company's ability to attract and retain customers; the effects of any terrorist attacks, international hostilities or other security events, or the fear of such events; the mandatory grounding of aircraft in the Company's fleet; disruptions to the Company's regional network as a result of the COVID-19 pandemic or otherwise; the impact of regulatory, investigative and legal proceedings and legal compliance risks; the success of the Company's investments in other airlines, including in other parts of the world, which involve significant challenges and risks, particularly given the impact of the COVID-19 pandemic; industry consolidation or changes in airline alliances; the ability of other air carriers with whom the Company has alliances or partnerships to provide the services contemplated by the respective arrangements with such carriers; costs associated with any modification or termination of the Company's aircraft orders; disruptions in the availability of aircraft, parts or support from its suppliers; the Company's ability to maintain satisfactory labor relations and the results of any collective bargaining agreement process with its union groups; any disruptions to operations due to any potential actions by the Company's labor groups; labor costs; the impact of any management changes; extended interruptions or disruptions in service at major airports where the Company operates; U.S. or foreign governmental legislation, regulation and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13" w:name="page14"/>
    <w:bookmarkEnd w:id="13"/>
    <w:p>
      <w:pPr>
        <w:spacing w:after="0" w:line="241" w:lineRule="auto"/>
        <w:rPr>
          <w:sz w:val="20"/>
          <w:szCs w:val="20"/>
          <w:color w:val="auto"/>
        </w:rPr>
      </w:pPr>
      <w:r>
        <w:rPr>
          <w:rFonts w:ascii="Times New Roman" w:cs="Times New Roman" w:eastAsia="Times New Roman" w:hAnsi="Times New Roman"/>
          <w:sz w:val="18"/>
          <w:szCs w:val="18"/>
          <w:color w:val="auto"/>
        </w:rPr>
        <w:t>other actions (including Open Skies agreements, environmental regulations and the United Kingdom's withdrawal from the European Union); the seasonality of the airline industry; weather conditions; the costs and availability of aviation and other insurance; the Company's ability to realize the full value of its intangible assets and long-lived assets; any impact to the Company's reputation or brand image and other risks and uncertainties set forth under Part I, Item 1A., "Risk Factors," of the Company's Annual Report on Form 10-K for the fiscal year ended December 31, 2019, as updated by the Company's Quarterly Report on Form 10-Q for the fiscal quarter ended September 30, 2020, as well as other risks and uncertainties set forth from time to time in the reports the Company files with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640" w:type="dxa"/>
            <w:vAlign w:val="bottom"/>
          </w:tcPr>
          <w:p>
            <w:pPr>
              <w:spacing w:after="0"/>
              <w:rPr>
                <w:sz w:val="13"/>
                <w:szCs w:val="13"/>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940" w:type="dxa"/>
            <w:vAlign w:val="bottom"/>
          </w:tcPr>
          <w:p>
            <w:pPr>
              <w:spacing w:after="0"/>
              <w:rPr>
                <w:sz w:val="13"/>
                <w:szCs w:val="13"/>
                <w:color w:val="auto"/>
              </w:rPr>
            </w:pPr>
          </w:p>
        </w:tc>
      </w:tr>
      <w:tr>
        <w:trPr>
          <w:trHeight w:val="38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300" w:type="dxa"/>
            <w:vAlign w:val="bottom"/>
            <w:gridSpan w:val="3"/>
          </w:tcPr>
          <w:p>
            <w:pPr>
              <w:ind w:left="640"/>
              <w:spacing w:after="0"/>
              <w:rPr>
                <w:rFonts w:ascii="Times New Roman" w:cs="Times New Roman" w:eastAsia="Times New Roman" w:hAnsi="Times New Roman"/>
                <w:sz w:val="18"/>
                <w:szCs w:val="18"/>
                <w:color w:val="0000FF"/>
              </w:rPr>
            </w:pPr>
            <w:hyperlink w:anchor="page16">
              <w:r>
                <w:rPr>
                  <w:rFonts w:ascii="Times New Roman" w:cs="Times New Roman" w:eastAsia="Times New Roman" w:hAnsi="Times New Roman"/>
                  <w:sz w:val="18"/>
                  <w:szCs w:val="18"/>
                  <w:u w:val="single" w:color="auto"/>
                  <w:color w:val="0000FF"/>
                </w:rPr>
                <w:t>Promissory Note, dated as of January 15,</w:t>
              </w:r>
              <w:r>
                <w:rPr>
                  <w:rFonts w:ascii="Times New Roman" w:cs="Times New Roman" w:eastAsia="Times New Roman" w:hAnsi="Times New Roman"/>
                  <w:sz w:val="18"/>
                  <w:szCs w:val="18"/>
                  <w:color w:val="0000FF"/>
                </w:rPr>
                <w:t xml:space="preserve"> 2021, </w:t>
              </w:r>
              <w:r>
                <w:rPr>
                  <w:rFonts w:ascii="Times New Roman" w:cs="Times New Roman" w:eastAsia="Times New Roman" w:hAnsi="Times New Roman"/>
                  <w:sz w:val="18"/>
                  <w:szCs w:val="18"/>
                  <w:u w:val="single" w:color="auto"/>
                  <w:color w:val="0000FF"/>
                </w:rPr>
                <w:t>among UAL, United, as guarantor, and the United States Department of the Treasury</w:t>
              </w:r>
              <w:r>
                <w:rPr>
                  <w:rFonts w:ascii="Times New Roman" w:cs="Times New Roman" w:eastAsia="Times New Roman" w:hAnsi="Times New Roman"/>
                  <w:sz w:val="18"/>
                  <w:szCs w:val="18"/>
                  <w:color w:val="0000FF"/>
                </w:rPr>
                <w:t>.</w:t>
              </w:r>
            </w:hyperlink>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300" w:type="dxa"/>
            <w:vAlign w:val="bottom"/>
            <w:gridSpan w:val="3"/>
          </w:tcPr>
          <w:p>
            <w:pPr>
              <w:ind w:left="64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Warrant Agreement, dated as of January 15, 2021, between UAL and the United States Department of the Treasury.</w:t>
              </w:r>
            </w:hyperlink>
          </w:p>
        </w:tc>
      </w:tr>
      <w:tr>
        <w:trPr>
          <w:trHeight w:val="3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300" w:type="dxa"/>
            <w:vAlign w:val="bottom"/>
            <w:gridSpan w:val="3"/>
          </w:tcPr>
          <w:p>
            <w:pPr>
              <w:ind w:left="64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Form of Warrant (included in Exhibit 4.2 as Annex B thereto).</w:t>
              </w:r>
            </w:hyperlink>
          </w:p>
        </w:tc>
      </w:tr>
      <w:tr>
        <w:trPr>
          <w:trHeight w:val="36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300" w:type="dxa"/>
            <w:vAlign w:val="bottom"/>
            <w:gridSpan w:val="3"/>
          </w:tcPr>
          <w:p>
            <w:pPr>
              <w:ind w:left="640"/>
              <w:spacing w:after="0"/>
              <w:rPr>
                <w:rFonts w:ascii="Times New Roman" w:cs="Times New Roman" w:eastAsia="Times New Roman" w:hAnsi="Times New Roman"/>
                <w:sz w:val="18"/>
                <w:szCs w:val="18"/>
                <w:color w:val="0000FF"/>
                <w:w w:val="99"/>
              </w:rPr>
            </w:pPr>
            <w:hyperlink w:anchor="page85">
              <w:r>
                <w:rPr>
                  <w:rFonts w:ascii="Times New Roman" w:cs="Times New Roman" w:eastAsia="Times New Roman" w:hAnsi="Times New Roman"/>
                  <w:sz w:val="18"/>
                  <w:szCs w:val="18"/>
                  <w:u w:val="single" w:color="auto"/>
                  <w:color w:val="0000FF"/>
                  <w:w w:val="99"/>
                </w:rPr>
                <w:t>Payroll Support Program Agreement, dated as of January 15,</w:t>
              </w:r>
              <w:r>
                <w:rPr>
                  <w:rFonts w:ascii="Times New Roman" w:cs="Times New Roman" w:eastAsia="Times New Roman" w:hAnsi="Times New Roman"/>
                  <w:sz w:val="18"/>
                  <w:szCs w:val="18"/>
                  <w:color w:val="0000FF"/>
                  <w:w w:val="99"/>
                </w:rPr>
                <w:t xml:space="preserve"> 2021, </w:t>
              </w:r>
              <w:r>
                <w:rPr>
                  <w:rFonts w:ascii="Times New Roman" w:cs="Times New Roman" w:eastAsia="Times New Roman" w:hAnsi="Times New Roman"/>
                  <w:sz w:val="18"/>
                  <w:szCs w:val="18"/>
                  <w:u w:val="single" w:color="auto"/>
                  <w:color w:val="0000FF"/>
                  <w:w w:val="99"/>
                </w:rPr>
                <w:t>between United and the United States Department of the Treasury</w:t>
              </w:r>
              <w:r>
                <w:rPr>
                  <w:rFonts w:ascii="Times New Roman" w:cs="Times New Roman" w:eastAsia="Times New Roman" w:hAnsi="Times New Roman"/>
                  <w:sz w:val="18"/>
                  <w:szCs w:val="18"/>
                  <w:color w:val="0000FF"/>
                  <w:w w:val="99"/>
                </w:rPr>
                <w:t>.</w:t>
              </w:r>
            </w:hyperlink>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300" w:type="dxa"/>
            <w:vAlign w:val="bottom"/>
            <w:gridSpan w:val="3"/>
          </w:tcPr>
          <w:p>
            <w:pPr>
              <w:ind w:left="640"/>
              <w:spacing w:after="0"/>
              <w:rPr>
                <w:rFonts w:ascii="Times New Roman" w:cs="Times New Roman" w:eastAsia="Times New Roman" w:hAnsi="Times New Roman"/>
                <w:sz w:val="18"/>
                <w:szCs w:val="18"/>
                <w:color w:val="0000FF"/>
              </w:rPr>
            </w:pPr>
            <w:hyperlink w:anchor="page102">
              <w:r>
                <w:rPr>
                  <w:rFonts w:ascii="Times New Roman" w:cs="Times New Roman" w:eastAsia="Times New Roman" w:hAnsi="Times New Roman"/>
                  <w:sz w:val="18"/>
                  <w:szCs w:val="18"/>
                  <w:u w:val="single" w:color="auto"/>
                  <w:color w:val="0000FF"/>
                </w:rPr>
                <w:t>Press Release issued by United Airlines Holdings, Inc. dated January 20, 2021</w:t>
              </w:r>
              <w:r>
                <w:rPr>
                  <w:rFonts w:ascii="Times New Roman" w:cs="Times New Roman" w:eastAsia="Times New Roman" w:hAnsi="Times New Roman"/>
                  <w:sz w:val="18"/>
                  <w:szCs w:val="18"/>
                  <w:color w:val="0000FF"/>
                </w:rPr>
                <w:t>.</w:t>
              </w:r>
            </w:hyperlink>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3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53" w:right="419" w:bottom="1440" w:gutter="0" w:footer="0" w:header="0"/>
        </w:sectPr>
      </w:pPr>
    </w:p>
    <w:bookmarkStart w:id="14" w:name="page15"/>
    <w:bookmarkEnd w:id="14"/>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200" w:lineRule="exact"/>
        <w:rPr>
          <w:sz w:val="20"/>
          <w:szCs w:val="20"/>
          <w:color w:val="auto"/>
        </w:rPr>
      </w:pPr>
    </w:p>
    <w:p>
      <w:pPr>
        <w:spacing w:after="0" w:line="2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200" w:lineRule="exact"/>
        <w:rPr>
          <w:sz w:val="20"/>
          <w:szCs w:val="20"/>
          <w:color w:val="auto"/>
        </w:rPr>
      </w:pPr>
    </w:p>
    <w:p>
      <w:pPr>
        <w:spacing w:after="0" w:line="263" w:lineRule="exact"/>
        <w:rPr>
          <w:sz w:val="20"/>
          <w:szCs w:val="20"/>
          <w:color w:val="auto"/>
        </w:rPr>
      </w:pPr>
    </w:p>
    <w:tbl>
      <w:tblPr>
        <w:tblLayout w:type="fixed"/>
        <w:tblInd w:w="5160" w:type="dxa"/>
        <w:tblCellMar>
          <w:top w:w="0" w:type="dxa"/>
          <w:left w:w="0" w:type="dxa"/>
          <w:bottom w:w="0" w:type="dxa"/>
          <w:right w:w="0" w:type="dxa"/>
        </w:tblCellMar>
      </w:tblPr>
      <w:tr>
        <w:trPr>
          <w:trHeight w:val="2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Gerald Laderman</w:t>
            </w:r>
          </w:p>
        </w:tc>
      </w:tr>
      <w:tr>
        <w:trPr>
          <w:trHeight w:val="25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Gerald Laderman</w:t>
            </w:r>
          </w:p>
        </w:tc>
      </w:tr>
      <w:tr>
        <w:trPr>
          <w:trHeight w:val="25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20, 2021</w:t>
      </w:r>
    </w:p>
    <w:p>
      <w:pPr>
        <w:sectPr>
          <w:pgSz w:w="11900" w:h="16838" w:orient="portrait"/>
          <w:cols w:equalWidth="0" w:num="1">
            <w:col w:w="11240"/>
          </w:cols>
          <w:pgMar w:left="320" w:top="1440" w:right="339" w:bottom="7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717" w:gutter="0" w:footer="0" w:header="0"/>
          <w:type w:val="continuous"/>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PROMISSORY NOTE</w:t>
      </w:r>
    </w:p>
    <w:p>
      <w:pPr>
        <w:spacing w:after="0" w:line="162"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THE SECURITIES REPRESENTED BY THIS INSTRUMENT HAVE NOT BEEN REGISTERED UNDER THE SECURITIES ACT OF 1933, AS AMENDED, OR THE SECURITIES LAWS OF ANY STATE AND MAY NOT BE TRANSFERRED, SOLD OR OTHERWISE DISPOSED OF EXCEPT WHILE A REGISTRATION STATEMENT RELATING THERETO IS IN EFFECT UNDER SUCH ACT AND APPLICABLE STATE SECURITIES LAWS OR PURSUANT TO AN EXEMPTION FROM REGISTRATION UNDER SUCH ACT OR SUCH LAWS.</w:t>
      </w:r>
    </w:p>
    <w:p>
      <w:pPr>
        <w:spacing w:after="0" w:line="112"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Reference is made to that certain Payroll Support Program Extension Agreement (“</w:t>
      </w:r>
      <w:r>
        <w:rPr>
          <w:rFonts w:ascii="Times New Roman" w:cs="Times New Roman" w:eastAsia="Times New Roman" w:hAnsi="Times New Roman"/>
          <w:sz w:val="18"/>
          <w:szCs w:val="18"/>
          <w:u w:val="single" w:color="auto"/>
          <w:color w:val="auto"/>
        </w:rPr>
        <w:t>PSP2 Agreement</w:t>
      </w:r>
      <w:r>
        <w:rPr>
          <w:rFonts w:ascii="Times New Roman" w:cs="Times New Roman" w:eastAsia="Times New Roman" w:hAnsi="Times New Roman"/>
          <w:sz w:val="18"/>
          <w:szCs w:val="18"/>
          <w:color w:val="auto"/>
        </w:rPr>
        <w:t>”) dated as of the date hereof by and among UNITED AIRLINES, INC., a Delaware corporation (“</w:t>
      </w:r>
      <w:r>
        <w:rPr>
          <w:rFonts w:ascii="Times New Roman" w:cs="Times New Roman" w:eastAsia="Times New Roman" w:hAnsi="Times New Roman"/>
          <w:sz w:val="18"/>
          <w:szCs w:val="18"/>
          <w:u w:val="single" w:color="auto"/>
          <w:color w:val="auto"/>
        </w:rPr>
        <w:t>Carrier</w:t>
      </w:r>
      <w:r>
        <w:rPr>
          <w:rFonts w:ascii="Times New Roman" w:cs="Times New Roman" w:eastAsia="Times New Roman" w:hAnsi="Times New Roman"/>
          <w:sz w:val="18"/>
          <w:szCs w:val="18"/>
          <w:color w:val="auto"/>
        </w:rPr>
        <w:t>”), having an office at 233 South Wacker Drive, Chicago, IL 60606 and the United States Department of the Treasury (“</w:t>
      </w:r>
      <w:r>
        <w:rPr>
          <w:rFonts w:ascii="Times New Roman" w:cs="Times New Roman" w:eastAsia="Times New Roman" w:hAnsi="Times New Roman"/>
          <w:sz w:val="18"/>
          <w:szCs w:val="18"/>
          <w:u w:val="single" w:color="auto"/>
          <w:color w:val="auto"/>
        </w:rPr>
        <w:t>Treasury</w:t>
      </w:r>
      <w:r>
        <w:rPr>
          <w:rFonts w:ascii="Times New Roman" w:cs="Times New Roman" w:eastAsia="Times New Roman" w:hAnsi="Times New Roman"/>
          <w:sz w:val="18"/>
          <w:szCs w:val="18"/>
          <w:color w:val="auto"/>
        </w:rPr>
        <w:t>”), having an office at 1500 Pennsylvania Avenue, NW, Washington, D.C. 20220, entered into by Carrier and Treasury pursuant to the Consolidated Appropriations Act, 2021 (December 27, 2020) (“</w:t>
      </w:r>
      <w:r>
        <w:rPr>
          <w:rFonts w:ascii="Times New Roman" w:cs="Times New Roman" w:eastAsia="Times New Roman" w:hAnsi="Times New Roman"/>
          <w:sz w:val="18"/>
          <w:szCs w:val="18"/>
          <w:u w:val="single" w:color="auto"/>
          <w:color w:val="auto"/>
        </w:rPr>
        <w:t>PSP Extension Law</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ind w:right="780"/>
        <w:spacing w:after="0" w:line="266" w:lineRule="auto"/>
        <w:rPr>
          <w:sz w:val="20"/>
          <w:szCs w:val="20"/>
          <w:color w:val="auto"/>
        </w:rPr>
      </w:pPr>
      <w:r>
        <w:rPr>
          <w:rFonts w:ascii="Times New Roman" w:cs="Times New Roman" w:eastAsia="Times New Roman" w:hAnsi="Times New Roman"/>
          <w:sz w:val="18"/>
          <w:szCs w:val="18"/>
          <w:color w:val="auto"/>
        </w:rPr>
        <w:t>WHEREAS, Carrier has requested that Treasury provide financial assistance to the Carrier and certain of its Affiliates (as defined below) that are Recipients (as defined in the PSP2 Agreement) that shall be used for the continuation of payment of employee wages, salaries, and benefits as is permissible under Section 402(a) of the PSP Extension Law.</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WHEREAS, as appropriate compensation to the Federal Government of the United States of America for the provision of financial assistance under the PSP2 Agreement, UNITED AIRLINES HOLDINGS, INC., a Delaware corporation and parent of Carrier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having an office at 233 South Wacker Drive, Chicago, IL 60606, has agreed to issue this Promissory Note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to Treasury on the terms and conditions set forth herein.</w:t>
      </w:r>
    </w:p>
    <w:p>
      <w:pPr>
        <w:spacing w:after="0" w:line="9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VALUE RECEIVED, Issuer unconditionally promises to pay to the Holder (as defined below) the principal sum of three hundred sixty-one million four hundred sixty thousand four hundred Dollars ($361,460,400), subject to increases and/or decreases made pursuant to Section 2.1, as permissible under the PSP2 Agreement, or Section 2.3, in each case as noted by the Holder in Schedule I (the “</w:t>
      </w:r>
      <w:r>
        <w:rPr>
          <w:rFonts w:ascii="Times New Roman" w:cs="Times New Roman" w:eastAsia="Times New Roman" w:hAnsi="Times New Roman"/>
          <w:sz w:val="18"/>
          <w:szCs w:val="18"/>
          <w:u w:val="single" w:color="auto"/>
          <w:color w:val="auto"/>
        </w:rPr>
        <w:t>Principal Amount</w:t>
      </w:r>
      <w:r>
        <w:rPr>
          <w:rFonts w:ascii="Times New Roman" w:cs="Times New Roman" w:eastAsia="Times New Roman" w:hAnsi="Times New Roman"/>
          <w:sz w:val="18"/>
          <w:szCs w:val="18"/>
          <w:color w:val="auto"/>
        </w:rPr>
        <w:t xml:space="preserve">”), outstanding hereunder, together with all accrued interest thereon on the Maturity Date (as defined below) as provided in this Note. Notations made by the Holder in Schedule I shall be final and conclusive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failure by the Holder to make such notations or any error by omission by the Holder in this regard shall not affect the obligation of the Issuer to pay the full amount of the principal of and interest on the Note or any other amount owing hereunder.</w:t>
      </w:r>
    </w:p>
    <w:p>
      <w:pPr>
        <w:spacing w:after="0" w:line="129" w:lineRule="exact"/>
        <w:rPr>
          <w:sz w:val="20"/>
          <w:szCs w:val="20"/>
          <w:color w:val="auto"/>
        </w:rPr>
      </w:pPr>
    </w:p>
    <w:p>
      <w:pPr>
        <w:ind w:left="640" w:hanging="632"/>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13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As used in this Note, capitalized terms have the meanings specified in Annex A.</w:t>
      </w:r>
    </w:p>
    <w:p>
      <w:pPr>
        <w:spacing w:after="0" w:line="14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“or” is not exclusive. The word “year” shall refer (i) in the case of a leap year, to a year of three hundred sixty-six (366) days, and (ii) otherwise, to a year of three hundred sixty-five (365) days.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Note in its entirety and not to any particular provision hereof, (d) all references herein to Sections, Annexes and Schedules shall be construed to refer to Sections of, and Annexes and Schedules to, this Note, (e) any reference to any law or regulation herein shall, unless otherwise specified, refer to such law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spacing w:after="0" w:line="1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u w:val="single" w:color="auto"/>
          <w:color w:val="auto"/>
        </w:rPr>
        <w:t>Accounting Terms</w:t>
      </w:r>
      <w:r>
        <w:rPr>
          <w:rFonts w:ascii="Times New Roman" w:cs="Times New Roman" w:eastAsia="Times New Roman" w:hAnsi="Times New Roman"/>
          <w:sz w:val="17"/>
          <w:szCs w:val="17"/>
          <w:color w:val="auto"/>
        </w:rPr>
        <w:t>. All accounting terms not otherwise defined herein shall be construed in conformity with GAAP,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16" w:name="page17"/>
    <w:bookmarkEnd w:id="16"/>
    <w:p>
      <w:pPr>
        <w:ind w:left="640" w:hanging="632"/>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NOTE</w:t>
      </w:r>
    </w:p>
    <w:p>
      <w:pPr>
        <w:spacing w:after="0" w:line="13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Principal Amount</w:t>
      </w:r>
      <w:r>
        <w:rPr>
          <w:rFonts w:ascii="Times New Roman" w:cs="Times New Roman" w:eastAsia="Times New Roman" w:hAnsi="Times New Roman"/>
          <w:sz w:val="18"/>
          <w:szCs w:val="18"/>
          <w:color w:val="auto"/>
        </w:rPr>
        <w:t xml:space="preserve">. Upon any disbursement to the Issuer under the PSP2 Agreement after the Closing Date, the Principal Amount of this Note shall be increased in an amount equal to 30% of any such disbursement;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increases in the Principal Amount of this Note shall occur pursuant to this Section until the aggregate principal amount of any disbursements to the Issuer under the PSP2 Agreement is greater than $100,000,000.</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The aggregate unpaid principal amount of the Note, all accrued and unpaid interest, and all other amounts payable under this Note shall be due and payable on the Maturity Date, unless otherwise provided in Section 5.1.</w:t>
      </w:r>
    </w:p>
    <w:p>
      <w:pPr>
        <w:spacing w:after="0" w:line="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Prepayments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right="220" w:firstLine="8"/>
        <w:spacing w:after="0" w:line="282" w:lineRule="auto"/>
        <w:tabs>
          <w:tab w:leader="none" w:pos="6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 The Issuer may, upon written notice to the Holder, at any time and from time to time prepay the Note in whole or in part without premium or penalty in a minimum aggregate principal amount equal to the lesser of $5,000,000 and the Principal Amount outstanding.</w:t>
      </w:r>
    </w:p>
    <w:p>
      <w:pPr>
        <w:spacing w:after="0" w:line="80" w:lineRule="exact"/>
        <w:rPr>
          <w:rFonts w:ascii="Times New Roman" w:cs="Times New Roman" w:eastAsia="Times New Roman" w:hAnsi="Times New Roman"/>
          <w:sz w:val="18"/>
          <w:szCs w:val="18"/>
          <w:color w:val="auto"/>
        </w:rPr>
      </w:pPr>
    </w:p>
    <w:p>
      <w:pPr>
        <w:jc w:val="both"/>
        <w:ind w:right="80" w:firstLine="8"/>
        <w:spacing w:after="0" w:line="261" w:lineRule="auto"/>
        <w:tabs>
          <w:tab w:leader="none" w:pos="64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 If a Change of Control occurs, within thirty (30) days following the occurrence of such Change of Control, the Issuer shall prepay the aggregate principal amount outstanding under the Note and any accrued interest or other amounts owing under the Note. The Issuer will not, and will not permit any Subsidiary to, enter into any Contractual Obligation (other than this Note) that, directly or indirectly, restricts the ability of the Issuer or any Subsidiary to make such prepayment hereunder.</w:t>
      </w:r>
    </w:p>
    <w:p>
      <w:pPr>
        <w:spacing w:after="0" w:line="1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firstLine="8"/>
        <w:spacing w:after="0" w:line="255" w:lineRule="auto"/>
        <w:tabs>
          <w:tab w:leader="none" w:pos="6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Subject to paragraph (b) of this Section, the Note shall bear interest on the Principal Amount outstanding from time to time at a rate per annum equal to 1.00% until the fifth anniversary of the Closing Date, and the Applicable SOFR Rate plus 2.00% thereafter until the Maturity Date. All interest hereunder shall be computed on the basis of the actual number of days in each interest period and a year of 365 or 366 days, as applicable, until the fifth anniversary of the Closing Date and computed in a manner determined by the Holder thereafter, based on prevailing customary market conventions for the use of the Applicable SOFR Rate in floating-rate debt instruments at the time of the announcement of the Applicable SOFR Rate. Each interest period will be from, and including, the Closing Date, or from and including the most recent interest payment date to which interest has been paid or provided for, to, but excluding the next interest payment date.</w:t>
      </w:r>
    </w:p>
    <w:p>
      <w:pPr>
        <w:spacing w:after="0" w:line="107" w:lineRule="exact"/>
        <w:rPr>
          <w:rFonts w:ascii="Times New Roman" w:cs="Times New Roman" w:eastAsia="Times New Roman" w:hAnsi="Times New Roman"/>
          <w:sz w:val="18"/>
          <w:szCs w:val="18"/>
          <w:color w:val="auto"/>
        </w:rPr>
      </w:pPr>
    </w:p>
    <w:p>
      <w:pPr>
        <w:ind w:right="160" w:firstLine="8"/>
        <w:spacing w:after="0" w:line="261" w:lineRule="auto"/>
        <w:tabs>
          <w:tab w:leader="none" w:pos="64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Interest</w:t>
      </w:r>
      <w:r>
        <w:rPr>
          <w:rFonts w:ascii="Times New Roman" w:cs="Times New Roman" w:eastAsia="Times New Roman" w:hAnsi="Times New Roman"/>
          <w:sz w:val="18"/>
          <w:szCs w:val="18"/>
          <w:color w:val="auto"/>
        </w:rPr>
        <w:t>. If any amount payable by the Issuer or any Guarantor under this Note (including principal of the Note, interest, fees or other amount) is not paid when due, whether at stated maturity, upon acceleration or otherwise, such amount shall thereafter bear interest at a rate per annum equal to the applicable Default Rate. While any Event of Default exists, the Issuer or any Guarantor shall pay interest on the principal amount of the Note outstanding hereunder at a rate per annum equal to the applicable Default Rate.</w:t>
      </w:r>
    </w:p>
    <w:p>
      <w:pPr>
        <w:spacing w:after="0" w:line="112" w:lineRule="exact"/>
        <w:rPr>
          <w:rFonts w:ascii="Times New Roman" w:cs="Times New Roman" w:eastAsia="Times New Roman" w:hAnsi="Times New Roman"/>
          <w:sz w:val="18"/>
          <w:szCs w:val="18"/>
          <w:color w:val="auto"/>
        </w:rPr>
      </w:pPr>
    </w:p>
    <w:p>
      <w:pPr>
        <w:ind w:right="20" w:firstLine="8"/>
        <w:spacing w:after="0" w:line="261" w:lineRule="auto"/>
        <w:tabs>
          <w:tab w:leader="none" w:pos="6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Dates</w:t>
      </w:r>
      <w:r>
        <w:rPr>
          <w:rFonts w:ascii="Times New Roman" w:cs="Times New Roman" w:eastAsia="Times New Roman" w:hAnsi="Times New Roman"/>
          <w:sz w:val="18"/>
          <w:szCs w:val="18"/>
          <w:color w:val="auto"/>
        </w:rPr>
        <w:t xml:space="preserve">. Accrued interest on the Note shall be payable in arrears on the last Business Day of March and September of each year, beginning with March 31, 2021 , and on the Maturity Date and at such other times as may be specified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paragraph (b) of this Section shall be payable on demand and (ii) in the event of any repayment or prepayment of the Note, accrued interest on the principal amount repaid or prepaid shall be payable on the date of such repayment or prepayment.</w:t>
      </w:r>
    </w:p>
    <w:p>
      <w:pPr>
        <w:spacing w:after="0" w:line="112" w:lineRule="exact"/>
        <w:rPr>
          <w:rFonts w:ascii="Times New Roman" w:cs="Times New Roman" w:eastAsia="Times New Roman" w:hAnsi="Times New Roman"/>
          <w:sz w:val="18"/>
          <w:szCs w:val="18"/>
          <w:color w:val="auto"/>
        </w:rPr>
      </w:pPr>
    </w:p>
    <w:p>
      <w:pPr>
        <w:ind w:right="80" w:firstLine="8"/>
        <w:spacing w:after="0" w:line="254" w:lineRule="auto"/>
        <w:tabs>
          <w:tab w:leader="none" w:pos="64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SOFR Fallback</w:t>
      </w:r>
      <w:r>
        <w:rPr>
          <w:rFonts w:ascii="Times New Roman" w:cs="Times New Roman" w:eastAsia="Times New Roman" w:hAnsi="Times New Roman"/>
          <w:sz w:val="18"/>
          <w:szCs w:val="18"/>
          <w:color w:val="auto"/>
        </w:rPr>
        <w:t>. If, at any time, the Holder or its designee determines that a Benchmark Transition Event has occurred with respect to the Applicable SOFR Rate or SOFR, or any successor rate, the Holder or its designee will designate a Benchmark Replacement and, as applicable, make Benchmark Conforming Changes in a manner consistent with the methodology set forth in the ARRC Fallback Provisions. Any determination, decision or election that may be made by the Holder or its designee pursuant to this Section 2.4(d), and any decision to take or refrain from taking any action or making any determination, decision or election arising out of or relating to this Section 2.4(d), shall be conclusive and binding absent manifest error, may be made by the Holder or its designee in its sole discretion, and, notwithstanding anything to the contrary in this Note, shall become effective without the consent of the Issuer, any Guarantor or any other party. Any terms used in this Section 2.4(d) but not defined in this Note shall be construed in a manner consistent with the ARRC Fallback Provisions.</w:t>
      </w:r>
    </w:p>
    <w:p>
      <w:pPr>
        <w:spacing w:after="0" w:line="15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u w:val="single" w:color="auto"/>
          <w:color w:val="auto"/>
        </w:rPr>
        <w:t>Payments Generally</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035" w:right="359" w:bottom="1440" w:gutter="0" w:footer="0" w:header="0"/>
        </w:sectPr>
      </w:pPr>
    </w:p>
    <w:bookmarkStart w:id="17" w:name="page18"/>
    <w:bookmarkEnd w:id="17"/>
    <w:p>
      <w:pPr>
        <w:ind w:right="40" w:firstLine="8"/>
        <w:spacing w:after="0" w:line="269" w:lineRule="auto"/>
        <w:tabs>
          <w:tab w:leader="none" w:pos="64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 by Issuer</w:t>
      </w:r>
      <w:r>
        <w:rPr>
          <w:rFonts w:ascii="Times New Roman" w:cs="Times New Roman" w:eastAsia="Times New Roman" w:hAnsi="Times New Roman"/>
          <w:sz w:val="17"/>
          <w:szCs w:val="17"/>
          <w:color w:val="auto"/>
        </w:rPr>
        <w:t xml:space="preserve">. All payments to be made by the Issuer hereunder shall be made without condition or deduction for any counterclaim, defense, recoupment or setoff. Except as otherwise expressly provided herein, (i) for so long as Treasury is the Holder of this Note, each payment under this Note shall be paid in immediately available funds by electronic funds transfer to the account of the United States Treasury maintained at the Federal Reserve Bank of New York specified by Treasury in a written notice to the Issuer, or to such other account as may be specified from time to time by Treasury in a written notice to the Issuer, or (ii) in the event that Treasury is not the Holder of this Note, then each payment under this Note shall be made in immediately available funds by electronic funds transfer to such account as shall be specified by the Holder in a written notice to the Issuer, in each case not later than 12:00 noon (Washington, D.C. time) on the date specified herein. All amounts received by the Holder after such time on any date shall be deemed to have been received on the next succeeding Business Day and any applicable interest or fees shall continue to accrue. If any payment to be made by the Issuer shall fall due on a day that is not a Business Day, payment shall be made on the next succeeding Business Day and such extension of time shall be reflected in computing interest or fees, as the case may be;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next succeeding Business Day would fall after the Maturity Date, payment shall be made on the immediately preceding Business Day. Except as otherwise expressly provided herein, all payments hereunder shall be made in Dollars.</w:t>
      </w:r>
    </w:p>
    <w:p>
      <w:pPr>
        <w:spacing w:after="0" w:line="114" w:lineRule="exact"/>
        <w:rPr>
          <w:rFonts w:ascii="Times New Roman" w:cs="Times New Roman" w:eastAsia="Times New Roman" w:hAnsi="Times New Roman"/>
          <w:sz w:val="17"/>
          <w:szCs w:val="17"/>
          <w:color w:val="auto"/>
        </w:rPr>
      </w:pPr>
    </w:p>
    <w:p>
      <w:pPr>
        <w:ind w:right="480" w:firstLine="8"/>
        <w:spacing w:after="0" w:line="266" w:lineRule="auto"/>
        <w:tabs>
          <w:tab w:leader="none" w:pos="64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Insufficient Payments</w:t>
      </w:r>
      <w:r>
        <w:rPr>
          <w:rFonts w:ascii="Times New Roman" w:cs="Times New Roman" w:eastAsia="Times New Roman" w:hAnsi="Times New Roman"/>
          <w:sz w:val="18"/>
          <w:szCs w:val="18"/>
          <w:color w:val="auto"/>
        </w:rPr>
        <w:t xml:space="preserve">. If at any time insufficient funds are received by and available to the Holder to pay fully all amounts of principal, interest, fees and other amounts then due hereunder, such funds shall be applied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 interest, fees and other amounts then due hereunder, and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pay principal then due hereunder.</w:t>
      </w:r>
    </w:p>
    <w:p>
      <w:pPr>
        <w:spacing w:after="0" w:line="118"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1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Issuer and each Guarantor represents and warrants to the Holder on the Closing Date and is deemed to represent and warrant to the Holder on any date on which the amount of the Note is increased pursuant to the terms hereof and in accordance with the PSP2 Agreement that:</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Existence, Qualification and Power</w:t>
      </w:r>
      <w:r>
        <w:rPr>
          <w:rFonts w:ascii="Times New Roman" w:cs="Times New Roman" w:eastAsia="Times New Roman" w:hAnsi="Times New Roman"/>
          <w:sz w:val="18"/>
          <w:szCs w:val="18"/>
          <w:color w:val="auto"/>
        </w:rPr>
        <w:t>. The Issuer, each Guarantor and each Subsidiary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Note, and (c) is duly qualified and is licensed and, as applicable, in good standing under the Laws of each jurisdiction where its ownership, lease or operation of properties or the conduct of its business requires such qualification or license, except, in each case referred to in clause (a) (other than with respect to the Issuer and each Guarantor), (b)(i) or (c), to the extent that failure to do so could not reasonably be expected to have a Material Adverse Effect.</w:t>
      </w:r>
    </w:p>
    <w:p>
      <w:pPr>
        <w:spacing w:after="0" w:line="108" w:lineRule="exact"/>
        <w:rPr>
          <w:sz w:val="20"/>
          <w:szCs w:val="20"/>
          <w:color w:val="auto"/>
        </w:rPr>
      </w:pPr>
    </w:p>
    <w:p>
      <w:pPr>
        <w:ind w:right="420"/>
        <w:spacing w:after="0" w:line="276"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Authorization; No Contravention</w:t>
      </w:r>
      <w:r>
        <w:rPr>
          <w:rFonts w:ascii="Times New Roman" w:cs="Times New Roman" w:eastAsia="Times New Roman" w:hAnsi="Times New Roman"/>
          <w:sz w:val="17"/>
          <w:szCs w:val="17"/>
          <w:color w:val="auto"/>
        </w:rPr>
        <w:t>. The execution, delivery and performance by the Issuer and each Guarantor of the Note have been duly authorized by all necessary corporate or other organizational action, and do not and will not (a) contravene the terms of its Organizational Documents,</w:t>
      </w:r>
    </w:p>
    <w:p>
      <w:pPr>
        <w:spacing w:after="0" w:line="1" w:lineRule="exact"/>
        <w:rPr>
          <w:sz w:val="20"/>
          <w:szCs w:val="20"/>
          <w:color w:val="auto"/>
        </w:rPr>
      </w:pPr>
    </w:p>
    <w:p>
      <w:pPr>
        <w:ind w:right="20" w:firstLine="8"/>
        <w:spacing w:after="0" w:line="253"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or result in any breach or contravention of, or the creation of any Lien under, or require any payment to be made under (i) any material Contractual Obligation to which the Issuer or any Guarantor is a party or affecting the Issuer or any Guarantor or the material properties of the Issuer, any Guarantor or any Subsidiary or (ii) any material order, injunction, writ or decree of any Governmental Authority or any arbitral award to which the Issuer, the Guarantor or any Subsidiary or its property is subject or (c) violate any Law, except to the extent that such violation could not reasonably be expected to have a Material Adverse Effect.</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Governmental Authorization; Other Consents</w:t>
      </w:r>
      <w:r>
        <w:rPr>
          <w:rFonts w:ascii="Times New Roman" w:cs="Times New Roman" w:eastAsia="Times New Roman" w:hAnsi="Times New Roman"/>
          <w:sz w:val="18"/>
          <w:szCs w:val="18"/>
          <w:color w:val="auto"/>
        </w:rPr>
        <w:t>. No approval, consent, exemption, authorization, or other action by, or notice to, or filing with, any Governmental Authority or any other Person is necessary or required in connection with the execution, delivery or performance by, or enforcement against, the Issuer or any Guarantor of this Note, except for such approvals, consents, exemptions, authorizations, actions or notices that have been duly obtained, taken or made and in full force and effect.</w:t>
      </w:r>
    </w:p>
    <w:p>
      <w:pPr>
        <w:spacing w:after="0" w:line="11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Execution and Delivery; Binding Effect</w:t>
      </w:r>
      <w:r>
        <w:rPr>
          <w:rFonts w:ascii="Times New Roman" w:cs="Times New Roman" w:eastAsia="Times New Roman" w:hAnsi="Times New Roman"/>
          <w:sz w:val="18"/>
          <w:szCs w:val="18"/>
          <w:color w:val="auto"/>
        </w:rPr>
        <w:t>. This Note has been duly executed and delivered by the Issuer and each Guarantor. This Note constitutes a legal, valid and binding obligation of the Issuer and each Guarantor, enforceable against the Issuer and each Guarantor in accordance with its terms, except as such enforceability may be limited by bankruptcy, insolvency, reorganization, receivership, moratorium or other Laws affecting creditors’ rights generally and by general principles of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26" w:right="339" w:bottom="1440" w:gutter="0" w:footer="0" w:header="0"/>
        </w:sectPr>
      </w:pPr>
    </w:p>
    <w:bookmarkStart w:id="18" w:name="page19"/>
    <w:bookmarkEnd w:id="18"/>
    <w:p>
      <w:pPr>
        <w:ind w:left="640" w:hanging="632"/>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COVENANTS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all Obligations shall have been paid in full or until any later date as provided for in this Note, the Issuer covenants and agrees with the Holder that: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The Issuer will promptly notify the Holder of the occurrence of any Default.</w:t>
      </w:r>
    </w:p>
    <w:p>
      <w:pPr>
        <w:spacing w:after="0" w:line="14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The Guarantors listed on the signature page to this Note hereby Guarantee the Guaranteed Obligations as set forth in Annex B. If any Subsidiary (other than an Excluded Subsidiary) is formed or acquired after the Closing Date or if any Subsidiary ceases to be an Excluded Subsidiary, then the Issuer will cause such Subsidiary to become a Guarantor of this Note within 30 days of such Subsidiary being formed or acquired or of such Subsidiary ceasing to be an Excluded Subsidiary pursuant to customary documentation reasonably acceptable to the Holder and on the terms and conditions set forth in Annex B.</w:t>
      </w:r>
    </w:p>
    <w:p>
      <w:pPr>
        <w:spacing w:after="0" w:line="11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Pari Passu Ranking</w:t>
      </w:r>
      <w:r>
        <w:rPr>
          <w:rFonts w:ascii="Times New Roman" w:cs="Times New Roman" w:eastAsia="Times New Roman" w:hAnsi="Times New Roman"/>
          <w:sz w:val="18"/>
          <w:szCs w:val="18"/>
          <w:color w:val="auto"/>
        </w:rPr>
        <w:t xml:space="preserve">. The Obligations of the Issuer and any Guaranteed Obligations of any Guarantor under this Note shall be unsecured obligations of the Issuer and any Guarantor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existing and future senior unsecured Indebtedness of the Issuer or any Guarantor that is not subordinated in right of payment to the holder or lender of such Indebtedness.</w:t>
      </w:r>
    </w:p>
    <w:p>
      <w:pPr>
        <w:spacing w:after="0" w:line="104"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EVENTS OF DEFAULT</w:t>
      </w:r>
    </w:p>
    <w:p>
      <w:pPr>
        <w:spacing w:after="0" w:line="13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auto"/>
        </w:rPr>
        <w:t>Events of Default</w:t>
      </w:r>
      <w:r>
        <w:rPr>
          <w:rFonts w:ascii="Times New Roman" w:cs="Times New Roman" w:eastAsia="Times New Roman" w:hAnsi="Times New Roman"/>
          <w:sz w:val="17"/>
          <w:szCs w:val="17"/>
          <w:color w:val="auto"/>
        </w:rPr>
        <w:t>. If any of the following events (each, an “</w:t>
      </w:r>
      <w:r>
        <w:rPr>
          <w:rFonts w:ascii="Times New Roman" w:cs="Times New Roman" w:eastAsia="Times New Roman" w:hAnsi="Times New Roman"/>
          <w:sz w:val="17"/>
          <w:szCs w:val="17"/>
          <w:u w:val="single" w:color="auto"/>
          <w:color w:val="auto"/>
        </w:rPr>
        <w:t>Event of Default</w:t>
      </w:r>
      <w:r>
        <w:rPr>
          <w:rFonts w:ascii="Times New Roman" w:cs="Times New Roman" w:eastAsia="Times New Roman" w:hAnsi="Times New Roman"/>
          <w:sz w:val="17"/>
          <w:szCs w:val="17"/>
          <w:color w:val="auto"/>
        </w:rPr>
        <w:t>”) shall occur:</w:t>
      </w:r>
    </w:p>
    <w:p>
      <w:pPr>
        <w:spacing w:after="0" w:line="158" w:lineRule="exact"/>
        <w:rPr>
          <w:sz w:val="20"/>
          <w:szCs w:val="20"/>
          <w:color w:val="auto"/>
        </w:rPr>
      </w:pPr>
    </w:p>
    <w:p>
      <w:pPr>
        <w:ind w:right="260" w:firstLine="8"/>
        <w:spacing w:after="0" w:line="282" w:lineRule="auto"/>
        <w:tabs>
          <w:tab w:leader="none" w:pos="6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fail to pay any principal of the Note when and as the same shall become due and payable, whether at the due date thereof or at a date fixed for prepayment thereof or otherwise;</w:t>
      </w:r>
    </w:p>
    <w:p>
      <w:pPr>
        <w:spacing w:after="0" w:line="80" w:lineRule="exact"/>
        <w:rPr>
          <w:rFonts w:ascii="Times New Roman" w:cs="Times New Roman" w:eastAsia="Times New Roman" w:hAnsi="Times New Roman"/>
          <w:sz w:val="18"/>
          <w:szCs w:val="18"/>
          <w:color w:val="auto"/>
        </w:rPr>
      </w:pPr>
    </w:p>
    <w:p>
      <w:pPr>
        <w:jc w:val="both"/>
        <w:ind w:right="160" w:firstLine="8"/>
        <w:spacing w:after="0" w:line="266" w:lineRule="auto"/>
        <w:tabs>
          <w:tab w:leader="none" w:pos="64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fail to pay any interest on the Note, or any fee or any other amount (other than an amount referred to in clause (a) of this Section) payable under this Note, when and as the same shall become due and payable, and such failure shall continue unremedied for a period of two (2) or more Business Days;</w:t>
      </w:r>
    </w:p>
    <w:p>
      <w:pPr>
        <w:spacing w:after="0" w:line="108" w:lineRule="exact"/>
        <w:rPr>
          <w:rFonts w:ascii="Times New Roman" w:cs="Times New Roman" w:eastAsia="Times New Roman" w:hAnsi="Times New Roman"/>
          <w:sz w:val="18"/>
          <w:szCs w:val="18"/>
          <w:color w:val="auto"/>
        </w:rPr>
      </w:pPr>
    </w:p>
    <w:p>
      <w:pPr>
        <w:ind w:right="160" w:firstLine="8"/>
        <w:spacing w:after="0" w:line="256" w:lineRule="auto"/>
        <w:tabs>
          <w:tab w:leader="none" w:pos="6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the Issuer or any Guarantor, including those made prior to the Closing Date, in or in connection with this Note or any amendment or modification hereof, or any waiver hereunder, or in the PSP2 Agreement, or in any report, certificate, financial statement or other document furnished pursuant to or in connection with this Note, the PSP2 Agreement or the PSP2 Application or any amendment or modification hereof or thereof, or any waiver hereunder or thereunder, shall prove to have been incorrect in any material respect (or, in the case of any such representation or warranty under this Note already qualified by materiality, such representation or warranty shall prove to have been incorrect) when made or deemed made;</w:t>
      </w:r>
    </w:p>
    <w:p>
      <w:pPr>
        <w:spacing w:after="0" w:line="11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fail to observe or perform any covenant, condition or agreement contained in Section 4.1;</w:t>
      </w:r>
    </w:p>
    <w:p>
      <w:pPr>
        <w:spacing w:after="0" w:line="144" w:lineRule="exact"/>
        <w:rPr>
          <w:rFonts w:ascii="Times New Roman" w:cs="Times New Roman" w:eastAsia="Times New Roman" w:hAnsi="Times New Roman"/>
          <w:sz w:val="18"/>
          <w:szCs w:val="18"/>
          <w:color w:val="auto"/>
        </w:rPr>
      </w:pPr>
    </w:p>
    <w:p>
      <w:pPr>
        <w:ind w:firstLine="8"/>
        <w:spacing w:after="0" w:line="266" w:lineRule="auto"/>
        <w:tabs>
          <w:tab w:leader="none" w:pos="6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any Guarantor shall fail to observe or perform any covenant, condition or agreement contained in this Note (other than those specified in clause (a), (b) or (d) of this Section) and such failure shall continue unremedied for a period of 30 or more days after notice thereof by the Holder to the Issuer;</w:t>
      </w:r>
    </w:p>
    <w:p>
      <w:pPr>
        <w:spacing w:after="0" w:line="108" w:lineRule="exact"/>
        <w:rPr>
          <w:rFonts w:ascii="Times New Roman" w:cs="Times New Roman" w:eastAsia="Times New Roman" w:hAnsi="Times New Roman"/>
          <w:sz w:val="18"/>
          <w:szCs w:val="18"/>
          <w:color w:val="auto"/>
        </w:rPr>
      </w:pPr>
    </w:p>
    <w:p>
      <w:pPr>
        <w:ind w:right="20" w:firstLine="8"/>
        <w:spacing w:after="0" w:line="254" w:lineRule="auto"/>
        <w:tabs>
          <w:tab w:leader="none" w:pos="63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Issuer or any Guarantor shall default in the performance of any obligation relating to any Indebtedness (other than Indebtedness under the Note) having an aggregate principal amount equal to or greater than $220,000,000 (“</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and any applicable grace periods shall have expired and any applicable notice requirements shall have been complied with, and as a result of such default the holder or holders of such Material Indebtedness or any trustee or agent on behalf of such holder or holders shall have caused such Material Indebtedness to become due prior to its scheduled final maturity date or (ii) the Issuer or any Guarantor shall default in the payment of the outstanding principal amount due on the scheduled final maturity date of any Indebtedness outstanding under one or more agreements of the Issuer or any Guarantor, any applicable grace periods shall have expired and any applicable notice requirements shall have been complied with and such failure to make payment when due shall be continuing for a period of more than five (5) consecutive Business Days following the applicable scheduled final maturity date or the applicable grace period thereunder, in an aggregate principal amount at any single time unpaid exceeding $220,000,000;</w:t>
      </w:r>
    </w:p>
    <w:p>
      <w:pPr>
        <w:spacing w:after="0" w:line="120" w:lineRule="exact"/>
        <w:rPr>
          <w:rFonts w:ascii="Times New Roman" w:cs="Times New Roman" w:eastAsia="Times New Roman" w:hAnsi="Times New Roman"/>
          <w:sz w:val="18"/>
          <w:szCs w:val="18"/>
          <w:color w:val="auto"/>
        </w:rPr>
      </w:pPr>
    </w:p>
    <w:p>
      <w:pPr>
        <w:jc w:val="both"/>
        <w:ind w:right="340" w:firstLine="8"/>
        <w:spacing w:after="0" w:line="266" w:lineRule="auto"/>
        <w:tabs>
          <w:tab w:leader="none" w:pos="64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reorganization or other relief in respect of the Issuer, any Guarantor or any Subsidiary or its debts, or of a substantial part of its assets, under any Debtor Relief Law now or hereafter in effect or (ii) the appointment of a</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35" w:right="339" w:bottom="1440" w:gutter="0" w:footer="0" w:header="0"/>
        </w:sectPr>
      </w:pPr>
    </w:p>
    <w:bookmarkStart w:id="19" w:name="page20"/>
    <w:bookmarkEnd w:id="19"/>
    <w:p>
      <w:pPr>
        <w:ind w:right="140"/>
        <w:spacing w:after="0" w:line="266" w:lineRule="auto"/>
        <w:rPr>
          <w:sz w:val="20"/>
          <w:szCs w:val="20"/>
          <w:color w:val="auto"/>
        </w:rPr>
      </w:pPr>
      <w:r>
        <w:rPr>
          <w:rFonts w:ascii="Times New Roman" w:cs="Times New Roman" w:eastAsia="Times New Roman" w:hAnsi="Times New Roman"/>
          <w:sz w:val="18"/>
          <w:szCs w:val="18"/>
          <w:color w:val="auto"/>
        </w:rPr>
        <w:t>receiver, trustee, custodian, sequestrator, conservator or similar official for the Issuer or any of its Subsidiaries or for a substantial part of its assets, and, in any such case, such proceeding or petition shall continue undismissed for a period of 60 or more days or an order or decree approving or ordering any of the foregoing shall be entered;</w:t>
      </w:r>
    </w:p>
    <w:p>
      <w:pPr>
        <w:spacing w:after="0" w:line="108" w:lineRule="exact"/>
        <w:rPr>
          <w:sz w:val="20"/>
          <w:szCs w:val="20"/>
          <w:color w:val="auto"/>
        </w:rPr>
      </w:pPr>
    </w:p>
    <w:p>
      <w:pPr>
        <w:ind w:right="20" w:firstLine="8"/>
        <w:spacing w:after="0" w:line="258" w:lineRule="auto"/>
        <w:tabs>
          <w:tab w:leader="none" w:pos="64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any Guarantor or any Subsidiary shall (i) voluntarily commence any proceeding or file any petition seeking liquidation, reorganization or other relief under any Debtor Relief Law now or hereafter in effect, (ii) consent to the institution of, or fail to contest in a timely and appropriate manner, any proceeding or petition described in clause (g) of this Section, (iii) apply for or consent to the appointment of a receiver, trustee, custodian, sequestrator, conservator or similar official for the Issuer, any Guarantor or any Subsidiary or for a substantial part of its assets, (iv) file an answer admitting the material allegations of a petition filed against it in any such proceeding or (v) make a general assignment for the benefit of creditors;</w:t>
      </w:r>
    </w:p>
    <w:p>
      <w:pPr>
        <w:spacing w:after="0" w:line="1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any Guarantor or any Subsidiary shall become unable, admit in writing its inability or fail generally to pay its debts as they become due;</w:t>
      </w:r>
    </w:p>
    <w:p>
      <w:pPr>
        <w:spacing w:after="0" w:line="155" w:lineRule="exact"/>
        <w:rPr>
          <w:rFonts w:ascii="Times New Roman" w:cs="Times New Roman" w:eastAsia="Times New Roman" w:hAnsi="Times New Roman"/>
          <w:sz w:val="17"/>
          <w:szCs w:val="17"/>
          <w:color w:val="auto"/>
        </w:rPr>
      </w:pPr>
    </w:p>
    <w:p>
      <w:pPr>
        <w:ind w:right="20" w:firstLine="8"/>
        <w:spacing w:after="0" w:line="256" w:lineRule="auto"/>
        <w:tabs>
          <w:tab w:leader="none" w:pos="64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entered against the Issuer, any Guarantor or any Subsidiary (i) a final judgment or order for the payment of money in an aggregate amount (as to all such judgments and orders) exceeding an amount equal to or greater than $220,000,000 (to the extent not covered by independent third-party insurance as to which the insurer has been notified of such judgment or order and has not denied or failed to acknowledge coverage), or (ii) a non-monetary final judgment or order that, either individually or in the aggregate, has or could reasonably be expected to have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119" w:lineRule="exact"/>
        <w:rPr>
          <w:rFonts w:ascii="Times New Roman" w:cs="Times New Roman" w:eastAsia="Times New Roman" w:hAnsi="Times New Roman"/>
          <w:sz w:val="18"/>
          <w:szCs w:val="18"/>
          <w:color w:val="auto"/>
        </w:rPr>
      </w:pPr>
    </w:p>
    <w:p>
      <w:pPr>
        <w:ind w:right="40" w:firstLine="8"/>
        <w:spacing w:after="0" w:line="261" w:lineRule="auto"/>
        <w:tabs>
          <w:tab w:leader="none" w:pos="64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 of the Note, at any time after its execution and delivery and for any reason other than as expressly permitted hereunder or satisfaction in full of all Obligations, ceases to be in full force and effect; or the Issuer, any Guarantor or any other Person contests in writing the validity or enforceability of any provision of the Note; or the Issuer or any Guarantor denies in writing that it has any or further liability or obligation under the Note, or purports in writing to revoke, terminate or rescind the Note;</w:t>
      </w:r>
    </w:p>
    <w:p>
      <w:pPr>
        <w:spacing w:after="0" w:line="9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then, and in every such event (other than an event with respect to the Issuer or any Guarantor described in clause (g) or (h) of this Section), and at any time thereafter during the continuance of such event, the Holder may, by notice to the Issuer, take any or all of the following actions, at the same or different times:</w:t>
      </w:r>
    </w:p>
    <w:p>
      <w:pPr>
        <w:spacing w:after="0" w:line="108" w:lineRule="exact"/>
        <w:rPr>
          <w:sz w:val="20"/>
          <w:szCs w:val="20"/>
          <w:color w:val="auto"/>
        </w:rPr>
      </w:pPr>
    </w:p>
    <w:p>
      <w:pPr>
        <w:ind w:right="120" w:firstLine="8"/>
        <w:spacing w:after="0" w:line="261" w:lineRule="auto"/>
        <w:tabs>
          <w:tab w:leader="none" w:pos="64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any amounts then outstanding under the Note to be due and payable in whole (or in part, in which case any principal not so declared to be due and payable may thereafter be declared to be due and payable), and thereupon the principal of the Note so declared to be due and payable, together with accrued interest thereon and all fees and other Obligations of the Issuer accrued hereunder, shall become due and payable immediately, without presentment, demand, protest or other notice of any kind, all of which are hereby waived by the Issuer and any Guarantor; and</w:t>
      </w:r>
    </w:p>
    <w:p>
      <w:pPr>
        <w:spacing w:after="0" w:line="11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on all rights and remedies available to it under the Note and Applicable Law;</w:t>
      </w:r>
    </w:p>
    <w:p>
      <w:pPr>
        <w:spacing w:after="0" w:line="14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case of any event with respect to the Issuer or any Guarantor described in clause (g) or (h) of this Section, the principal of the Note then outstanding, together with accrued interest thereon and all fees and other Obligations accrued hereunder, shall automatically become due and payable, in each case without presentment, demand, protest or other notice of any kind, all of which are hereby waived by the Issuer and any Guarantor.</w:t>
      </w:r>
    </w:p>
    <w:p>
      <w:pPr>
        <w:spacing w:after="0" w:line="118" w:lineRule="exact"/>
        <w:rPr>
          <w:sz w:val="20"/>
          <w:szCs w:val="20"/>
          <w:color w:val="auto"/>
        </w:rPr>
      </w:pPr>
    </w:p>
    <w:p>
      <w:pPr>
        <w:ind w:left="640" w:hanging="632"/>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13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right="160" w:firstLine="8"/>
        <w:spacing w:after="0" w:line="266" w:lineRule="auto"/>
        <w:tabs>
          <w:tab w:leader="none" w:pos="6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email as follows:</w:t>
      </w:r>
    </w:p>
    <w:p>
      <w:pPr>
        <w:spacing w:after="0" w:line="108" w:lineRule="exact"/>
        <w:rPr>
          <w:sz w:val="20"/>
          <w:szCs w:val="20"/>
          <w:color w:val="auto"/>
        </w:rPr>
      </w:pPr>
    </w:p>
    <w:p>
      <w:pPr>
        <w:ind w:right="420" w:firstLine="8"/>
        <w:spacing w:after="0" w:line="282" w:lineRule="auto"/>
        <w:tabs>
          <w:tab w:leader="none" w:pos="64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Issuer or any Guarantor, to United Airlines, 233 South Wacker Drive, Chicago, IL 60606, Attention of Treasurer (Telecopier No.: [ ]; Telephone No. [ ]; Email: [ ]);</w:t>
      </w:r>
    </w:p>
    <w:p>
      <w:pPr>
        <w:spacing w:after="0" w:line="94" w:lineRule="exact"/>
        <w:rPr>
          <w:rFonts w:ascii="Times New Roman" w:cs="Times New Roman" w:eastAsia="Times New Roman" w:hAnsi="Times New Roman"/>
          <w:sz w:val="18"/>
          <w:szCs w:val="18"/>
          <w:color w:val="auto"/>
        </w:rPr>
      </w:pPr>
    </w:p>
    <w:p>
      <w:pPr>
        <w:ind w:right="260" w:firstLine="8"/>
        <w:spacing w:after="0" w:line="282" w:lineRule="auto"/>
        <w:tabs>
          <w:tab w:leader="none" w:pos="6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Holder, to the Department of the Treasury at 1500 Pennsylvania Avenue, NW, Washington, D.C. 20220, Attention of Assistant General Counsel (Banking and Finance) (Telephone No. [ ]; Email: [ ]); and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26" w:right="339" w:bottom="1440" w:gutter="0" w:footer="0" w:header="0"/>
        </w:sectPr>
      </w:pPr>
    </w:p>
    <w:bookmarkStart w:id="20" w:name="page21"/>
    <w:bookmarkEnd w:id="20"/>
    <w:p>
      <w:pPr>
        <w:ind w:right="300"/>
        <w:spacing w:after="0" w:line="312" w:lineRule="auto"/>
        <w:rPr>
          <w:sz w:val="20"/>
          <w:szCs w:val="20"/>
          <w:color w:val="auto"/>
        </w:rPr>
      </w:pPr>
      <w:r>
        <w:rPr>
          <w:rFonts w:ascii="Times New Roman" w:cs="Times New Roman" w:eastAsia="Times New Roman" w:hAnsi="Times New Roman"/>
          <w:sz w:val="17"/>
          <w:szCs w:val="17"/>
          <w:color w:val="auto"/>
        </w:rPr>
        <w:t>Notices sent by hand or overnight courier service, or mailed by certified or registered mail, shall be deemed to have been given when received. Notices delivered through electronic communications, to the extent provided in paragraph (b) below, shall be effective as provided in said paragraph (b).</w:t>
      </w:r>
    </w:p>
    <w:p>
      <w:pPr>
        <w:spacing w:after="0" w:line="72" w:lineRule="exact"/>
        <w:rPr>
          <w:sz w:val="20"/>
          <w:szCs w:val="20"/>
          <w:color w:val="auto"/>
        </w:rPr>
      </w:pPr>
    </w:p>
    <w:p>
      <w:pPr>
        <w:ind w:right="200" w:firstLine="8"/>
        <w:spacing w:after="0" w:line="261" w:lineRule="auto"/>
        <w:tabs>
          <w:tab w:leader="none" w:pos="64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Holder hereunder may be delivered or furnished by electronic communication (including email, FpML, and Internet or intranet websites) pursuant to procedures approved by the Holder. The Holder, the Issuer or any Guarantor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1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Unless the Holder otherwise prescribes, (i) notices and other communications sent to an e-mail address shall be deemed received upon the sender’s receipt of an acknowledgement from the intended recipient (such as by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w:t>
      </w:r>
    </w:p>
    <w:p>
      <w:pPr>
        <w:spacing w:after="0" w:line="10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Waivers; Amendments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right="80" w:firstLine="8"/>
        <w:spacing w:after="0" w:line="258" w:lineRule="auto"/>
        <w:tabs>
          <w:tab w:leader="none" w:pos="6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 Remedies Cumulative; Enforcement</w:t>
      </w:r>
      <w:r>
        <w:rPr>
          <w:rFonts w:ascii="Times New Roman" w:cs="Times New Roman" w:eastAsia="Times New Roman" w:hAnsi="Times New Roman"/>
          <w:sz w:val="18"/>
          <w:szCs w:val="18"/>
          <w:color w:val="auto"/>
        </w:rPr>
        <w:t>. No failure or delay by the Holder in exercising any right, remedy, power or privilege hereunder shall operate as a waiver thereof, nor shall any single or partial exercise of any such right, remedy, power or privilege, or any abandonment or discontinuance of steps to enforce such a right remedy, power or privilege, preclude any other or further exercise thereof or the exercise of any other right remedy, power or privilege. The rights, remedies, powers and privileges of the Holder hereunder and under the Note are cumulative and are not exclusive of any rights, remedies, powers or privileges that any such Person would otherwise have.</w:t>
      </w:r>
    </w:p>
    <w:p>
      <w:pPr>
        <w:spacing w:after="0" w:line="102" w:lineRule="exact"/>
        <w:rPr>
          <w:rFonts w:ascii="Times New Roman" w:cs="Times New Roman" w:eastAsia="Times New Roman" w:hAnsi="Times New Roman"/>
          <w:sz w:val="18"/>
          <w:szCs w:val="18"/>
          <w:color w:val="auto"/>
        </w:rPr>
      </w:pPr>
    </w:p>
    <w:p>
      <w:pPr>
        <w:jc w:val="both"/>
        <w:ind w:right="100" w:firstLine="8"/>
        <w:spacing w:after="0" w:line="266" w:lineRule="auto"/>
        <w:tabs>
          <w:tab w:leader="none" w:pos="64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Etc</w:t>
      </w:r>
      <w:r>
        <w:rPr>
          <w:rFonts w:ascii="Times New Roman" w:cs="Times New Roman" w:eastAsia="Times New Roman" w:hAnsi="Times New Roman"/>
          <w:sz w:val="18"/>
          <w:szCs w:val="18"/>
          <w:color w:val="auto"/>
        </w:rPr>
        <w:t>. Except as otherwise expressly set forth in this Note, no amendment or waiver of any provision of this Note, and no consent to any departure by the Issuer therefrom, shall be effective unless in writing executed by the Issuer and the Holder, and each such waiver or consent shall be effective only in the specific instance and for the specific purpose for which given.</w:t>
      </w:r>
    </w:p>
    <w:p>
      <w:pPr>
        <w:spacing w:after="0" w:line="10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u w:val="single" w:color="auto"/>
          <w:color w:val="auto"/>
        </w:rPr>
        <w:t>Expenses; Indemnity; Damage Waiver</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firstLine="8"/>
        <w:spacing w:after="0" w:line="254" w:lineRule="auto"/>
        <w:tabs>
          <w:tab w:leader="none" w:pos="6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Issuer shall pay (i) all reasonable out-of-pocket expenses incurred by the Holder (including the reasonable fees, charges and disbursements of any counsel for the Holder) in connection with the preparation, negotiation, execution, delivery and administration of this Note and the PSP2 Agreement, any other agreements or documents executed in connection herewith or therewith, or any amendments, modifications or waivers of the provisions hereof or thereof (whether or not the transactions contemplated hereby or thereby shall be consummated), and (ii) all out-of-pocket expenses incurred by the Holder (including the fees, charges and disbursements of any counsel for the Holder), in connection with the enforcement or protection of its rights in connection with this Note and the PSP2 Agreement, any other agreements or documents executed in connection herewith or therewith, or any amendments, modifications or waivers of the provisions hereof or thereof (whether or not the transactions contemplated hereby or thereby shall be consummated), including all such out-of-pocket expenses incurred during any workout, restructuring, negotiations or enforcement in respect of such Note, PSP2 Agreement and other agreements or documents executed in connection herewith or therewith.</w:t>
      </w:r>
    </w:p>
    <w:p>
      <w:pPr>
        <w:spacing w:after="0" w:line="10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Issuer</w:t>
      </w:r>
      <w:r>
        <w:rPr>
          <w:rFonts w:ascii="Times New Roman" w:cs="Times New Roman" w:eastAsia="Times New Roman" w:hAnsi="Times New Roman"/>
          <w:sz w:val="18"/>
          <w:szCs w:val="18"/>
          <w:color w:val="auto"/>
        </w:rPr>
        <w:t>. The Issuer shall indemnify the Holder and each of its Related Parties (each such Person being called an</w:t>
      </w:r>
    </w:p>
    <w:p>
      <w:pPr>
        <w:spacing w:after="0" w:line="2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against, and hold each Indemnitee harmless from, any and all losses, claims, damages, liabilities, obligations, penalties, fines, settlements, judgments, disbursements and related costs and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the Issuer) arising out of, in connection with, or as a result of</w:t>
      </w:r>
    </w:p>
    <w:p>
      <w:pPr>
        <w:spacing w:after="0" w:line="1" w:lineRule="exact"/>
        <w:rPr>
          <w:sz w:val="20"/>
          <w:szCs w:val="20"/>
          <w:color w:val="auto"/>
        </w:rPr>
      </w:pPr>
    </w:p>
    <w:p>
      <w:pPr>
        <w:ind w:right="100" w:firstLine="8"/>
        <w:spacing w:after="0" w:line="265" w:lineRule="auto"/>
        <w:tabs>
          <w:tab w:leader="none" w:pos="21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or delivery of this Note or any agreement or instrument contemplated hereby, the performance by the Issuer or any Guarantor of its obligations hereunder or the consummation of the transactions contemplated hereby, (ii) the Note or the use or proposed use of the proceeds therefrom, or</w:t>
      </w:r>
    </w:p>
    <w:p>
      <w:pPr>
        <w:ind w:right="300" w:firstLine="8"/>
        <w:spacing w:after="0" w:line="260" w:lineRule="auto"/>
        <w:tabs>
          <w:tab w:leader="none" w:pos="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prospective claim, litigation, investigation or proceeding relating to any of the foregoing, whether based on contract, tort or any other theory, whether brought by a third party or by the Issuer or any Guarantor, and regardless of whether any Indemnitee is a party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80"/>
          </w:cols>
          <w:pgMar w:left="320" w:top="1026" w:right="399" w:bottom="1440" w:gutter="0" w:footer="0" w:header="0"/>
        </w:sectPr>
      </w:pPr>
    </w:p>
    <w:bookmarkStart w:id="21" w:name="page22"/>
    <w:bookmarkEnd w:id="21"/>
    <w:p>
      <w:pPr>
        <w:ind w:firstLine="8"/>
        <w:spacing w:after="0" w:line="256" w:lineRule="auto"/>
        <w:tabs>
          <w:tab w:leader="none" w:pos="64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Consequential Damages, Etc.</w:t>
      </w:r>
      <w:r>
        <w:rPr>
          <w:rFonts w:ascii="Times New Roman" w:cs="Times New Roman" w:eastAsia="Times New Roman" w:hAnsi="Times New Roman"/>
          <w:sz w:val="18"/>
          <w:szCs w:val="18"/>
          <w:color w:val="auto"/>
        </w:rPr>
        <w:t xml:space="preserve"> To the fullest extent permitted by Applicable Law, the Issuer and any Guarantor shall not assert, and hereby waives, any claim against any Indemnitee, on any theory of liability, for special, indirect, consequential or punitive damages (as opposed to direct or actual damages) arising out of, in connection with, or as a result of, this Note or any agreement or instrument contemplated hereby, the transactions contemplated hereby, or the use of the proceeds thereof.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Note or the transactions contemplated hereby.</w:t>
      </w:r>
    </w:p>
    <w:p>
      <w:pPr>
        <w:spacing w:after="0" w:line="11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amounts due under this Section shall be payable not later than five (5) days after demand therefor.</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Each party’s obligations under this Section shall survive the termination of the Note and payment of the obligations hereunder.</w:t>
      </w:r>
    </w:p>
    <w:p>
      <w:pPr>
        <w:spacing w:after="0" w:line="14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Neither the Issuer nor any Guarantor may assign or transfer this Note or any of its rights or obligations hereunder and any purported assignment or transfer in violation of this Note shall be void. Holder may assign or participate a portion or all of its rights under this Note at any time in compliance with all Applicable Laws. This Note shall inure to the benefit of and be binding upon Issuer, any Guarantor and Holder and their permitted successors and assigns. Any Holder that assigns, or sells participations in, any portion of the Note will take such actions as are necessary for the Note and such portion to be in “registered form” (within the meaning of Treasury Regulations Section 5f.103-1).</w:t>
      </w:r>
    </w:p>
    <w:p>
      <w:pPr>
        <w:spacing w:after="0" w:line="11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This Note and any amendments, waivers, consents or supplements hereto may be executed in counterparts, each of which shall constitute an original, but all taken together shall constitute a single contract. This Note constitutes the entire contract between Issuer, any Guarantor and the Holder with respect to the subject matter hereof and supersede all previous agreements and understandings, oral or written, with respect thereto. Notwithstanding anything herein to the contrary, delivery of an executed counterpart of a signature page of this Note by electronic means shall be effective as delivery of a manually executed counterpart of this Note.</w:t>
      </w:r>
    </w:p>
    <w:p>
      <w:pPr>
        <w:spacing w:after="0" w:line="102"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provision of this Note is invalid, illegal or unenforceable in any jurisdiction, such invalidity, illegality or unenforceability shall not affect any other term or provision of this Note or invalidate or render unenforceable such term or provision in any other jurisdiction.</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the Holder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the Holder, to or for the credit or the account of the Issuer against any and all of the due and unpaid Obligations of the Issuer now or hereafter existing under this Note to the Holder, irrespective of whether or not the Holder shall have made any demand under this Note. The rights of the Holder under this Section are in addition to other rights and remedies (including other rights of setoff) that the Holder may have. The Holder agrees to notify the Issuer promptly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Governing Law; Jurisdiction; Etc</w:t>
      </w:r>
      <w:r>
        <w:rPr>
          <w:rFonts w:ascii="Times New Roman" w:cs="Times New Roman" w:eastAsia="Times New Roman" w:hAnsi="Times New Roman"/>
          <w:sz w:val="18"/>
          <w:szCs w:val="18"/>
          <w:color w:val="auto"/>
        </w:rPr>
        <w:t>. This Note will be governed by and construed in accordance with the federal law of the United States if and to the extent such law is applicable, and otherwise in accordance with the laws of the State of New York applicable to contracts made and to be performed entirely within such State. Each of the Issuer, any Guarantor and the Holder agrees (a) to submit to the exclusive jurisdiction and venue of the United States District Court for the District of Columbia for any civil action, suit or proceeding arising out of or relating to this Note or the transactions contemplated hereby, and (b) that notice may be served upon the Issuer, any Guarantor or the Holder at the applicable address in Section 6.1 hereof (or upon any Holder that is not Treasury at an address provided by such Holder to Issuer in writing). To the extent permitted by Applicable Law, each of the Issuer, any Guarantor and the Holder hereby unconditionally waives trial by jury in any civil legal action or proceeding relating to the Note or the transactions contemplated hereby.</w:t>
      </w:r>
    </w:p>
    <w:p>
      <w:pPr>
        <w:spacing w:after="0" w:line="11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used herein are for convenience of reference only, are not part of this Note and shall not affect the construction of, or be taken into consideration in interpreting, this Note.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1026"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auto"/>
        </w:rPr>
        <w:t>IN WITNESS WHEREOF, the Issuer and each Guarantor have executed this Note as of the day and year written below.</w:t>
      </w:r>
    </w:p>
    <w:p>
      <w:pPr>
        <w:sectPr>
          <w:pgSz w:w="11900" w:h="16838" w:orient="portrait"/>
          <w:cols w:equalWidth="0" w:num="1">
            <w:col w:w="10139"/>
          </w:cols>
          <w:pgMar w:left="320" w:top="1026"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UNITED AIRLINES HOLDINGS, INC.,</w:t>
      </w:r>
    </w:p>
    <w:p>
      <w:pPr>
        <w:spacing w:after="0" w:line="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as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 /s/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-7620</wp:posOffset>
            </wp:positionV>
            <wp:extent cx="9677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spacing w:after="0" w:line="4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Gerald Laderman</w:t>
      </w:r>
    </w:p>
    <w:p>
      <w:pPr>
        <w:spacing w:after="0" w:line="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Executive Vice</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President and Chief</w:t>
      </w:r>
    </w:p>
    <w:p>
      <w:pPr>
        <w:spacing w:after="0" w:line="4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Date: January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UNITED AIRLINES, INC.,</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as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 /s/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-7620</wp:posOffset>
            </wp:positionV>
            <wp:extent cx="9677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spacing w:after="0" w:line="4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Gerald Laderman</w:t>
      </w:r>
    </w:p>
    <w:p>
      <w:pPr>
        <w:spacing w:after="0" w:line="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Executive Vice</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President and Chief</w:t>
      </w:r>
    </w:p>
    <w:p>
      <w:pPr>
        <w:spacing w:after="0" w:line="4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Date: January 15, 2021</w:t>
      </w:r>
    </w:p>
    <w:p>
      <w:pPr>
        <w:sectPr>
          <w:pgSz w:w="11900" w:h="16838" w:orient="portrait"/>
          <w:cols w:equalWidth="0" w:num="1">
            <w:col w:w="10139"/>
          </w:cols>
          <w:pgMar w:left="320" w:top="1026" w:right="1440" w:bottom="1440" w:gutter="0" w:footer="0" w:header="0"/>
          <w:type w:val="continuous"/>
        </w:sectPr>
      </w:pPr>
    </w:p>
    <w:bookmarkStart w:id="23" w:name="page24"/>
    <w:bookmarkEnd w:id="23"/>
    <w:p>
      <w:pPr>
        <w:ind w:left="522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16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Controls, is Controlled by, or is under common Control with, the Issuer.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as to any Person, all applicable Laws binding upon such Person or to which such a Person is subject.</w:t>
      </w:r>
    </w:p>
    <w:p>
      <w:pPr>
        <w:spacing w:after="0" w:line="15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SOFR Rate</w:t>
      </w:r>
      <w:r>
        <w:rPr>
          <w:rFonts w:ascii="Times New Roman" w:cs="Times New Roman" w:eastAsia="Times New Roman" w:hAnsi="Times New Roman"/>
          <w:sz w:val="18"/>
          <w:szCs w:val="18"/>
          <w:color w:val="auto"/>
        </w:rPr>
        <w:t>” means a rate of interest based on SOFR that shall be determined by the Holder and publicly announced by the Holder on or prior to the fifth anniversary of the Closing Date and shall, to the extent reasonably practicable, be based on customary market conventions as in effect at the time of such announcement. In no event will the Applicable SOFR Rate be less than 0.00% per annum.</w:t>
      </w:r>
    </w:p>
    <w:p>
      <w:pPr>
        <w:spacing w:after="0" w:line="9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ARRC Fallback Provisions</w:t>
      </w:r>
      <w:r>
        <w:rPr>
          <w:rFonts w:ascii="Times New Roman" w:cs="Times New Roman" w:eastAsia="Times New Roman" w:hAnsi="Times New Roman"/>
          <w:sz w:val="18"/>
          <w:szCs w:val="18"/>
          <w:color w:val="auto"/>
        </w:rPr>
        <w:t>” means the Fallback Language for New Issuances of LIBOR Floating Rate Notes set forth in the ARRC Recommendations Regarding More Robust Fallback Language for New Issuances of LIBOR Floating Rate Notes, dated April 25,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ASU</w:t>
      </w:r>
      <w:r>
        <w:rPr>
          <w:rFonts w:ascii="Times New Roman" w:cs="Times New Roman" w:eastAsia="Times New Roman" w:hAnsi="Times New Roman"/>
          <w:sz w:val="18"/>
          <w:szCs w:val="18"/>
          <w:color w:val="auto"/>
        </w:rPr>
        <w:t>” means the Accounting Standards Update 2016-02, Leases (Topic 842) by the Financial Accounting Standards Board issued on February 25, 2016.</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on which Treasury and the Federal Reserve Bank of New York are both open for business.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 Obligations</w:t>
      </w:r>
      <w:r>
        <w:rPr>
          <w:rFonts w:ascii="Times New Roman" w:cs="Times New Roman" w:eastAsia="Times New Roman" w:hAnsi="Times New Roman"/>
          <w:sz w:val="18"/>
          <w:szCs w:val="18"/>
          <w:color w:val="auto"/>
        </w:rPr>
        <w:t xml:space="preserve">” 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leases of such Person that are or would have been treated as operating leases for purposes of GAAP prior to the issuance of the ASU shall continue to be accounted for as operating leases for purposes of all financial definitions and calculations for purposes of this Note (whether or not such operating lease obligations were in effect on such date) notwithstanding the fact that such obligations are required in accordance with the ASU (on a prospective or retroactive basis or otherwise) to be treated as capitalized lease obligations for other purposes.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Leases</w:t>
      </w:r>
      <w:r>
        <w:rPr>
          <w:rFonts w:ascii="Times New Roman" w:cs="Times New Roman" w:eastAsia="Times New Roman" w:hAnsi="Times New Roman"/>
          <w:sz w:val="18"/>
          <w:szCs w:val="18"/>
          <w:color w:val="auto"/>
        </w:rPr>
        <w:t xml:space="preserve">” means all leases that have been or should be, in accordance with GAAP as in effect on the Closing Date, recorded as capitalized leases;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all purposes hereunder the amount of obligations under any Capitalized Lease shall be the amount thereof accounted for as a liability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all leases of such Person that are or would have been treated as operating leases for purposes of GAAP prior to the issuance of the ASU shall continue to be accounted for as operating leases for purposes of all financial definitions and calculations for purposes of this Note (whether or not such operating lease obligations were in effect on such date) notwithstanding the fact that such obligations are required in accordance with the ASU (on a prospective or retroactive basis or otherwise) to be treated as capitalized lease obligations for other purposes.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 (a) the sale, lease, transfer, conveyance or other disposition (other than by way of merger or consolidation), in one or a series of related transactions, of all or substantially all of the properties or assets of the Issuer and its Subsidiaries, or if the Issuer is a Subsidiary of any Guarantor, such Guarantor (the “</w:t>
      </w:r>
      <w:r>
        <w:rPr>
          <w:rFonts w:ascii="Times New Roman" w:cs="Times New Roman" w:eastAsia="Times New Roman" w:hAnsi="Times New Roman"/>
          <w:sz w:val="18"/>
          <w:szCs w:val="18"/>
          <w:u w:val="single" w:color="auto"/>
          <w:color w:val="auto"/>
        </w:rPr>
        <w:t>Parent Guarantor</w:t>
      </w:r>
      <w:r>
        <w:rPr>
          <w:rFonts w:ascii="Times New Roman" w:cs="Times New Roman" w:eastAsia="Times New Roman" w:hAnsi="Times New Roman"/>
          <w:sz w:val="18"/>
          <w:szCs w:val="18"/>
          <w:color w:val="auto"/>
        </w:rPr>
        <w:t>”) and its Subsidiaries, taken as a whole to any Person (including any “person” (as that term is used in Section 13(d)(3) of the Exchange Act)); or (b) the consummation of any transaction (including, without limitation, any merger or consolidation), the result of which is that any Person (including any “person” (as defined above)) becomes the Beneficial Owner, directly or indirectly, of more than 50% of the Voting Stock of the Issuer or Parent Guarantor, as applicable, (measured by voting power rather than number of shares), other than (i) any such transaction where the Voting Stock of the Issuer or Parent Guarantor, as applicable, (measured by voting power rather than number of shares) outstanding immediately prior to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w:t>
      </w:r>
    </w:p>
    <w:p>
      <w:pPr>
        <w:sectPr>
          <w:pgSz w:w="11900" w:h="16838" w:orient="portrait"/>
          <w:cols w:equalWidth="0" w:num="1">
            <w:col w:w="11240"/>
          </w:cols>
          <w:pgMar w:left="320" w:top="1022" w:right="339" w:bottom="1440" w:gutter="0" w:footer="0" w:header="0"/>
        </w:sectPr>
      </w:pPr>
    </w:p>
    <w:bookmarkStart w:id="24" w:name="page25"/>
    <w:bookmarkEnd w:id="24"/>
    <w:p>
      <w:pPr>
        <w:ind w:right="240"/>
        <w:spacing w:after="0" w:line="256" w:lineRule="auto"/>
        <w:rPr>
          <w:sz w:val="20"/>
          <w:szCs w:val="20"/>
          <w:color w:val="auto"/>
        </w:rPr>
      </w:pPr>
      <w:r>
        <w:rPr>
          <w:rFonts w:ascii="Times New Roman" w:cs="Times New Roman" w:eastAsia="Times New Roman" w:hAnsi="Times New Roman"/>
          <w:sz w:val="18"/>
          <w:szCs w:val="18"/>
          <w:color w:val="auto"/>
        </w:rPr>
        <w:t>constitutes or is converted into or exchanged for at least a majority of the outstanding shares of the Voting Stock of such Beneficial Owner (measured by voting power rather than number of shares), or (ii) any merger or consolidation of the Issuer or Parent Guarantor, as applicable, with or into any Person (including any “person” (as defined above)) which owns or operates (directly or indirectly through a contractual arrangement) a Permitted Business (a “</w:t>
      </w:r>
      <w:r>
        <w:rPr>
          <w:rFonts w:ascii="Times New Roman" w:cs="Times New Roman" w:eastAsia="Times New Roman" w:hAnsi="Times New Roman"/>
          <w:sz w:val="18"/>
          <w:szCs w:val="18"/>
          <w:u w:val="single" w:color="auto"/>
          <w:color w:val="auto"/>
        </w:rPr>
        <w:t>Permitted Person</w:t>
      </w:r>
      <w:r>
        <w:rPr>
          <w:rFonts w:ascii="Times New Roman" w:cs="Times New Roman" w:eastAsia="Times New Roman" w:hAnsi="Times New Roman"/>
          <w:sz w:val="18"/>
          <w:szCs w:val="18"/>
          <w:color w:val="auto"/>
        </w:rPr>
        <w:t>”) or a Subsidiary of a Permitted Person, in each case, if immediately after such transaction no Person (including any “person” (as defined above)) is the Beneficial Owner, directly or indirectly, of more than 50% of the total Voting Stock of such Permitted Person (measured by voting power rather than number of shares).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set forth on the Issuer’s and each Guarantor’s signature page to this Note.</w:t>
      </w:r>
    </w:p>
    <w:p>
      <w:pPr>
        <w:spacing w:after="0" w:line="15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8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analogous thereto.</w:t>
      </w:r>
    </w:p>
    <w:p>
      <w:pPr>
        <w:spacing w:after="0" w:line="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9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an interest rate (before as well as after judgment) equal to the interest rate on the Note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2.00% per annum.</w:t>
      </w:r>
    </w:p>
    <w:p>
      <w:pPr>
        <w:spacing w:after="0" w:line="1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w:t>
      </w:r>
      <w:r>
        <w:rPr>
          <w:rFonts w:ascii="Times New Roman" w:cs="Times New Roman" w:eastAsia="Times New Roman" w:hAnsi="Times New Roman"/>
          <w:sz w:val="18"/>
          <w:szCs w:val="18"/>
          <w:color w:val="auto"/>
        </w:rPr>
        <w:t xml:space="preserve">” means any equity interest that, by its terms (or the terms of any security or other equity interests into which it is convertible or for which it is exchangeable), or upon the happening of any event or condition (a) matures or is mandatorily redeemable (other than solely for equity interests that are not Disqualified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Note and all other Obligations that are accrued and payable), (b) is redeemable at the option of the holder thereof, in whole or in part, (c) provides for scheduled payments of dividends in cash, or (d) is or becomes convertible into or exchangeable for Indebtedness or any other equity interests that would constitute Disqualified Equity Interests, in each case, prior to the date that is ninety-one days after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equity interests are issued pursuant to a plan for the benefit of employees of the Issuer or any Subsidiary or by any such plan to such employees, such equity interests shall not constitute Disqualified Equity Interests solely because they may be required to be repurchased by the Issuer or its Subsidiaries in order to satisfy applicable statutory or regulatory obligations or as a result of such employee’s termination, death or disability.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lawful money of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specified in Section 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52" w:lineRule="exact"/>
        <w:rPr>
          <w:sz w:val="20"/>
          <w:szCs w:val="20"/>
          <w:color w:val="auto"/>
        </w:rPr>
      </w:pPr>
    </w:p>
    <w:p>
      <w:pPr>
        <w:ind w:right="220" w:firstLine="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any Subsidiary of the Issuer that is not an obligor in respect of any Material Indebtedness that is unsecured of the Issuer or any of its Subsidiaries, unless such Subsidiary is required to be an obligor under any agreement, instrument or other document relating to any Material Indebtedness that is unsecured of the Issuer or any of its Subsidiaries.</w:t>
      </w:r>
    </w:p>
    <w:p>
      <w:pPr>
        <w:spacing w:after="0" w:line="20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as in effect as of the date of determination thereof.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w:t>
      </w:r>
    </w:p>
    <w:p>
      <w:pPr>
        <w:sectPr>
          <w:pgSz w:w="11900" w:h="16838" w:orient="portrait"/>
          <w:cols w:equalWidth="0" w:num="1">
            <w:col w:w="11240"/>
          </w:cols>
          <w:pgMar w:left="320" w:top="1026" w:right="339" w:bottom="1440" w:gutter="0" w:footer="0" w:header="0"/>
        </w:sectPr>
      </w:pPr>
    </w:p>
    <w:bookmarkStart w:id="25" w:name="page26"/>
    <w:bookmarkEnd w:id="25"/>
    <w:p>
      <w:pPr>
        <w:ind w:right="260"/>
        <w:spacing w:after="0" w:line="282" w:lineRule="auto"/>
        <w:rPr>
          <w:sz w:val="20"/>
          <w:szCs w:val="20"/>
          <w:color w:val="auto"/>
        </w:rPr>
      </w:pPr>
      <w:r>
        <w:rPr>
          <w:rFonts w:ascii="Times New Roman" w:cs="Times New Roman" w:eastAsia="Times New Roman" w:hAnsi="Times New Roman"/>
          <w:sz w:val="18"/>
          <w:szCs w:val="18"/>
          <w:color w:val="auto"/>
        </w:rPr>
        <w:t>subsidiary at “fair value,” as defined therein and (b) the amount of any Indebtedness under GAAP with respect to Capitalized Lease Obligations shall be determined in accordance with the definition of Capitalized Lease Obligations.</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1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provided that the term “Guarantee” shall not include endorsements for collection or deposit in the ordinary course of business.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has the meaning specified in Annex B.</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each Guarantor listed on the signature page to this Note and any other Person that Guarantees this Note.</w:t>
      </w:r>
    </w:p>
    <w:p>
      <w:pPr>
        <w:spacing w:after="0" w:line="22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the United States Department of the Treasury or its designees or any other Person that shall have rights pursuant to an assignment hereunder.</w:t>
      </w:r>
    </w:p>
    <w:p>
      <w:pPr>
        <w:spacing w:after="0" w:line="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to any Person at a particular time, without duplication, all of the following, whether or not included as indebtedness or liabilities in accordance with GAAP: (a) all obligations of such Person for borrowed money and all obligations of such Person evidenced by bonds, debentures, notes, loan agreements or other similar instruments; (b) all direct or contingent obligations of such Person arising under (i) letters of credit (including standby and commercial), bankers’ acceptances and bank guaranties and (ii) surety bonds, performance bonds and similar instruments issued or created by or for the account of such Person; (c) net obligations of such Person under any swap contract; (d) all obligations of such Person to pay the deferred purchase price of property or services (other than trade accounts payable in the ordinary course of business); (e)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(f) attributable indebtedness in respect of any Capitalized Lease Obligation and any synthetic lease obligation of any Person; (g) all obligations of such Person in respect of Disqualified Equity Interests; and (h) all Guarantees of such Person in respect of any of the foregoing. 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Indebtedness of any Person for purposes of clause (e) that is expressly made non-recourse or limited-recourse (limited solely to the assets securing such Indebtedness) to such Person shall be deemed to be equal to the lesser of (i) the aggregate principal amount of such Indebtedness and (ii) the fair market value of the property encumbered thereby as determined by such Person in good faith.</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specified in Section 6.3(b).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w:t>
      </w:r>
    </w:p>
    <w:p>
      <w:pPr>
        <w:sectPr>
          <w:pgSz w:w="11900" w:h="16838" w:orient="portrait"/>
          <w:cols w:equalWidth="0" w:num="1">
            <w:col w:w="11240"/>
          </w:cols>
          <w:pgMar w:left="320" w:top="10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has the meaning specified in the preamble to this Note.</w:t>
      </w:r>
    </w:p>
    <w:p>
      <w:pPr>
        <w:spacing w:after="0" w:line="1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1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hypothecation, collateral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9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a material adverse change in, or a material adverse effect on, the operations, business, properties, liabilities (actual or contingent), condition (financial or otherwise) or prospects of the Issuer and its Subsidiaries taken as a whole; or (b) a material adverse effect on (i) the ability of the Issuer or any Guarantor to perform its Obligations, (ii) the legality, validity, binding effect or enforceability against the Issuer or any Guarantors of the Note or (iii) the rights, remedies and benefits available to, or conferred upon, the Holder under the Note.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has the meaning specified in Section 5.1(f).</w:t>
      </w:r>
    </w:p>
    <w:p>
      <w:pPr>
        <w:spacing w:after="0" w:line="14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the date that is ten years after the Closing Date (except that, if such date is not a Business Day, the Maturity Date shall be the next preceding Business Day).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has the meaning specified in the preamble to this Note.</w:t>
      </w:r>
    </w:p>
    <w:p>
      <w:pPr>
        <w:spacing w:after="0" w:line="1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advances to, and debts, liabilities, obligations, covenants and duties of, the Issuer arising under or otherwise with respect to the Note, whether direct or indirect (including those acquired by assumption), absolute or contingent, due or to become due, now existing or hereafter arising and including interest and fees that accrue after the commencement by or against the Issuer or any Affiliate thereof of any proceeding under any Debtor Relief Laws naming such Person as the debtor in such proceeding, regardless of whether such interest and fees are allowed claims in such proceeding. Without limiting the foregoing, the Obligations include (a) the obligation to pay principal, interest, charges, expenses, fees, indemnities and other amounts payable by the Issuer under the Note and (b) the obligation of the Issuer to reimburse any amount in respect of any of the foregoing that the Holder, in each case in its sole discretion, may elect to pay or advance on behalf of the Issuer.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Obligee Guarantor</w:t>
      </w:r>
      <w:r>
        <w:rPr>
          <w:rFonts w:ascii="Times New Roman" w:cs="Times New Roman" w:eastAsia="Times New Roman" w:hAnsi="Times New Roman"/>
          <w:sz w:val="18"/>
          <w:szCs w:val="18"/>
          <w:color w:val="auto"/>
        </w:rPr>
        <w:t>” has the meaning specified in Annex B.</w:t>
      </w:r>
    </w:p>
    <w:p>
      <w:pPr>
        <w:spacing w:after="0" w:line="1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(a) as to any corporation, the charter or certificate or articles of incorporation and the bylaws (or equivalent or comparable constitutive documents with respect to any non-U.S. jurisdiction), (b) as to any limited liability company, the certificate or articles of formation or organization and operating or limited liability agreement and (c) as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2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Business</w:t>
      </w:r>
      <w:r>
        <w:rPr>
          <w:rFonts w:ascii="Times New Roman" w:cs="Times New Roman" w:eastAsia="Times New Roman" w:hAnsi="Times New Roman"/>
          <w:sz w:val="18"/>
          <w:szCs w:val="18"/>
          <w:color w:val="auto"/>
        </w:rPr>
        <w:t>” means any business that is the same as, or reasonably related, ancillary, supportive or complementary to, the business in which the Issuer and its Subsidiaries are engaged on the date of this Note.</w:t>
      </w:r>
    </w:p>
    <w:p>
      <w:pPr>
        <w:spacing w:after="0" w:line="8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Amount</w:t>
      </w:r>
      <w:r>
        <w:rPr>
          <w:rFonts w:ascii="Times New Roman" w:cs="Times New Roman" w:eastAsia="Times New Roman" w:hAnsi="Times New Roman"/>
          <w:sz w:val="18"/>
          <w:szCs w:val="18"/>
          <w:color w:val="auto"/>
        </w:rPr>
        <w:t>” has the meaning specified in the preamble to this Note.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PSP Extension Law</w:t>
      </w:r>
      <w:r>
        <w:rPr>
          <w:rFonts w:ascii="Times New Roman" w:cs="Times New Roman" w:eastAsia="Times New Roman" w:hAnsi="Times New Roman"/>
          <w:sz w:val="18"/>
          <w:szCs w:val="18"/>
          <w:color w:val="auto"/>
        </w:rPr>
        <w:t>” has the meaning specified in the preamble to this Note.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PSP2 Agreement</w:t>
      </w:r>
      <w:r>
        <w:rPr>
          <w:rFonts w:ascii="Times New Roman" w:cs="Times New Roman" w:eastAsia="Times New Roman" w:hAnsi="Times New Roman"/>
          <w:sz w:val="18"/>
          <w:szCs w:val="18"/>
          <w:color w:val="auto"/>
        </w:rPr>
        <w:t>” has the meaning specified in the preamble to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A-4</w:t>
      </w:r>
    </w:p>
    <w:p>
      <w:pPr>
        <w:sectPr>
          <w:pgSz w:w="11900" w:h="16838" w:orient="portrait"/>
          <w:cols w:equalWidth="0" w:num="1">
            <w:col w:w="11200"/>
          </w:cols>
          <w:pgMar w:left="320" w:top="1026" w:right="379" w:bottom="1440" w:gutter="0" w:footer="0" w:header="0"/>
        </w:sectPr>
      </w:pPr>
    </w:p>
    <w:bookmarkStart w:id="27" w:name="page28"/>
    <w:bookmarkEnd w:id="27"/>
    <w:p>
      <w:pPr>
        <w:ind w:right="5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PSP2 Application</w:t>
      </w:r>
      <w:r>
        <w:rPr>
          <w:rFonts w:ascii="Times New Roman" w:cs="Times New Roman" w:eastAsia="Times New Roman" w:hAnsi="Times New Roman"/>
          <w:sz w:val="18"/>
          <w:szCs w:val="18"/>
          <w:color w:val="auto"/>
        </w:rPr>
        <w:t>” means the application form and any related materials submitted by the Issuer to Treasury in connection with an application for financial assistance under Division N, Title IV, Subtitle A of the PSP Extension Law.</w:t>
      </w:r>
    </w:p>
    <w:p>
      <w:pPr>
        <w:spacing w:after="0" w:line="9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agents, advisors and representatives of such Person and of such Person’s Affiliates.</w:t>
      </w:r>
    </w:p>
    <w:p>
      <w:pPr>
        <w:spacing w:after="0" w:line="9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the secured overnight financing rate published by the Federal Reserve Bank of New York, as administrator of the benchmark (or a successor administrator) on the Federal Reserve Bank of New York’s (or such successor’s) website.</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corporation, partnership, limited liability company, association or joint venture or other business entity of which a majority of the equity interests having ordinary voting power for the election of directors or other governing body (other than securities or interests having such power only by reason of the happening of a contingency) are at the time owned or the management of which is Controlled, directly, or indirectly through one or more intermediaries, by such Person. Unless otherwise specified, all references herein to a “Subsidiary” or to “Subsidiaries” shall refer to a Subsidiary or Subsidiaries of the Issuer.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w:t>
      </w:r>
      <w:r>
        <w:rPr>
          <w:rFonts w:ascii="Times New Roman" w:cs="Times New Roman" w:eastAsia="Times New Roman" w:hAnsi="Times New Roman"/>
          <w:sz w:val="18"/>
          <w:szCs w:val="18"/>
          <w:color w:val="auto"/>
        </w:rPr>
        <w:t>” has the meaning specified in the preamble to this Note.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of any specified Person as of any date means the equity interests of such Person that is at the time entitled to vote in the election of the board of directors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Annex A-5</w:t>
      </w:r>
    </w:p>
    <w:p>
      <w:pPr>
        <w:sectPr>
          <w:pgSz w:w="11900" w:h="16838" w:orient="portrait"/>
          <w:cols w:equalWidth="0" w:num="1">
            <w:col w:w="11140"/>
          </w:cols>
          <w:pgMar w:left="320" w:top="1026" w:right="439" w:bottom="1440" w:gutter="0" w:footer="0" w:header="0"/>
        </w:sectPr>
      </w:pPr>
    </w:p>
    <w:bookmarkStart w:id="28" w:name="page29"/>
    <w:bookmarkEnd w:id="28"/>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1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u w:val="single" w:color="auto"/>
          <w:color w:val="auto"/>
        </w:rPr>
        <w:t>GUARANTEE</w:t>
      </w:r>
    </w:p>
    <w:p>
      <w:pPr>
        <w:spacing w:after="0" w:line="158" w:lineRule="exact"/>
        <w:rPr>
          <w:sz w:val="20"/>
          <w:szCs w:val="20"/>
          <w:color w:val="auto"/>
        </w:rPr>
      </w:pPr>
    </w:p>
    <w:p>
      <w:pPr>
        <w:ind w:left="-8" w:right="60" w:firstLine="8"/>
        <w:spacing w:after="0" w:line="261" w:lineRule="auto"/>
        <w:tabs>
          <w:tab w:leader="none" w:pos="30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 of the Obligations</w:t>
      </w:r>
      <w:r>
        <w:rPr>
          <w:rFonts w:ascii="Times New Roman" w:cs="Times New Roman" w:eastAsia="Times New Roman" w:hAnsi="Times New Roman"/>
          <w:sz w:val="18"/>
          <w:szCs w:val="18"/>
          <w:color w:val="auto"/>
        </w:rPr>
        <w:t>. Each Guarantor jointly and severally hereby irrevocably and unconditionally guarantees to the Holder, the due and punctual payment in full of all Obligations (or such lesser amount as agreed by the Holder in its sole discretion) when the same shall become due, whether at stated maturity, by required prepayment, declaration, acceleration, demand or otherwise (including amounts that would become due but for the operation of the automatic stay under Section 362(a) of the Bankruptcy Code, 11 U.S.C. § 362(a)) (collectively,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8" w:right="60" w:firstLine="8"/>
        <w:spacing w:after="0" w:line="254" w:lineRule="auto"/>
        <w:tabs>
          <w:tab w:leader="none" w:pos="30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a Guarantor</w:t>
      </w:r>
      <w:r>
        <w:rPr>
          <w:rFonts w:ascii="Times New Roman" w:cs="Times New Roman" w:eastAsia="Times New Roman" w:hAnsi="Times New Roman"/>
          <w:sz w:val="18"/>
          <w:szCs w:val="18"/>
          <w:color w:val="auto"/>
        </w:rPr>
        <w:t>. Each Guarantor hereby jointly and severally agrees, in furtherance of the foregoing and not in limitation of any other right which the Holder may have at law or in equity against any Guarantor by virtue hereof, that upon the failure of the Issuer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11 U.S.C. § 362(a)), such Guarantor will upon demand pay, or cause to be paid, in cash, to the Holder an amount equal to the sum of the unpaid principal amount of all Guaranteed Obligations then due as aforesaid, accrued and unpaid interest on such Guaranteed Obligations (including interest which, but for the Issuer’s becoming the subject of a case under the Bankruptcy Code, would have accrued on such Guaranteed Obligations, whether or not a claim is allowed against the Issuer for such interest in the related bankruptcy case) and all other Guaranteed Obligations then owed to the Holder as aforesaid.</w:t>
      </w:r>
    </w:p>
    <w:p>
      <w:pPr>
        <w:spacing w:after="0" w:line="191" w:lineRule="exact"/>
        <w:rPr>
          <w:rFonts w:ascii="Times New Roman" w:cs="Times New Roman" w:eastAsia="Times New Roman" w:hAnsi="Times New Roman"/>
          <w:sz w:val="18"/>
          <w:szCs w:val="18"/>
          <w:color w:val="auto"/>
        </w:rPr>
      </w:pPr>
    </w:p>
    <w:p>
      <w:pPr>
        <w:ind w:left="-8" w:right="280" w:firstLine="8"/>
        <w:spacing w:after="0" w:line="266" w:lineRule="auto"/>
        <w:tabs>
          <w:tab w:leader="none" w:pos="30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of Guarantors Absolute</w:t>
      </w:r>
      <w:r>
        <w:rPr>
          <w:rFonts w:ascii="Times New Roman" w:cs="Times New Roman" w:eastAsia="Times New Roman" w:hAnsi="Times New Roman"/>
          <w:sz w:val="18"/>
          <w:szCs w:val="18"/>
          <w:color w:val="auto"/>
        </w:rPr>
        <w:t>. Each Guarantor agrees that its obligations hereunder are irrevocable, absolute, independent and unconditional and shall not be affected by any circumstance which constitutes a legal or equitable discharge of a guarantor or surety other than payment in full of the Guaranteed Obligations. In furtherance of the foregoing and without limiting the generality thereof, each Guarantor agrees as follows:</w:t>
      </w:r>
    </w:p>
    <w:p>
      <w:pPr>
        <w:spacing w:after="0" w:line="176" w:lineRule="exact"/>
        <w:rPr>
          <w:sz w:val="20"/>
          <w:szCs w:val="20"/>
          <w:color w:val="auto"/>
        </w:rPr>
      </w:pPr>
    </w:p>
    <w:p>
      <w:pPr>
        <w:ind w:left="652" w:hanging="652"/>
        <w:spacing w:after="0"/>
        <w:tabs>
          <w:tab w:leader="none" w:pos="6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Guarantee is a guarantee of payment when due and not of collectability;</w:t>
      </w:r>
    </w:p>
    <w:p>
      <w:pPr>
        <w:spacing w:after="0" w:line="184" w:lineRule="exact"/>
        <w:rPr>
          <w:rFonts w:ascii="Times New Roman" w:cs="Times New Roman" w:eastAsia="Times New Roman" w:hAnsi="Times New Roman"/>
          <w:sz w:val="18"/>
          <w:szCs w:val="18"/>
          <w:color w:val="auto"/>
        </w:rPr>
      </w:pPr>
    </w:p>
    <w:p>
      <w:pPr>
        <w:ind w:left="-8" w:firstLine="8"/>
        <w:spacing w:after="0" w:line="282" w:lineRule="auto"/>
        <w:tabs>
          <w:tab w:leader="none" w:pos="6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may enforce this Guarantee upon the occurrence of an Event of Default notwithstanding the existence of any dispute between the Issuer and the Holder with respect to the existence of such Event of Default;</w:t>
      </w:r>
    </w:p>
    <w:p>
      <w:pPr>
        <w:spacing w:after="0" w:line="121" w:lineRule="exact"/>
        <w:rPr>
          <w:rFonts w:ascii="Times New Roman" w:cs="Times New Roman" w:eastAsia="Times New Roman" w:hAnsi="Times New Roman"/>
          <w:sz w:val="18"/>
          <w:szCs w:val="18"/>
          <w:color w:val="auto"/>
        </w:rPr>
      </w:pPr>
    </w:p>
    <w:p>
      <w:pPr>
        <w:ind w:left="-8" w:right="180" w:firstLine="8"/>
        <w:spacing w:after="0" w:line="282" w:lineRule="auto"/>
        <w:tabs>
          <w:tab w:leader="none" w:pos="63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separate action or actions may be brought and prosecuted against such Guarantor whether or not any action is brought against the Issuer or any other Guarantors and whether or not Issuer or such Guarantors are joined in any such action or actions;</w:t>
      </w:r>
    </w:p>
    <w:p>
      <w:pPr>
        <w:spacing w:after="0" w:line="121" w:lineRule="exact"/>
        <w:rPr>
          <w:rFonts w:ascii="Times New Roman" w:cs="Times New Roman" w:eastAsia="Times New Roman" w:hAnsi="Times New Roman"/>
          <w:sz w:val="18"/>
          <w:szCs w:val="18"/>
          <w:color w:val="auto"/>
        </w:rPr>
      </w:pPr>
    </w:p>
    <w:p>
      <w:pPr>
        <w:ind w:left="-8" w:right="580" w:firstLine="8"/>
        <w:spacing w:after="0" w:line="282" w:lineRule="auto"/>
        <w:tabs>
          <w:tab w:leader="none" w:pos="6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any Guarantor of a portion, but not all, of the Guaranteed Obligations shall in no way limit, affect, modify or abridge any other Guarantor’s liability for any portion of the Guaranteed Obligations which has not been paid;</w:t>
      </w:r>
    </w:p>
    <w:p>
      <w:pPr>
        <w:spacing w:after="0" w:line="134" w:lineRule="exact"/>
        <w:rPr>
          <w:rFonts w:ascii="Times New Roman" w:cs="Times New Roman" w:eastAsia="Times New Roman" w:hAnsi="Times New Roman"/>
          <w:sz w:val="18"/>
          <w:szCs w:val="18"/>
          <w:color w:val="auto"/>
        </w:rPr>
      </w:pPr>
    </w:p>
    <w:p>
      <w:pPr>
        <w:ind w:left="-8" w:right="40" w:firstLine="8"/>
        <w:spacing w:after="0" w:line="254" w:lineRule="auto"/>
        <w:tabs>
          <w:tab w:leader="none" w:pos="63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upon such terms as it deems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subordinate the payment of the same to the payment of any other obligations; (iii) release, surrender, exchange, substitute, compromise, settle, rescind, waive, alter, subordinate or modify, with or without consideration, any security for payment of the Guaranteed Obligations, any other guarantees of the Guaranteed Obligations, or any other obligation of any Person (including any other Guarantor) with respect to the Guaranteed Obligations; and (iv) enforce its rights and remedies even though such action may operate to impair or extinguish any right of reimbursement or subrogation or other right or remedy of any Guarantor against the Issuer or any security for the Guaranteed Obligations; and</w:t>
      </w:r>
    </w:p>
    <w:p>
      <w:pPr>
        <w:spacing w:after="0" w:line="147" w:lineRule="exact"/>
        <w:rPr>
          <w:rFonts w:ascii="Times New Roman" w:cs="Times New Roman" w:eastAsia="Times New Roman" w:hAnsi="Times New Roman"/>
          <w:sz w:val="18"/>
          <w:szCs w:val="18"/>
          <w:color w:val="auto"/>
        </w:rPr>
      </w:pPr>
    </w:p>
    <w:p>
      <w:pPr>
        <w:ind w:left="-8" w:right="60" w:firstLine="8"/>
        <w:spacing w:after="0" w:line="261" w:lineRule="auto"/>
        <w:tabs>
          <w:tab w:leader="none" w:pos="63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Guarantee and the obligations of each Guarantor hereunder shall be valid and enforceable and shall not be subject to any reduction, limitation, impairment, discharge or termination for any reason (other than payment in full of the Guaranteed Obligations), including the occurrence of any of the following: (i) any failure, delay or omission to assert or enforce or agreement or election not to assert or enforce, or the stay or enjoining, by order of court, by operation of law or otherwise, of the exercise or enforcement of, any claim or demand or any right, power or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Annex B-1</w:t>
      </w:r>
    </w:p>
    <w:p>
      <w:pPr>
        <w:sectPr>
          <w:pgSz w:w="11900" w:h="16838" w:orient="portrait"/>
          <w:cols w:equalWidth="0" w:num="1">
            <w:col w:w="11232"/>
          </w:cols>
          <w:pgMar w:left="328" w:top="1022" w:right="339" w:bottom="1440" w:gutter="0" w:footer="0" w:header="0"/>
        </w:sectPr>
      </w:pPr>
    </w:p>
    <w:bookmarkStart w:id="29" w:name="page30"/>
    <w:bookmarkEnd w:id="29"/>
    <w:p>
      <w:pPr>
        <w:ind w:right="100"/>
        <w:spacing w:after="0" w:line="254" w:lineRule="auto"/>
        <w:rPr>
          <w:sz w:val="20"/>
          <w:szCs w:val="20"/>
          <w:color w:val="auto"/>
        </w:rPr>
      </w:pPr>
      <w:r>
        <w:rPr>
          <w:rFonts w:ascii="Times New Roman" w:cs="Times New Roman" w:eastAsia="Times New Roman" w:hAnsi="Times New Roman"/>
          <w:sz w:val="18"/>
          <w:szCs w:val="18"/>
          <w:color w:val="auto"/>
        </w:rPr>
        <w:t>with respect to the Guaranteed Obligations, or with respect to any security for the payment of the Guaranteed Obligations; (ii) any rescission, waiver, amendment or modification of, or any consent to departure from, any of the terms or provisions hereof; (iii) the Guaranteed Obligations, or any agreement relating thereto, at any time being found to be illegal, invalid or unenforceable in any respect; (iv) the Holder’s consent to the change, reorganization or termination of the corporate structure or existence of the Issuer or any of its Subsidiaries and to any corresponding restructuring of the Guaranteed Obligations; (v) any defenses, set-offs or counterclaims which the Issuer or any Guarantor may allege or assert against the Holder in respect of the Guaranteed Obligations, including failure of consideration, lack of authority, validity or enforceability, breach of warranty, payment, statute of frauds, statute of limitations, accord and satisfaction and usury; and (vi) any other event or circumstance that might in any manner vary the risk of any Guarantor as an obligor in respect of the Guaranteed Obligations.</w:t>
      </w:r>
    </w:p>
    <w:p>
      <w:pPr>
        <w:spacing w:after="0" w:line="165" w:lineRule="exact"/>
        <w:rPr>
          <w:sz w:val="20"/>
          <w:szCs w:val="20"/>
          <w:color w:val="auto"/>
        </w:rPr>
      </w:pPr>
    </w:p>
    <w:p>
      <w:pPr>
        <w:ind w:right="20" w:firstLine="8"/>
        <w:spacing w:after="0" w:line="258" w:lineRule="auto"/>
        <w:tabs>
          <w:tab w:leader="none" w:pos="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by Guarantors</w:t>
      </w:r>
      <w:r>
        <w:rPr>
          <w:rFonts w:ascii="Times New Roman" w:cs="Times New Roman" w:eastAsia="Times New Roman" w:hAnsi="Times New Roman"/>
          <w:sz w:val="18"/>
          <w:szCs w:val="18"/>
          <w:color w:val="auto"/>
        </w:rPr>
        <w:t>. Each Guarantor hereby waives, for the benefit of the Holder: (a) any right to require the Holder, as a condition of payment or performance by such Guarantor, to (i) proceed against Issuer, any Guarantor or any other Person; (ii) proceed against or exhaust any security in favor of the Holder; or (iii) pursue any other remedy in the power of the Holder whatsoever or (b) presentment to, demand for payment from and protest to the Issuer or any Guarantor or notice of acceptance; and (c) any defenses or benefits that may be derived from or afforded by law which limit the liability of or exonerate guarantors or sureties, or which may conflict with the terms hereof.</w:t>
      </w:r>
    </w:p>
    <w:p>
      <w:pPr>
        <w:spacing w:after="0" w:line="183" w:lineRule="exact"/>
        <w:rPr>
          <w:rFonts w:ascii="Times New Roman" w:cs="Times New Roman" w:eastAsia="Times New Roman" w:hAnsi="Times New Roman"/>
          <w:sz w:val="18"/>
          <w:szCs w:val="18"/>
          <w:color w:val="auto"/>
        </w:rPr>
      </w:pPr>
    </w:p>
    <w:p>
      <w:pPr>
        <w:ind w:firstLine="8"/>
        <w:spacing w:after="0" w:line="253" w:lineRule="auto"/>
        <w:tabs>
          <w:tab w:leader="none" w:pos="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Guarantors’ Rights of Subrogation, Contribution, etc</w:t>
      </w:r>
      <w:r>
        <w:rPr>
          <w:rFonts w:ascii="Times New Roman" w:cs="Times New Roman" w:eastAsia="Times New Roman" w:hAnsi="Times New Roman"/>
          <w:sz w:val="18"/>
          <w:szCs w:val="18"/>
          <w:color w:val="auto"/>
        </w:rPr>
        <w:t>. Until the Guaranteed Obligations shall have been paid in full, each Guarantor hereby waives any claim, right or remedy, direct or indirect, that such Guarantor now has or may hereafter have against the Issuer or any other Guarantor or any of its assets in connection with this Guarantee or the performance by such Guarantor of its obligations hereunder, including without limitation (a) any right of subrogation, reimbursement or indemnification that such Guarantor now has or may hereafter have against the Issuer with respect to the Guaranteed Obligations, (b) any right to enforce, or to participate in, any claim, right or remedy that the Holder now has or may hereafter have against the Issuer, and (c) any benefit of, and any right to participate in, any collateral or security now or hereafter held by the Holder. In addition, until the Guaranteed Obligations shall have been paid in full, each Guarantor shall withhold exercise of any right of contribution such Guarantor may have against any other guarantor (including any other Guarantor) of the Guaranteed Obligations. If any amount shall be paid to any Guarantor on account of any such subrogation, reimbursement, indemnification or contribution rights at any time when all Guaranteed Obligations shall not have been finally and paid in full, such amount shall be held in trust for the Holder and shall forthwith be paid over to the Holder to be credited and applied against the Guaranteed Obligations, whether matured or unmatured, in accordance with the terms hereof.</w:t>
      </w:r>
    </w:p>
    <w:p>
      <w:pPr>
        <w:spacing w:after="0" w:line="191" w:lineRule="exact"/>
        <w:rPr>
          <w:rFonts w:ascii="Times New Roman" w:cs="Times New Roman" w:eastAsia="Times New Roman" w:hAnsi="Times New Roman"/>
          <w:sz w:val="18"/>
          <w:szCs w:val="18"/>
          <w:color w:val="auto"/>
        </w:rPr>
      </w:pPr>
    </w:p>
    <w:p>
      <w:pPr>
        <w:ind w:right="160" w:firstLine="8"/>
        <w:spacing w:after="0" w:line="258" w:lineRule="auto"/>
        <w:tabs>
          <w:tab w:leader="none" w:pos="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Any Indebtedness of the Issuer or any Guarantor now or hereafter held by any Guarantor (the “</w:t>
      </w:r>
      <w:r>
        <w:rPr>
          <w:rFonts w:ascii="Times New Roman" w:cs="Times New Roman" w:eastAsia="Times New Roman" w:hAnsi="Times New Roman"/>
          <w:sz w:val="18"/>
          <w:szCs w:val="18"/>
          <w:u w:val="single" w:color="auto"/>
          <w:color w:val="auto"/>
        </w:rPr>
        <w:t>Obligee Guarantor</w:t>
      </w:r>
      <w:r>
        <w:rPr>
          <w:rFonts w:ascii="Times New Roman" w:cs="Times New Roman" w:eastAsia="Times New Roman" w:hAnsi="Times New Roman"/>
          <w:sz w:val="18"/>
          <w:szCs w:val="18"/>
          <w:color w:val="auto"/>
        </w:rPr>
        <w:t>”) is hereby subordinated in right of payment to the Guaranteed Obligations, and any such indebtedness collected or received by the Obligee Guarantor after an Event of Default has occurred and is continuing shall be held in trust for the Holder and shall forthwith be paid over to the Holder to be credited and applied against the Guaranteed Obligations but without affecting, impairing or limiting in any manner the liability of the Obligee Guarantor under any other provision hereof.</w:t>
      </w:r>
    </w:p>
    <w:p>
      <w:pPr>
        <w:spacing w:after="0" w:line="183" w:lineRule="exact"/>
        <w:rPr>
          <w:rFonts w:ascii="Times New Roman" w:cs="Times New Roman" w:eastAsia="Times New Roman" w:hAnsi="Times New Roman"/>
          <w:sz w:val="18"/>
          <w:szCs w:val="18"/>
          <w:color w:val="auto"/>
        </w:rPr>
      </w:pPr>
    </w:p>
    <w:p>
      <w:pPr>
        <w:ind w:right="60" w:firstLine="8"/>
        <w:spacing w:after="0" w:line="282" w:lineRule="auto"/>
        <w:tabs>
          <w:tab w:leader="none" w:pos="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Guarantee</w:t>
      </w:r>
      <w:r>
        <w:rPr>
          <w:rFonts w:ascii="Times New Roman" w:cs="Times New Roman" w:eastAsia="Times New Roman" w:hAnsi="Times New Roman"/>
          <w:sz w:val="18"/>
          <w:szCs w:val="18"/>
          <w:color w:val="auto"/>
        </w:rPr>
        <w:t>. This Guarantee is a continuing guarantee and shall remain in effect until all of the Guaranteed Obligations shall have been paid in full. Each Guarantor hereby irrevocably waives any right to revoke this Guarantee as to future transactions giving rise to any Guaranteed Obligations.</w:t>
      </w:r>
    </w:p>
    <w:p>
      <w:pPr>
        <w:spacing w:after="0" w:line="161" w:lineRule="exact"/>
        <w:rPr>
          <w:rFonts w:ascii="Times New Roman" w:cs="Times New Roman" w:eastAsia="Times New Roman" w:hAnsi="Times New Roman"/>
          <w:sz w:val="18"/>
          <w:szCs w:val="18"/>
          <w:color w:val="auto"/>
        </w:rPr>
      </w:pPr>
    </w:p>
    <w:p>
      <w:pPr>
        <w:ind w:right="160" w:firstLine="8"/>
        <w:spacing w:after="0" w:line="258" w:lineRule="auto"/>
        <w:tabs>
          <w:tab w:leader="none" w:pos="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Condition of the Issuer</w:t>
      </w:r>
      <w:r>
        <w:rPr>
          <w:rFonts w:ascii="Times New Roman" w:cs="Times New Roman" w:eastAsia="Times New Roman" w:hAnsi="Times New Roman"/>
          <w:sz w:val="18"/>
          <w:szCs w:val="18"/>
          <w:color w:val="auto"/>
        </w:rPr>
        <w:t>. The Note may be issued to the Issuer without notice to or authorization from any Guarantor regardless of the financial or other condition of the Issuer at the time of such grant. Each Guarantor has adequate means to obtain information from the Issuer on a continuing basis concerning the financial condition of the Issuer and its ability to perform its obligations under the Note, and each Guarantor assumes the responsibility for being and keeping informed of the financial condition of the Issuer and of all circumstances bearing upon the risk of nonpayment of the Guaranteed Obligations.</w:t>
      </w:r>
    </w:p>
    <w:p>
      <w:pPr>
        <w:spacing w:after="0" w:line="183" w:lineRule="exact"/>
        <w:rPr>
          <w:rFonts w:ascii="Times New Roman" w:cs="Times New Roman" w:eastAsia="Times New Roman" w:hAnsi="Times New Roman"/>
          <w:sz w:val="18"/>
          <w:szCs w:val="18"/>
          <w:color w:val="auto"/>
        </w:rPr>
      </w:pPr>
    </w:p>
    <w:p>
      <w:pPr>
        <w:ind w:firstLine="8"/>
        <w:spacing w:after="0" w:line="261" w:lineRule="auto"/>
        <w:tabs>
          <w:tab w:leader="none" w:pos="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In the event that all or any portion of the Guaranteed Obligations are paid by the Issuer or any Guarantor, the obligations of any other Guarantor hereunder shall continue and remain in full force and effect or be reinstated, as the case may be, in the event that all or any part of such payment(s) are rescinded or recovered directly or indirectly from the Holder as a preference, fraudulent transfer or otherwise, and any such payments which are so rescinded or recovered shall constitute Guaranteed Obligations for all purposes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B-2</w:t>
      </w:r>
    </w:p>
    <w:p>
      <w:pPr>
        <w:sectPr>
          <w:pgSz w:w="11900" w:h="16838" w:orient="portrait"/>
          <w:cols w:equalWidth="0" w:num="1">
            <w:col w:w="11220"/>
          </w:cols>
          <w:pgMar w:left="320" w:top="1026" w:right="359" w:bottom="1440" w:gutter="0" w:footer="0" w:header="0"/>
        </w:sectPr>
      </w:pPr>
    </w:p>
    <w:bookmarkStart w:id="30" w:name="page31"/>
    <w:bookmarkEnd w:id="30"/>
    <w:p>
      <w:pPr>
        <w:ind w:left="-8" w:firstLine="8"/>
        <w:spacing w:after="0" w:line="258" w:lineRule="auto"/>
        <w:tabs>
          <w:tab w:leader="none" w:pos="39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Discharge of Guarantee Upon Sale of the Guarantor</w:t>
      </w:r>
      <w:r>
        <w:rPr>
          <w:rFonts w:ascii="Times New Roman" w:cs="Times New Roman" w:eastAsia="Times New Roman" w:hAnsi="Times New Roman"/>
          <w:sz w:val="18"/>
          <w:szCs w:val="18"/>
          <w:color w:val="auto"/>
        </w:rPr>
        <w:t>. If, in compliance with the terms and provisions of the Note, all of the capital stock of any Guarantor that is a Subsidiary of the Issuer or any of its successors in interest hereunder shall be sold or otherwise disposed of (including by merger or consolidation) to any Person (other than to the Issuer or to any other Guarantor), the Guarantee of such Guarantor or such successor in interest, as the case may be, hereunder shall automatically be discharged and released without any further action by any beneficiary or any other Person effective as of the time of such asset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Annex B-3</w:t>
      </w:r>
    </w:p>
    <w:p>
      <w:pPr>
        <w:sectPr>
          <w:pgSz w:w="11900" w:h="16838" w:orient="portrait"/>
          <w:cols w:equalWidth="0" w:num="1">
            <w:col w:w="11152"/>
          </w:cols>
          <w:pgMar w:left="328" w:top="1026" w:right="419" w:bottom="1440" w:gutter="0" w:footer="0" w:header="0"/>
        </w:sectPr>
      </w:pPr>
    </w:p>
    <w:bookmarkStart w:id="31" w:name="page32"/>
    <w:bookmarkEnd w:id="31"/>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ind w:left="290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131445</wp:posOffset>
            </wp:positionV>
            <wp:extent cx="6875145" cy="3891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6875145" cy="389191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 Outstanding</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Increase or Decrease in</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Resulting Outstanding</w:t>
            </w: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Notation Made By</w:t>
            </w:r>
          </w:p>
        </w:tc>
      </w:tr>
      <w:tr>
        <w:trPr>
          <w:trHeight w:val="216"/>
        </w:trPr>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Outstanding Principal</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1360" w:type="dxa"/>
            <w:vAlign w:val="bottom"/>
          </w:tcPr>
          <w:p>
            <w:pPr>
              <w:spacing w:after="0"/>
              <w:rPr>
                <w:sz w:val="18"/>
                <w:szCs w:val="18"/>
                <w:color w:val="auto"/>
              </w:rPr>
            </w:pPr>
          </w:p>
        </w:tc>
      </w:tr>
      <w:tr>
        <w:trPr>
          <w:trHeight w:val="234"/>
        </w:trPr>
        <w:tc>
          <w:tcPr>
            <w:tcW w:w="21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w:t>
            </w:r>
          </w:p>
        </w:tc>
        <w:tc>
          <w:tcPr>
            <w:tcW w:w="216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r>
      <w:tr>
        <w:trPr>
          <w:trHeight w:val="5441"/>
        </w:trPr>
        <w:tc>
          <w:tcPr>
            <w:tcW w:w="216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13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1420" w:space="720"/>
            <w:col w:w="7959"/>
          </w:cols>
          <w:pgMar w:left="360" w:top="10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Schedule I</w:t>
      </w:r>
    </w:p>
    <w:p>
      <w:pPr>
        <w:sectPr>
          <w:pgSz w:w="11900" w:h="16838" w:orient="portrait"/>
          <w:cols w:equalWidth="0" w:num="1">
            <w:col w:w="10099"/>
          </w:cols>
          <w:pgMar w:left="360" w:top="1022" w:right="1440" w:bottom="1440" w:gutter="0" w:footer="0" w:header="0"/>
          <w:type w:val="continuous"/>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3399790</wp:posOffset>
            </wp:positionV>
            <wp:extent cx="69862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3425190</wp:posOffset>
            </wp:positionV>
            <wp:extent cx="69862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color w:val="auto"/>
        </w:rPr>
        <w:t>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30480</wp:posOffset>
            </wp:positionV>
            <wp:extent cx="69862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56515</wp:posOffset>
            </wp:positionV>
            <wp:extent cx="69862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0120"/>
          </w:cols>
          <w:pgMar w:left="1440" w:top="122"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86"/>
        </w:trPr>
        <w:tc>
          <w:tcPr>
            <w:tcW w:w="380" w:type="dxa"/>
            <w:vAlign w:val="bottom"/>
          </w:tcPr>
          <w:p>
            <w:pPr>
              <w:spacing w:after="0"/>
              <w:rPr>
                <w:sz w:val="24"/>
                <w:szCs w:val="24"/>
                <w:color w:val="auto"/>
              </w:rPr>
            </w:pPr>
          </w:p>
        </w:tc>
        <w:tc>
          <w:tcPr>
            <w:tcW w:w="8260" w:type="dxa"/>
            <w:vAlign w:val="bottom"/>
            <w:gridSpan w:val="7"/>
          </w:tcPr>
          <w:p>
            <w:pPr>
              <w:ind w:left="406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260" w:type="dxa"/>
            <w:vAlign w:val="bottom"/>
          </w:tcPr>
          <w:p>
            <w:pPr>
              <w:spacing w:after="0"/>
              <w:rPr>
                <w:sz w:val="24"/>
                <w:szCs w:val="24"/>
                <w:color w:val="auto"/>
              </w:rPr>
            </w:pPr>
          </w:p>
        </w:tc>
      </w:tr>
      <w:tr>
        <w:trPr>
          <w:trHeight w:val="986"/>
        </w:trPr>
        <w:tc>
          <w:tcPr>
            <w:tcW w:w="3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258"/>
        </w:trPr>
        <w:tc>
          <w:tcPr>
            <w:tcW w:w="38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Article I</w:t>
            </w:r>
          </w:p>
        </w:tc>
        <w:tc>
          <w:tcPr>
            <w:tcW w:w="2820" w:type="dxa"/>
            <w:vAlign w:val="bottom"/>
            <w:gridSpan w:val="3"/>
          </w:tcPr>
          <w:p>
            <w:pPr>
              <w:spacing w:after="0"/>
              <w:rPr>
                <w:sz w:val="22"/>
                <w:szCs w:val="22"/>
                <w:color w:val="auto"/>
              </w:rPr>
            </w:pPr>
          </w:p>
        </w:tc>
        <w:tc>
          <w:tcPr>
            <w:tcW w:w="2260" w:type="dxa"/>
            <w:vAlign w:val="bottom"/>
          </w:tcPr>
          <w:p>
            <w:pPr>
              <w:spacing w:after="0"/>
              <w:rPr>
                <w:sz w:val="22"/>
                <w:szCs w:val="22"/>
                <w:color w:val="auto"/>
              </w:rPr>
            </w:pPr>
          </w:p>
        </w:tc>
      </w:tr>
      <w:tr>
        <w:trPr>
          <w:trHeight w:val="343"/>
        </w:trPr>
        <w:tc>
          <w:tcPr>
            <w:tcW w:w="3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60" w:type="dxa"/>
            <w:vAlign w:val="bottom"/>
            <w:gridSpan w:val="4"/>
          </w:tcPr>
          <w:p>
            <w:pPr>
              <w:jc w:val="center"/>
              <w:ind w:right="2820"/>
              <w:spacing w:after="0"/>
              <w:rPr>
                <w:sz w:val="20"/>
                <w:szCs w:val="20"/>
                <w:color w:val="auto"/>
              </w:rPr>
            </w:pPr>
            <w:r>
              <w:rPr>
                <w:rFonts w:ascii="Times New Roman" w:cs="Times New Roman" w:eastAsia="Times New Roman" w:hAnsi="Times New Roman"/>
                <w:sz w:val="22"/>
                <w:szCs w:val="22"/>
                <w:color w:val="auto"/>
                <w:w w:val="96"/>
              </w:rPr>
              <w:t>Closing</w:t>
            </w:r>
          </w:p>
        </w:tc>
        <w:tc>
          <w:tcPr>
            <w:tcW w:w="2260" w:type="dxa"/>
            <w:vAlign w:val="bottom"/>
          </w:tcPr>
          <w:p>
            <w:pPr>
              <w:spacing w:after="0"/>
              <w:rPr>
                <w:sz w:val="24"/>
                <w:szCs w:val="24"/>
                <w:color w:val="auto"/>
              </w:rPr>
            </w:pPr>
          </w:p>
        </w:tc>
      </w:tr>
      <w:tr>
        <w:trPr>
          <w:trHeight w:val="310"/>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1.1</w:t>
            </w:r>
          </w:p>
        </w:tc>
        <w:tc>
          <w:tcPr>
            <w:tcW w:w="826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Issuance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11"/>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1.2</w:t>
            </w:r>
          </w:p>
        </w:tc>
        <w:tc>
          <w:tcPr>
            <w:tcW w:w="826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Initial Closing; Warrant Closing Date.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11"/>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1.3</w:t>
            </w:r>
          </w:p>
        </w:tc>
        <w:tc>
          <w:tcPr>
            <w:tcW w:w="826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Interpretation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58"/>
        </w:trPr>
        <w:tc>
          <w:tcPr>
            <w:tcW w:w="38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0" w:type="dxa"/>
            <w:vAlign w:val="bottom"/>
            <w:gridSpan w:val="5"/>
          </w:tcPr>
          <w:p>
            <w:pPr>
              <w:jc w:val="center"/>
              <w:ind w:right="2800"/>
              <w:spacing w:after="0"/>
              <w:rPr>
                <w:sz w:val="20"/>
                <w:szCs w:val="20"/>
                <w:color w:val="auto"/>
              </w:rPr>
            </w:pPr>
            <w:r>
              <w:rPr>
                <w:rFonts w:ascii="Times New Roman" w:cs="Times New Roman" w:eastAsia="Times New Roman" w:hAnsi="Times New Roman"/>
                <w:sz w:val="22"/>
                <w:szCs w:val="22"/>
                <w:color w:val="auto"/>
                <w:w w:val="98"/>
              </w:rPr>
              <w:t>Article II</w:t>
            </w:r>
          </w:p>
        </w:tc>
        <w:tc>
          <w:tcPr>
            <w:tcW w:w="2260" w:type="dxa"/>
            <w:vAlign w:val="bottom"/>
          </w:tcPr>
          <w:p>
            <w:pPr>
              <w:spacing w:after="0"/>
              <w:rPr>
                <w:sz w:val="22"/>
                <w:szCs w:val="22"/>
                <w:color w:val="auto"/>
              </w:rPr>
            </w:pPr>
          </w:p>
        </w:tc>
      </w:tr>
      <w:tr>
        <w:trPr>
          <w:trHeight w:val="20"/>
        </w:trPr>
        <w:tc>
          <w:tcPr>
            <w:tcW w:w="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43"/>
        </w:trPr>
        <w:tc>
          <w:tcPr>
            <w:tcW w:w="380" w:type="dxa"/>
            <w:vAlign w:val="bottom"/>
          </w:tcPr>
          <w:p>
            <w:pPr>
              <w:spacing w:after="0"/>
              <w:rPr>
                <w:sz w:val="24"/>
                <w:szCs w:val="24"/>
                <w:color w:val="auto"/>
              </w:rPr>
            </w:pPr>
          </w:p>
        </w:tc>
        <w:tc>
          <w:tcPr>
            <w:tcW w:w="8260" w:type="dxa"/>
            <w:vAlign w:val="bottom"/>
            <w:gridSpan w:val="7"/>
          </w:tcPr>
          <w:p>
            <w:pPr>
              <w:jc w:val="center"/>
              <w:ind w:left="1772"/>
              <w:spacing w:after="0"/>
              <w:rPr>
                <w:sz w:val="20"/>
                <w:szCs w:val="20"/>
                <w:color w:val="auto"/>
              </w:rPr>
            </w:pPr>
            <w:r>
              <w:rPr>
                <w:rFonts w:ascii="Times New Roman" w:cs="Times New Roman" w:eastAsia="Times New Roman" w:hAnsi="Times New Roman"/>
                <w:sz w:val="22"/>
                <w:szCs w:val="22"/>
                <w:color w:val="auto"/>
                <w:w w:val="97"/>
              </w:rPr>
              <w:t>Representations and Warranties</w:t>
            </w:r>
          </w:p>
        </w:tc>
        <w:tc>
          <w:tcPr>
            <w:tcW w:w="2260" w:type="dxa"/>
            <w:vAlign w:val="bottom"/>
          </w:tcPr>
          <w:p>
            <w:pPr>
              <w:spacing w:after="0"/>
              <w:rPr>
                <w:sz w:val="24"/>
                <w:szCs w:val="24"/>
                <w:color w:val="auto"/>
              </w:rPr>
            </w:pPr>
          </w:p>
        </w:tc>
      </w:tr>
      <w:tr>
        <w:trPr>
          <w:trHeight w:val="310"/>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2.1</w:t>
            </w:r>
          </w:p>
        </w:tc>
        <w:tc>
          <w:tcPr>
            <w:tcW w:w="826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Representations and Warranties of the Company</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58"/>
        </w:trPr>
        <w:tc>
          <w:tcPr>
            <w:tcW w:w="38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0" w:type="dxa"/>
            <w:vAlign w:val="bottom"/>
            <w:gridSpan w:val="5"/>
          </w:tcPr>
          <w:p>
            <w:pPr>
              <w:jc w:val="center"/>
              <w:ind w:right="2760"/>
              <w:spacing w:after="0"/>
              <w:rPr>
                <w:sz w:val="20"/>
                <w:szCs w:val="20"/>
                <w:color w:val="auto"/>
              </w:rPr>
            </w:pPr>
            <w:r>
              <w:rPr>
                <w:rFonts w:ascii="Times New Roman" w:cs="Times New Roman" w:eastAsia="Times New Roman" w:hAnsi="Times New Roman"/>
                <w:sz w:val="22"/>
                <w:szCs w:val="22"/>
                <w:color w:val="auto"/>
                <w:w w:val="94"/>
              </w:rPr>
              <w:t>Article III</w:t>
            </w:r>
          </w:p>
        </w:tc>
        <w:tc>
          <w:tcPr>
            <w:tcW w:w="2260" w:type="dxa"/>
            <w:vAlign w:val="bottom"/>
          </w:tcPr>
          <w:p>
            <w:pPr>
              <w:spacing w:after="0"/>
              <w:rPr>
                <w:sz w:val="22"/>
                <w:szCs w:val="22"/>
                <w:color w:val="auto"/>
              </w:rPr>
            </w:pPr>
          </w:p>
        </w:tc>
      </w:tr>
      <w:tr>
        <w:trPr>
          <w:trHeight w:val="20"/>
        </w:trPr>
        <w:tc>
          <w:tcPr>
            <w:tcW w:w="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40" w:type="dxa"/>
            <w:vAlign w:val="bottom"/>
            <w:tcBorders>
              <w:right w:val="single" w:sz="8" w:color="auto"/>
            </w:tcBorders>
            <w:gridSpan w:val="4"/>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43"/>
        </w:trPr>
        <w:tc>
          <w:tcPr>
            <w:tcW w:w="380" w:type="dxa"/>
            <w:vAlign w:val="bottom"/>
          </w:tcPr>
          <w:p>
            <w:pPr>
              <w:spacing w:after="0"/>
              <w:rPr>
                <w:sz w:val="24"/>
                <w:szCs w:val="24"/>
                <w:color w:val="auto"/>
              </w:rPr>
            </w:pPr>
          </w:p>
        </w:tc>
        <w:tc>
          <w:tcPr>
            <w:tcW w:w="8260" w:type="dxa"/>
            <w:vAlign w:val="bottom"/>
            <w:gridSpan w:val="7"/>
          </w:tcPr>
          <w:p>
            <w:pPr>
              <w:jc w:val="center"/>
              <w:ind w:left="1772"/>
              <w:spacing w:after="0"/>
              <w:rPr>
                <w:sz w:val="20"/>
                <w:szCs w:val="20"/>
                <w:color w:val="auto"/>
              </w:rPr>
            </w:pPr>
            <w:r>
              <w:rPr>
                <w:rFonts w:ascii="Times New Roman" w:cs="Times New Roman" w:eastAsia="Times New Roman" w:hAnsi="Times New Roman"/>
                <w:sz w:val="22"/>
                <w:szCs w:val="22"/>
                <w:color w:val="auto"/>
                <w:w w:val="96"/>
              </w:rPr>
              <w:t>Covenants</w:t>
            </w:r>
          </w:p>
        </w:tc>
        <w:tc>
          <w:tcPr>
            <w:tcW w:w="2260" w:type="dxa"/>
            <w:vAlign w:val="bottom"/>
          </w:tcPr>
          <w:p>
            <w:pPr>
              <w:spacing w:after="0"/>
              <w:rPr>
                <w:sz w:val="24"/>
                <w:szCs w:val="24"/>
                <w:color w:val="auto"/>
              </w:rPr>
            </w:pPr>
          </w:p>
        </w:tc>
      </w:tr>
      <w:tr>
        <w:trPr>
          <w:trHeight w:val="311"/>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3.1</w:t>
            </w:r>
          </w:p>
        </w:tc>
        <w:tc>
          <w:tcPr>
            <w:tcW w:w="826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Commercially Reasonable Efforts</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11"/>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3.2</w:t>
            </w:r>
          </w:p>
        </w:tc>
        <w:tc>
          <w:tcPr>
            <w:tcW w:w="826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Expenses</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10"/>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3.3</w:t>
            </w:r>
          </w:p>
        </w:tc>
        <w:tc>
          <w:tcPr>
            <w:tcW w:w="826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Sufficiency of Authorized Common Stock; Exchange Listing</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58"/>
        </w:trPr>
        <w:tc>
          <w:tcPr>
            <w:tcW w:w="38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3640" w:type="dxa"/>
            <w:vAlign w:val="bottom"/>
            <w:gridSpan w:val="6"/>
          </w:tcPr>
          <w:p>
            <w:pPr>
              <w:jc w:val="center"/>
              <w:ind w:right="2760"/>
              <w:spacing w:after="0"/>
              <w:rPr>
                <w:sz w:val="20"/>
                <w:szCs w:val="20"/>
                <w:color w:val="auto"/>
              </w:rPr>
            </w:pPr>
            <w:r>
              <w:rPr>
                <w:rFonts w:ascii="Times New Roman" w:cs="Times New Roman" w:eastAsia="Times New Roman" w:hAnsi="Times New Roman"/>
                <w:sz w:val="22"/>
                <w:szCs w:val="22"/>
                <w:color w:val="auto"/>
                <w:w w:val="97"/>
              </w:rPr>
              <w:t>Article IV</w:t>
            </w:r>
          </w:p>
        </w:tc>
        <w:tc>
          <w:tcPr>
            <w:tcW w:w="2260" w:type="dxa"/>
            <w:vAlign w:val="bottom"/>
          </w:tcPr>
          <w:p>
            <w:pPr>
              <w:spacing w:after="0"/>
              <w:rPr>
                <w:sz w:val="22"/>
                <w:szCs w:val="22"/>
                <w:color w:val="auto"/>
              </w:rPr>
            </w:pPr>
          </w:p>
        </w:tc>
      </w:tr>
      <w:tr>
        <w:trPr>
          <w:trHeight w:val="20"/>
        </w:trPr>
        <w:tc>
          <w:tcPr>
            <w:tcW w:w="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gridSpan w:val="4"/>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43"/>
        </w:trPr>
        <w:tc>
          <w:tcPr>
            <w:tcW w:w="380" w:type="dxa"/>
            <w:vAlign w:val="bottom"/>
          </w:tcPr>
          <w:p>
            <w:pPr>
              <w:spacing w:after="0"/>
              <w:rPr>
                <w:sz w:val="24"/>
                <w:szCs w:val="24"/>
                <w:color w:val="auto"/>
              </w:rPr>
            </w:pPr>
          </w:p>
        </w:tc>
        <w:tc>
          <w:tcPr>
            <w:tcW w:w="8260" w:type="dxa"/>
            <w:vAlign w:val="bottom"/>
            <w:gridSpan w:val="7"/>
          </w:tcPr>
          <w:p>
            <w:pPr>
              <w:jc w:val="center"/>
              <w:ind w:left="1772"/>
              <w:spacing w:after="0"/>
              <w:rPr>
                <w:sz w:val="20"/>
                <w:szCs w:val="20"/>
                <w:color w:val="auto"/>
              </w:rPr>
            </w:pPr>
            <w:r>
              <w:rPr>
                <w:rFonts w:ascii="Times New Roman" w:cs="Times New Roman" w:eastAsia="Times New Roman" w:hAnsi="Times New Roman"/>
                <w:sz w:val="22"/>
                <w:szCs w:val="22"/>
                <w:color w:val="auto"/>
                <w:w w:val="98"/>
              </w:rPr>
              <w:t>Additional Agreements</w:t>
            </w:r>
          </w:p>
        </w:tc>
        <w:tc>
          <w:tcPr>
            <w:tcW w:w="2260" w:type="dxa"/>
            <w:vAlign w:val="bottom"/>
          </w:tcPr>
          <w:p>
            <w:pPr>
              <w:spacing w:after="0"/>
              <w:rPr>
                <w:sz w:val="24"/>
                <w:szCs w:val="24"/>
                <w:color w:val="auto"/>
              </w:rPr>
            </w:pPr>
          </w:p>
        </w:tc>
      </w:tr>
      <w:tr>
        <w:trPr>
          <w:trHeight w:val="310"/>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4.1</w:t>
            </w:r>
          </w:p>
        </w:tc>
        <w:tc>
          <w:tcPr>
            <w:tcW w:w="826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Investment</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10"/>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4.2</w:t>
            </w:r>
          </w:p>
        </w:tc>
        <w:tc>
          <w:tcPr>
            <w:tcW w:w="826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Legends</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10"/>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4.3</w:t>
            </w:r>
          </w:p>
        </w:tc>
        <w:tc>
          <w:tcPr>
            <w:tcW w:w="826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Certain Transactions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10"/>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4.4</w:t>
            </w:r>
          </w:p>
        </w:tc>
        <w:tc>
          <w:tcPr>
            <w:tcW w:w="826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rPr>
              <w:t>Transfer of Warrants and Warrant Shares.</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10"/>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4.5</w:t>
            </w:r>
          </w:p>
        </w:tc>
        <w:tc>
          <w:tcPr>
            <w:tcW w:w="826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Registration Rights</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10"/>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4.6</w:t>
            </w:r>
          </w:p>
        </w:tc>
        <w:tc>
          <w:tcPr>
            <w:tcW w:w="826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rPr>
              <w:t>Voting of Warrant Shares</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58"/>
        </w:trPr>
        <w:tc>
          <w:tcPr>
            <w:tcW w:w="38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22"/>
                <w:szCs w:val="22"/>
                <w:color w:val="auto"/>
                <w:w w:val="99"/>
              </w:rPr>
              <w:t>Article V</w:t>
            </w:r>
          </w:p>
        </w:tc>
        <w:tc>
          <w:tcPr>
            <w:tcW w:w="2760" w:type="dxa"/>
            <w:vAlign w:val="bottom"/>
          </w:tcPr>
          <w:p>
            <w:pPr>
              <w:spacing w:after="0"/>
              <w:rPr>
                <w:sz w:val="22"/>
                <w:szCs w:val="22"/>
                <w:color w:val="auto"/>
              </w:rPr>
            </w:pPr>
          </w:p>
        </w:tc>
        <w:tc>
          <w:tcPr>
            <w:tcW w:w="2260" w:type="dxa"/>
            <w:vAlign w:val="bottom"/>
          </w:tcPr>
          <w:p>
            <w:pPr>
              <w:spacing w:after="0"/>
              <w:rPr>
                <w:sz w:val="22"/>
                <w:szCs w:val="22"/>
                <w:color w:val="auto"/>
              </w:rPr>
            </w:pPr>
          </w:p>
        </w:tc>
      </w:tr>
      <w:tr>
        <w:trPr>
          <w:trHeight w:val="343"/>
        </w:trPr>
        <w:tc>
          <w:tcPr>
            <w:tcW w:w="380" w:type="dxa"/>
            <w:vAlign w:val="bottom"/>
          </w:tcPr>
          <w:p>
            <w:pPr>
              <w:spacing w:after="0"/>
              <w:rPr>
                <w:sz w:val="24"/>
                <w:szCs w:val="24"/>
                <w:color w:val="auto"/>
              </w:rPr>
            </w:pPr>
          </w:p>
        </w:tc>
        <w:tc>
          <w:tcPr>
            <w:tcW w:w="8260" w:type="dxa"/>
            <w:vAlign w:val="bottom"/>
            <w:gridSpan w:val="7"/>
          </w:tcPr>
          <w:p>
            <w:pPr>
              <w:jc w:val="center"/>
              <w:ind w:left="1772"/>
              <w:spacing w:after="0"/>
              <w:rPr>
                <w:sz w:val="20"/>
                <w:szCs w:val="20"/>
                <w:color w:val="auto"/>
              </w:rPr>
            </w:pPr>
            <w:r>
              <w:rPr>
                <w:rFonts w:ascii="Times New Roman" w:cs="Times New Roman" w:eastAsia="Times New Roman" w:hAnsi="Times New Roman"/>
                <w:sz w:val="22"/>
                <w:szCs w:val="22"/>
                <w:color w:val="auto"/>
                <w:w w:val="99"/>
              </w:rPr>
              <w:t>Miscellaneous</w:t>
            </w:r>
          </w:p>
        </w:tc>
        <w:tc>
          <w:tcPr>
            <w:tcW w:w="2260" w:type="dxa"/>
            <w:vAlign w:val="bottom"/>
          </w:tcPr>
          <w:p>
            <w:pPr>
              <w:spacing w:after="0"/>
              <w:rPr>
                <w:sz w:val="24"/>
                <w:szCs w:val="24"/>
                <w:color w:val="auto"/>
              </w:rPr>
            </w:pPr>
          </w:p>
        </w:tc>
      </w:tr>
      <w:tr>
        <w:trPr>
          <w:trHeight w:val="310"/>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5.1</w:t>
            </w:r>
          </w:p>
        </w:tc>
        <w:tc>
          <w:tcPr>
            <w:tcW w:w="826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Survival of Representations and Warranties</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10"/>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5.2</w:t>
            </w:r>
          </w:p>
        </w:tc>
        <w:tc>
          <w:tcPr>
            <w:tcW w:w="826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rPr>
              <w:t>Amendment</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10"/>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5.3</w:t>
            </w:r>
          </w:p>
        </w:tc>
        <w:tc>
          <w:tcPr>
            <w:tcW w:w="826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rPr>
              <w:t>Waiver of Conditions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10"/>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5.4</w:t>
            </w:r>
          </w:p>
        </w:tc>
        <w:tc>
          <w:tcPr>
            <w:tcW w:w="8260" w:type="dxa"/>
            <w:vAlign w:val="bottom"/>
            <w:gridSpan w:val="7"/>
          </w:tcPr>
          <w:p>
            <w:pPr>
              <w:ind w:left="120"/>
              <w:spacing w:after="0"/>
              <w:rPr>
                <w:sz w:val="20"/>
                <w:szCs w:val="20"/>
                <w:color w:val="auto"/>
              </w:rPr>
            </w:pPr>
            <w:r>
              <w:rPr>
                <w:rFonts w:ascii="Times New Roman" w:cs="Times New Roman" w:eastAsia="Times New Roman" w:hAnsi="Times New Roman"/>
                <w:sz w:val="22"/>
                <w:szCs w:val="22"/>
                <w:b w:val="1"/>
                <w:bCs w:val="1"/>
                <w:color w:val="auto"/>
              </w:rPr>
              <w:t>Governing Law: Submission to Jurisdiction, Etc.</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10"/>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5.5</w:t>
            </w:r>
          </w:p>
        </w:tc>
        <w:tc>
          <w:tcPr>
            <w:tcW w:w="826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Notices</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11"/>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5.6</w:t>
            </w:r>
          </w:p>
        </w:tc>
        <w:tc>
          <w:tcPr>
            <w:tcW w:w="826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Definitions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10"/>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5.7</w:t>
            </w:r>
          </w:p>
        </w:tc>
        <w:tc>
          <w:tcPr>
            <w:tcW w:w="826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rPr>
              <w:t>Assignment</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11"/>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5.8</w:t>
            </w:r>
          </w:p>
        </w:tc>
        <w:tc>
          <w:tcPr>
            <w:tcW w:w="826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Severability</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10"/>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5.9</w:t>
            </w:r>
          </w:p>
        </w:tc>
        <w:tc>
          <w:tcPr>
            <w:tcW w:w="826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No Third Party Beneficiaries</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bl>
    <w:p>
      <w:pPr>
        <w:spacing w:after="0" w:line="200" w:lineRule="exact"/>
        <w:rPr>
          <w:sz w:val="20"/>
          <w:szCs w:val="20"/>
          <w:color w:val="auto"/>
        </w:rPr>
      </w:pPr>
    </w:p>
    <w:p>
      <w:pPr>
        <w:sectPr>
          <w:pgSz w:w="11900" w:h="16838" w:orient="portrait"/>
          <w:cols w:equalWidth="0" w:num="1">
            <w:col w:w="10900"/>
          </w:cols>
          <w:pgMar w:left="340" w:top="141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0900"/>
          </w:cols>
          <w:pgMar w:left="340" w:top="1418" w:right="659" w:bottom="1440" w:gutter="0" w:footer="0" w:header="0"/>
          <w:type w:val="continuous"/>
        </w:sectPr>
      </w:pPr>
    </w:p>
    <w:bookmarkStart w:id="34" w:name="page35"/>
    <w:bookmarkEnd w:id="34"/>
    <w:p>
      <w:pPr>
        <w:jc w:val="right"/>
        <w:ind w:right="3599"/>
        <w:spacing w:after="0"/>
        <w:rPr>
          <w:sz w:val="20"/>
          <w:szCs w:val="20"/>
          <w:color w:val="auto"/>
        </w:rPr>
      </w:pPr>
      <w:r>
        <w:rPr>
          <w:rFonts w:ascii="Times New Roman" w:cs="Times New Roman" w:eastAsia="Times New Roman" w:hAnsi="Times New Roman"/>
          <w:sz w:val="22"/>
          <w:szCs w:val="22"/>
          <w:color w:val="auto"/>
        </w:rPr>
        <w:t>LIST OF ANNEXES</w:t>
      </w:r>
    </w:p>
    <w:p>
      <w:pPr>
        <w:spacing w:after="0" w:line="220"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ANNEX A:</w:t>
      </w:r>
      <w:r>
        <w:rPr>
          <w:sz w:val="20"/>
          <w:szCs w:val="20"/>
          <w:color w:val="auto"/>
        </w:rPr>
        <w:tab/>
      </w:r>
      <w:r>
        <w:rPr>
          <w:rFonts w:ascii="Times New Roman" w:cs="Times New Roman" w:eastAsia="Times New Roman" w:hAnsi="Times New Roman"/>
          <w:sz w:val="21"/>
          <w:szCs w:val="21"/>
          <w:color w:val="auto"/>
        </w:rPr>
        <w:t>FORM OF OPINION</w:t>
      </w:r>
    </w:p>
    <w:p>
      <w:pPr>
        <w:spacing w:after="0" w:line="220"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ANNEX B:</w:t>
      </w:r>
      <w:r>
        <w:rPr>
          <w:sz w:val="20"/>
          <w:szCs w:val="20"/>
          <w:color w:val="auto"/>
        </w:rPr>
        <w:tab/>
      </w:r>
      <w:r>
        <w:rPr>
          <w:rFonts w:ascii="Times New Roman" w:cs="Times New Roman" w:eastAsia="Times New Roman" w:hAnsi="Times New Roman"/>
          <w:sz w:val="21"/>
          <w:szCs w:val="21"/>
          <w:color w:val="auto"/>
        </w:rPr>
        <w:t>FORM OF WARRANT</w:t>
      </w:r>
    </w:p>
    <w:p>
      <w:pPr>
        <w:spacing w:after="0" w:line="220"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2"/>
          <w:szCs w:val="22"/>
          <w:color w:val="auto"/>
        </w:rPr>
        <w:t>SCHEDULE 1:</w:t>
      </w:r>
      <w:r>
        <w:rPr>
          <w:sz w:val="20"/>
          <w:szCs w:val="20"/>
          <w:color w:val="auto"/>
        </w:rPr>
        <w:tab/>
      </w:r>
      <w:r>
        <w:rPr>
          <w:rFonts w:ascii="Times New Roman" w:cs="Times New Roman" w:eastAsia="Times New Roman" w:hAnsi="Times New Roman"/>
          <w:sz w:val="21"/>
          <w:szCs w:val="21"/>
          <w:color w:val="auto"/>
        </w:rPr>
        <w:t>WARRANT SHARES FORMULA</w:t>
      </w:r>
    </w:p>
    <w:p>
      <w:pPr>
        <w:spacing w:after="0" w:line="220"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2"/>
          <w:szCs w:val="22"/>
          <w:color w:val="auto"/>
        </w:rPr>
        <w:t>SCHEDULE 2:</w:t>
      </w:r>
      <w:r>
        <w:rPr>
          <w:sz w:val="20"/>
          <w:szCs w:val="20"/>
          <w:color w:val="auto"/>
        </w:rPr>
        <w:tab/>
      </w:r>
      <w:r>
        <w:rPr>
          <w:rFonts w:ascii="Times New Roman" w:cs="Times New Roman" w:eastAsia="Times New Roman" w:hAnsi="Times New Roman"/>
          <w:sz w:val="21"/>
          <w:szCs w:val="21"/>
          <w:color w:val="auto"/>
        </w:rPr>
        <w:t>CAPITALIZATION</w:t>
      </w:r>
    </w:p>
    <w:p>
      <w:pPr>
        <w:spacing w:after="0" w:line="22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22"/>
          <w:szCs w:val="22"/>
          <w:color w:val="auto"/>
        </w:rPr>
        <w:t>SCHEDULE 3:</w:t>
      </w:r>
      <w:r>
        <w:rPr>
          <w:sz w:val="20"/>
          <w:szCs w:val="20"/>
          <w:color w:val="auto"/>
        </w:rPr>
        <w:tab/>
      </w:r>
      <w:r>
        <w:rPr>
          <w:rFonts w:ascii="Times New Roman" w:cs="Times New Roman" w:eastAsia="Times New Roman" w:hAnsi="Times New Roman"/>
          <w:sz w:val="21"/>
          <w:szCs w:val="21"/>
          <w:color w:val="auto"/>
        </w:rPr>
        <w:t>REQUIRED STOCKHOLDER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139"/>
          </w:cols>
          <w:pgMar w:left="320" w:top="1422"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86"/>
        </w:trPr>
        <w:tc>
          <w:tcPr>
            <w:tcW w:w="88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INDEX OF DEFINED TERMS</w:t>
            </w:r>
          </w:p>
        </w:tc>
        <w:tc>
          <w:tcPr>
            <w:tcW w:w="2440" w:type="dxa"/>
            <w:vAlign w:val="bottom"/>
          </w:tcPr>
          <w:p>
            <w:pPr>
              <w:spacing w:after="0"/>
              <w:rPr>
                <w:sz w:val="24"/>
                <w:szCs w:val="24"/>
                <w:color w:val="auto"/>
              </w:rPr>
            </w:pPr>
          </w:p>
        </w:tc>
      </w:tr>
      <w:tr>
        <w:trPr>
          <w:trHeight w:val="319"/>
        </w:trPr>
        <w:tc>
          <w:tcPr>
            <w:tcW w:w="8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Term</w:t>
            </w:r>
          </w:p>
        </w:tc>
        <w:tc>
          <w:tcPr>
            <w:tcW w:w="240" w:type="dxa"/>
            <w:vAlign w:val="bottom"/>
          </w:tcPr>
          <w:p>
            <w:pPr>
              <w:spacing w:after="0"/>
              <w:rPr>
                <w:sz w:val="24"/>
                <w:szCs w:val="24"/>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Location of Definition</w:t>
            </w:r>
          </w:p>
        </w:tc>
      </w:tr>
      <w:tr>
        <w:trPr>
          <w:trHeight w:val="296"/>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Affiliate</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Annex B</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Agreement</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Recitals</w:t>
            </w:r>
          </w:p>
        </w:tc>
      </w:tr>
      <w:tr>
        <w:trPr>
          <w:trHeight w:val="311"/>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Appraisal Procedure</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Annex B</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Board of Directors</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2.1(i)</w:t>
            </w:r>
          </w:p>
        </w:tc>
      </w:tr>
      <w:tr>
        <w:trPr>
          <w:trHeight w:val="311"/>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Business Combination</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Annex B</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Business Day</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Annex B</w:t>
            </w:r>
          </w:p>
        </w:tc>
      </w:tr>
      <w:tr>
        <w:trPr>
          <w:trHeight w:val="311"/>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Capitalization Date</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2.1(b)</w:t>
            </w:r>
          </w:p>
        </w:tc>
      </w:tr>
      <w:tr>
        <w:trPr>
          <w:trHeight w:val="311"/>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Closing</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1.2(a)</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Common Stock</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Annex B</w:t>
            </w:r>
          </w:p>
        </w:tc>
      </w:tr>
      <w:tr>
        <w:trPr>
          <w:trHeight w:val="311"/>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Company</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Recitals</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Company Reports</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2.1(j)(i)</w:t>
            </w:r>
          </w:p>
        </w:tc>
      </w:tr>
      <w:tr>
        <w:trPr>
          <w:trHeight w:val="311"/>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Exchange Act</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Annex B</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Governmental Authority</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5.6(a)</w:t>
            </w:r>
          </w:p>
        </w:tc>
      </w:tr>
      <w:tr>
        <w:trPr>
          <w:trHeight w:val="311"/>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Holder</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4.5(k)(i)</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Indemnitee</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4.5(g)(i)</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Initial Closing</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1.2(a)</w:t>
            </w:r>
          </w:p>
        </w:tc>
      </w:tr>
      <w:tr>
        <w:trPr>
          <w:trHeight w:val="311"/>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Lien</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5.6(c)</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Material Adverse Effect</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5.6(d)</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Organizational Documents</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5.6(e)</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Pending Underwritten Offering</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4.5(l)</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Piggyback Registration</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4.5(a)(iv)</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Promissory Note</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Recitals</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register; registered; registration</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4.5(k)(ii)</w:t>
            </w:r>
          </w:p>
        </w:tc>
      </w:tr>
      <w:tr>
        <w:trPr>
          <w:trHeight w:val="311"/>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Registrable Securities</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4.5(k)(iii)</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Registration Commencement Date</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4.5(a)(i)</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Registration Expenses</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4.5(k)(iv)</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Rule 144; Rule 144A; Rule 159A; Rule 405; Rule 415</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4.5(k)(v)</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SEC</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2.1(c)</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Securities Act</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Annex B</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Selling Expenses</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4.5(k)(vi)</w:t>
            </w:r>
          </w:p>
        </w:tc>
      </w:tr>
      <w:tr>
        <w:trPr>
          <w:trHeight w:val="311"/>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Shelf Registration Statement</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4.5(a)(ii)</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Special Registration</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4.5(i)</w:t>
            </w:r>
          </w:p>
        </w:tc>
      </w:tr>
      <w:tr>
        <w:trPr>
          <w:trHeight w:val="311"/>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Stockholder Proposals</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3.1(b)</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Subsidiary</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5.6(f)</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Transfer</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4.4</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Treasury</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Recitals</w:t>
            </w:r>
          </w:p>
        </w:tc>
      </w:tr>
      <w:tr>
        <w:trPr>
          <w:trHeight w:val="311"/>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Warrant Closing Date</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1.2(a)</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Warrants</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Recitals</w:t>
            </w:r>
          </w:p>
        </w:tc>
      </w:tr>
      <w:tr>
        <w:trPr>
          <w:trHeight w:val="31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Warrant Shares</w:t>
            </w:r>
          </w:p>
        </w:tc>
        <w:tc>
          <w:tcPr>
            <w:tcW w:w="2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Annex B</w:t>
            </w:r>
          </w:p>
        </w:tc>
      </w:tr>
    </w:tbl>
    <w:p>
      <w:pPr>
        <w:spacing w:after="0" w:line="200" w:lineRule="exact"/>
        <w:rPr>
          <w:sz w:val="20"/>
          <w:szCs w:val="20"/>
          <w:color w:val="auto"/>
        </w:rPr>
      </w:pP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40"/>
          </w:cols>
          <w:pgMar w:left="320" w:top="1418" w:right="339" w:bottom="1440" w:gutter="0" w:footer="0" w:header="0"/>
          <w:type w:val="continuous"/>
        </w:sectPr>
      </w:pPr>
    </w:p>
    <w:bookmarkStart w:id="36" w:name="page37"/>
    <w:bookmarkEnd w:id="36"/>
    <w:p>
      <w:pPr>
        <w:jc w:val="both"/>
        <w:ind w:right="1100" w:firstLine="648"/>
        <w:spacing w:after="0" w:line="257" w:lineRule="auto"/>
        <w:rPr>
          <w:sz w:val="20"/>
          <w:szCs w:val="20"/>
          <w:color w:val="auto"/>
        </w:rPr>
      </w:pPr>
      <w:r>
        <w:rPr>
          <w:rFonts w:ascii="Times New Roman" w:cs="Times New Roman" w:eastAsia="Times New Roman" w:hAnsi="Times New Roman"/>
          <w:sz w:val="22"/>
          <w:szCs w:val="22"/>
          <w:color w:val="auto"/>
        </w:rPr>
        <w:t>WARRANT AGREEMENT dated as of January 15, 2021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between UNITED AIRLINES HOLDINGS, INC., a corporation organized under the laws of Delaware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UNITED STATES DEPARTMENT OF THE TREASURY (“</w:t>
      </w:r>
      <w:r>
        <w:rPr>
          <w:rFonts w:ascii="Times New Roman" w:cs="Times New Roman" w:eastAsia="Times New Roman" w:hAnsi="Times New Roman"/>
          <w:sz w:val="22"/>
          <w:szCs w:val="22"/>
          <w:u w:val="single" w:color="auto"/>
          <w:color w:val="auto"/>
        </w:rPr>
        <w:t>Treasury</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right="220" w:firstLine="648"/>
        <w:spacing w:after="0" w:line="248" w:lineRule="auto"/>
        <w:rPr>
          <w:sz w:val="20"/>
          <w:szCs w:val="20"/>
          <w:color w:val="auto"/>
        </w:rPr>
      </w:pPr>
      <w:r>
        <w:rPr>
          <w:rFonts w:ascii="Times New Roman" w:cs="Times New Roman" w:eastAsia="Times New Roman" w:hAnsi="Times New Roman"/>
          <w:sz w:val="22"/>
          <w:szCs w:val="22"/>
          <w:color w:val="auto"/>
        </w:rPr>
        <w:t>WHEREAS, the Company has requested that Treasury provide financial assistance to the Recipient (as defined in the PSP2 Agreement) that shall exclusively be used for the continuation of payment of employee wages, salaries, and benefits as is permissible under Section 402(a) of Title IV of the Consolidated Appropriations Act, 2021 (December 27, 2020), as the same may be amended from time to time, and Treasury is willing to do so on the terms and conditions set forth in that certain Payroll Support Program Extension Agreement dated as of January 15, 2021, between UNITED AIRLINES, INC. and Treasury (the “</w:t>
      </w:r>
      <w:r>
        <w:rPr>
          <w:rFonts w:ascii="Times New Roman" w:cs="Times New Roman" w:eastAsia="Times New Roman" w:hAnsi="Times New Roman"/>
          <w:sz w:val="22"/>
          <w:szCs w:val="22"/>
          <w:u w:val="single" w:color="auto"/>
          <w:color w:val="auto"/>
        </w:rPr>
        <w:t>PSP2 Agreement</w:t>
      </w:r>
      <w:r>
        <w:rPr>
          <w:rFonts w:ascii="Times New Roman" w:cs="Times New Roman" w:eastAsia="Times New Roman" w:hAnsi="Times New Roman"/>
          <w:sz w:val="22"/>
          <w:szCs w:val="22"/>
          <w:color w:val="auto"/>
        </w:rPr>
        <w:t>”); and</w:t>
      </w:r>
    </w:p>
    <w:p>
      <w:pPr>
        <w:spacing w:after="0" w:line="18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WHEREAS, as appropriate compensation to the Federal Government of the United States of America for the provision of financial assistance under the PSP2 Agreement, the Company has agreed to issue a note to be repaid to Treasury on the terms and conditions set forth in the promissory note dated as of January 15, 2021, issued by the Company, in the name of Treasury as the holder (the “</w:t>
      </w:r>
      <w:r>
        <w:rPr>
          <w:rFonts w:ascii="Times New Roman" w:cs="Times New Roman" w:eastAsia="Times New Roman" w:hAnsi="Times New Roman"/>
          <w:sz w:val="22"/>
          <w:szCs w:val="22"/>
          <w:u w:val="single" w:color="auto"/>
          <w:color w:val="auto"/>
        </w:rPr>
        <w:t>Promissory Note</w:t>
      </w:r>
      <w:r>
        <w:rPr>
          <w:rFonts w:ascii="Times New Roman" w:cs="Times New Roman" w:eastAsia="Times New Roman" w:hAnsi="Times New Roman"/>
          <w:sz w:val="22"/>
          <w:szCs w:val="22"/>
          <w:color w:val="auto"/>
        </w:rPr>
        <w:t>”) and agreed to issue in a private placement warrants to purchase the number of shares of its Common Stock determined in accordance with Schedule 1 to this Agreement (the “</w:t>
      </w:r>
      <w:r>
        <w:rPr>
          <w:rFonts w:ascii="Times New Roman" w:cs="Times New Roman" w:eastAsia="Times New Roman" w:hAnsi="Times New Roman"/>
          <w:sz w:val="22"/>
          <w:szCs w:val="22"/>
          <w:u w:val="single" w:color="auto"/>
          <w:color w:val="auto"/>
        </w:rPr>
        <w:t>Warrants</w:t>
      </w:r>
      <w:r>
        <w:rPr>
          <w:rFonts w:ascii="Times New Roman" w:cs="Times New Roman" w:eastAsia="Times New Roman" w:hAnsi="Times New Roman"/>
          <w:sz w:val="22"/>
          <w:szCs w:val="22"/>
          <w:color w:val="auto"/>
        </w:rPr>
        <w:t>”) to Treasury;</w:t>
      </w:r>
    </w:p>
    <w:p>
      <w:pPr>
        <w:spacing w:after="0" w:line="177"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of the representations, warranties, covenants and agreements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herein, the parties agree as follows:</w:t>
      </w:r>
    </w:p>
    <w:p>
      <w:pPr>
        <w:spacing w:after="0" w:line="15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Article I</w:t>
      </w:r>
    </w:p>
    <w:p>
      <w:pPr>
        <w:spacing w:after="0" w:line="2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b w:val="1"/>
          <w:bCs w:val="1"/>
          <w:color w:val="auto"/>
        </w:rPr>
        <w:t>Closing</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Issuance.</w:t>
      </w:r>
    </w:p>
    <w:p>
      <w:pPr>
        <w:spacing w:after="0" w:line="196" w:lineRule="exact"/>
        <w:rPr>
          <w:sz w:val="20"/>
          <w:szCs w:val="20"/>
          <w:color w:val="auto"/>
        </w:rPr>
      </w:pPr>
    </w:p>
    <w:p>
      <w:pPr>
        <w:ind w:left="260" w:right="260" w:firstLine="396"/>
        <w:spacing w:after="0" w:line="257" w:lineRule="auto"/>
        <w:tabs>
          <w:tab w:leader="none" w:pos="131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terms and subject to the conditions set forth in this Agreement, the Company agrees to issue to Treasury, on each Warrant Closing Date, Warrants for a number of shares of Common Stock determined by the formula set forth in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auto"/>
        </w:rPr>
        <w:t>1.2</w:t>
      </w:r>
      <w:r>
        <w:rPr>
          <w:sz w:val="20"/>
          <w:szCs w:val="20"/>
          <w:color w:val="auto"/>
        </w:rPr>
        <w:tab/>
      </w:r>
      <w:r>
        <w:rPr>
          <w:rFonts w:ascii="Times New Roman" w:cs="Times New Roman" w:eastAsia="Times New Roman" w:hAnsi="Times New Roman"/>
          <w:sz w:val="21"/>
          <w:szCs w:val="21"/>
          <w:u w:val="single" w:color="auto"/>
          <w:color w:val="auto"/>
        </w:rPr>
        <w:t>Initial Closing; Warrant Closing Date.</w:t>
      </w:r>
    </w:p>
    <w:p>
      <w:pPr>
        <w:spacing w:after="0" w:line="220" w:lineRule="exact"/>
        <w:rPr>
          <w:sz w:val="20"/>
          <w:szCs w:val="20"/>
          <w:color w:val="auto"/>
        </w:rPr>
      </w:pPr>
    </w:p>
    <w:p>
      <w:pPr>
        <w:ind w:right="20" w:firstLine="656"/>
        <w:spacing w:after="0" w:line="248" w:lineRule="auto"/>
        <w:tabs>
          <w:tab w:leader="none" w:pos="129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terms and subject to the conditions set forth in this Agreement, the closing of the initial issuance of the Warrants (the “</w:t>
      </w:r>
      <w:r>
        <w:rPr>
          <w:rFonts w:ascii="Times New Roman" w:cs="Times New Roman" w:eastAsia="Times New Roman" w:hAnsi="Times New Roman"/>
          <w:sz w:val="22"/>
          <w:szCs w:val="22"/>
          <w:u w:val="single" w:color="auto"/>
          <w:color w:val="auto"/>
        </w:rPr>
        <w:t>Initial Closing</w:t>
      </w:r>
      <w:r>
        <w:rPr>
          <w:rFonts w:ascii="Times New Roman" w:cs="Times New Roman" w:eastAsia="Times New Roman" w:hAnsi="Times New Roman"/>
          <w:sz w:val="22"/>
          <w:szCs w:val="22"/>
          <w:color w:val="auto"/>
        </w:rPr>
        <w:t>”) will take place on the Closing Date (as defined in the Promissory Note) or, if on the Closing Date the principal amount of the Promissory Note is $0, the first date on which such principal amount is increased. After the Initial Closing, the closing of any subsequent issuance will take place on the date of each increase, if any, of the principal amount of the Promissory Note (each subsequent closing, together with the Initial Closing, a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and each such date a “</w:t>
      </w:r>
      <w:r>
        <w:rPr>
          <w:rFonts w:ascii="Times New Roman" w:cs="Times New Roman" w:eastAsia="Times New Roman" w:hAnsi="Times New Roman"/>
          <w:sz w:val="22"/>
          <w:szCs w:val="22"/>
          <w:u w:val="single" w:color="auto"/>
          <w:color w:val="auto"/>
        </w:rPr>
        <w:t>Warrant 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ind w:right="160" w:firstLine="656"/>
        <w:spacing w:after="0" w:line="257" w:lineRule="auto"/>
        <w:tabs>
          <w:tab w:leader="none" w:pos="129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each Warrant Closing Date, the Company will issue to Treasury a duly executed Warrant or Warrants for a number of shares of Common Stock determined by the formula set forth in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as evidenced by one or more certificates dated the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20"/>
          </w:cols>
          <w:pgMar w:left="320" w:top="1422" w:right="359" w:bottom="1440" w:gutter="0" w:footer="0" w:header="0"/>
        </w:sectPr>
      </w:pPr>
    </w:p>
    <w:bookmarkStart w:id="37" w:name="page38"/>
    <w:bookmarkEnd w:id="37"/>
    <w:p>
      <w:pPr>
        <w:ind w:right="140"/>
        <w:spacing w:after="0" w:line="271" w:lineRule="auto"/>
        <w:rPr>
          <w:sz w:val="20"/>
          <w:szCs w:val="20"/>
          <w:color w:val="auto"/>
        </w:rPr>
      </w:pPr>
      <w:r>
        <w:rPr>
          <w:rFonts w:ascii="Times New Roman" w:cs="Times New Roman" w:eastAsia="Times New Roman" w:hAnsi="Times New Roman"/>
          <w:sz w:val="22"/>
          <w:szCs w:val="22"/>
          <w:color w:val="auto"/>
        </w:rPr>
        <w:t xml:space="preserve">Closing Date and bearing appropriate legends as hereinafter provided for and in substantially the form attached hereto as </w:t>
      </w:r>
      <w:r>
        <w:rPr>
          <w:rFonts w:ascii="Times New Roman" w:cs="Times New Roman" w:eastAsia="Times New Roman" w:hAnsi="Times New Roman"/>
          <w:sz w:val="22"/>
          <w:szCs w:val="22"/>
          <w:u w:val="single" w:color="auto"/>
          <w:color w:val="auto"/>
        </w:rPr>
        <w:t>Annex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40" w:firstLine="656"/>
        <w:spacing w:after="0" w:line="248" w:lineRule="auto"/>
        <w:tabs>
          <w:tab w:leader="none" w:pos="129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each Warrant Closing Date, the Company shall deliver to Treasury (i) a written opinion from counsel to the Company (which may be internal counsel) addressed to Treasury and dated as of such Warrant Closing Date, in substantially the form attached hereto as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and (ii) a certificate executed by the chief executive officer, president, executive vice president, chief financial officer, principal accounting officer, treasurer or controller confirming that the representations and warranties of the Company in this Agreement are true and correct with the same force and effect as though expressly made at and as of such Warrant Closing Date and the Company has complied with all agreements on its part to be performed or satisfied hereunder at or prior to such Closing.</w:t>
      </w:r>
    </w:p>
    <w:p>
      <w:pPr>
        <w:spacing w:after="0" w:line="181" w:lineRule="exact"/>
        <w:rPr>
          <w:rFonts w:ascii="Times New Roman" w:cs="Times New Roman" w:eastAsia="Times New Roman" w:hAnsi="Times New Roman"/>
          <w:sz w:val="22"/>
          <w:szCs w:val="22"/>
          <w:color w:val="auto"/>
        </w:rPr>
      </w:pPr>
    </w:p>
    <w:p>
      <w:pPr>
        <w:ind w:right="80" w:firstLine="656"/>
        <w:spacing w:after="0" w:line="247" w:lineRule="auto"/>
        <w:tabs>
          <w:tab w:leader="none" w:pos="129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initial Warrant Closing Date, the Company shall deliver to Treasury (i) such customary certificates of resolutions or other action, incumbency certificates and/or other certificates of the chief executive officer, president, executive vice president, chief financial officer, principal accounting officer, treasurer or controller as Treasury may require evidencing the identity, authority and capacity of each such officer thereof authorized to act as such officer in connection with this Agreement and (ii) customary resolutions or evidence of corporate authorization, secretary's certificates and such other documents and certificates (including Organizational Documents and good standing certificates) as Treasury may reasonably request relating to the organization, existence and good standing of the Company and any other legal matters relating to the Company, this Agreement, the Warrants or the transactions contemplated hereby or thereby.</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56"/>
        <w:spacing w:after="0" w:line="258" w:lineRule="auto"/>
        <w:tabs>
          <w:tab w:leader="none" w:pos="1293"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a reference is made in this Agreement to “Recitals,” “Articles,” “Sections,” or “Annexes” such reference shall be to a Recital, Article or Section of, or Annex to, this Warrant Agreement, unless otherwise indicated. The terms defined in the singular have a comparable meaning when used in the plural, and vice versa. References to “herein”, “hereof”, “hereunder” and the like refer to this Agreement as a whole and not to any particular section or provision, unless the context requires otherwise. The table of contents and headings contained in this Agreement are for reference purposes only and are not part of this Agreement. Whenever the words “include,” “includes” or “including” are used in this Agreement, they shall be deemed followed by the words “without limitation.” No rule of construction against the draftsperson shall be applied in connection with the interpretation or enforcement of this Agreement, as this Agreement is the product of negotiation between sophisticated parties advised by counsel. All references to “$” or “dollars” mean the lawful currency of the United States of America. Except as expressly stated in this Agreement, all references to any statute, rule or regulation are to the statute, rule or regulation as amended, modified, supplemented or replaced from time to time (and, in the case of statutes, include any rules and regulations promulgated under the statute) and to any section of any statute, rule or regulation include any successor to the section.</w:t>
      </w:r>
    </w:p>
    <w:p>
      <w:pPr>
        <w:spacing w:after="0" w:line="178"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not defined herein have the meanings ascribed thereto in Annex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00"/>
          </w:cols>
          <w:pgMar w:left="320" w:top="1422" w:right="379" w:bottom="1440" w:gutter="0" w:footer="0" w:header="0"/>
        </w:sectPr>
      </w:pPr>
    </w:p>
    <w:bookmarkStart w:id="38" w:name="page39"/>
    <w:bookmarkEnd w:id="38"/>
    <w:p>
      <w:pPr>
        <w:ind w:left="5380"/>
        <w:spacing w:after="0"/>
        <w:rPr>
          <w:sz w:val="20"/>
          <w:szCs w:val="20"/>
          <w:color w:val="auto"/>
        </w:rPr>
      </w:pPr>
      <w:r>
        <w:rPr>
          <w:rFonts w:ascii="Times New Roman" w:cs="Times New Roman" w:eastAsia="Times New Roman" w:hAnsi="Times New Roman"/>
          <w:sz w:val="22"/>
          <w:szCs w:val="22"/>
          <w:color w:val="auto"/>
        </w:rPr>
        <w:t>Article II</w:t>
      </w:r>
    </w:p>
    <w:p>
      <w:pPr>
        <w:spacing w:after="0" w:line="2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223"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22"/>
          <w:szCs w:val="22"/>
          <w:color w:val="auto"/>
        </w:rPr>
        <w:t>2.1 Representations and Warranties of the Company. The Company represents and warrants to Treasury that as of the date hereof and each Warrant Closing Date (or such other date specified herein):</w:t>
      </w:r>
    </w:p>
    <w:p>
      <w:pPr>
        <w:spacing w:after="0" w:line="2" w:lineRule="exact"/>
        <w:rPr>
          <w:sz w:val="20"/>
          <w:szCs w:val="20"/>
          <w:color w:val="auto"/>
        </w:rPr>
      </w:pPr>
    </w:p>
    <w:p>
      <w:pPr>
        <w:ind w:right="60" w:firstLine="656"/>
        <w:spacing w:after="0" w:line="254" w:lineRule="auto"/>
        <w:tabs>
          <w:tab w:leader="none" w:pos="1293"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Existence, Qualification and Power. The Company is duly organized or formed, validly existing and, if applicable, in good standing under the Laws of the jurisdiction of its incorporation or organization, and the Company and each Subsidiary</w:t>
      </w:r>
    </w:p>
    <w:p>
      <w:pPr>
        <w:spacing w:after="0" w:line="1" w:lineRule="exact"/>
        <w:rPr>
          <w:rFonts w:ascii="Times New Roman" w:cs="Times New Roman" w:eastAsia="Times New Roman" w:hAnsi="Times New Roman"/>
          <w:sz w:val="21"/>
          <w:szCs w:val="21"/>
          <w:color w:val="auto"/>
        </w:rPr>
      </w:pPr>
    </w:p>
    <w:p>
      <w:pPr>
        <w:ind w:right="20" w:firstLine="8"/>
        <w:spacing w:after="0" w:line="243" w:lineRule="auto"/>
        <w:tabs>
          <w:tab w:leader="none" w:pos="29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all requisite power and authority and all requisite governmental licenses, authorizations, consents and approvals to (i) own or lease its assets and carry on its business and (ii) execute, deliver and perform its obligations under the this Agreement and the Warrants, and (b) is duly qualified and is licensed and, as applicable, in good standing under the Laws of each jurisdiction where its ownership, lease or operation of properties or the conduct of its business requires such qualification or license, except, in each case referred to in clause (a)(i) or (b), to the extent that failure to do so could not reasonably be expected to have a Material Adverse Effect.</w:t>
      </w:r>
    </w:p>
    <w:p>
      <w:pPr>
        <w:spacing w:after="0" w:line="2" w:lineRule="exact"/>
        <w:rPr>
          <w:rFonts w:ascii="Times New Roman" w:cs="Times New Roman" w:eastAsia="Times New Roman" w:hAnsi="Times New Roman"/>
          <w:sz w:val="22"/>
          <w:szCs w:val="22"/>
          <w:color w:val="auto"/>
        </w:rPr>
      </w:pPr>
    </w:p>
    <w:p>
      <w:pPr>
        <w:ind w:right="20" w:firstLine="656"/>
        <w:spacing w:after="0" w:line="243" w:lineRule="auto"/>
        <w:tabs>
          <w:tab w:leader="none" w:pos="1291"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Capitalization. The authorized capital stock of the Company, and the outstanding capital stock of the Company (including securities convertible into, or exercisable or exchangeable for, capital stock of the Company) as of the most recent fiscal month-end preceding the date hereof (the “Capitalization Date”) is set forth in Schedule 2. The outstanding shares of capital stock of the Company have been duly authorized and are validly issued and outstanding, fully paid and nonassessable, and subject to no preemptive rights (and were not issued in violation of any preemptive rights). Except as provided in the Warrants, as of the date hereof, the Company does not have outstanding any securities or other obligations providing the holder the right to acquire Common Stock that is not reserved for issuance as specified on Schedule 2, and the Company has not made any other commitment to authorize, issue or sell any Common Stock. Since the Capitalization Date, the Company has not issued any shares of Common Stock, other than (i) shares issued upon the exercise of stock options or delivered under other equity-based awards or other convertible securities or warrants which were issued and outstanding on the Capitalization Date and disclosed on Schedule 2 and (ii) shares disclosed on Schedule 2 as it may be updated by written notice from the Company to Treasury in connection with each Warrant Closing Date.</w:t>
      </w:r>
    </w:p>
    <w:p>
      <w:pPr>
        <w:spacing w:after="0" w:line="6" w:lineRule="exact"/>
        <w:rPr>
          <w:rFonts w:ascii="Times New Roman" w:cs="Times New Roman" w:eastAsia="Times New Roman" w:hAnsi="Times New Roman"/>
          <w:sz w:val="22"/>
          <w:szCs w:val="22"/>
          <w:color w:val="auto"/>
        </w:rPr>
      </w:pPr>
    </w:p>
    <w:p>
      <w:pPr>
        <w:ind w:firstLine="656"/>
        <w:spacing w:after="0" w:line="245" w:lineRule="auto"/>
        <w:tabs>
          <w:tab w:leader="none" w:pos="1293"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Listing. The Common Stock has been registered pursuant to Section 12(b) of the Exchange Act and the shares of the Common Stock outstanding on the date hereof are listed on a national securities exchange. The Company has taken no action designed to, or likely to have the effect of, terminating the registration of the Common Stock under the Exchange Act or the listing of the Common Stock on such national securities exchange, nor has the Company received any notification that the Securities and Exchange Commission (the “SEC”) or such exchange is contemplating terminating such registration or listing. The Company is in compliance with applicable continued listing requirements of such exchange in all material respects.</w:t>
      </w:r>
    </w:p>
    <w:p>
      <w:pPr>
        <w:spacing w:after="0" w:line="1" w:lineRule="exact"/>
        <w:rPr>
          <w:rFonts w:ascii="Times New Roman" w:cs="Times New Roman" w:eastAsia="Times New Roman" w:hAnsi="Times New Roman"/>
          <w:sz w:val="22"/>
          <w:szCs w:val="22"/>
          <w:color w:val="auto"/>
        </w:rPr>
      </w:pPr>
    </w:p>
    <w:p>
      <w:pPr>
        <w:ind w:right="100" w:firstLine="656"/>
        <w:spacing w:after="0" w:line="245" w:lineRule="auto"/>
        <w:tabs>
          <w:tab w:leader="none" w:pos="1291"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Governmental Authorization; Other Consents. No approval, consent, exemption, authorization, or other action by, or notice to, or filing with, any Governmental Authority or any other Person is necessary or required in connection with the execution, delivery or performance by, or enforcement against, the Company of this Agreement, except for such approvals, consents,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exemptions, authorizations, actions or notices that have been duly obtained, taken or made and are in full force and effect.</w:t>
      </w:r>
    </w:p>
    <w:p>
      <w:pPr>
        <w:spacing w:after="0" w:line="28" w:lineRule="exact"/>
        <w:rPr>
          <w:sz w:val="20"/>
          <w:szCs w:val="20"/>
          <w:color w:val="auto"/>
        </w:rPr>
      </w:pPr>
    </w:p>
    <w:p>
      <w:pPr>
        <w:jc w:val="both"/>
        <w:ind w:right="40" w:firstLine="656"/>
        <w:spacing w:after="0" w:line="254" w:lineRule="auto"/>
        <w:tabs>
          <w:tab w:leader="none" w:pos="1293"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Execution and Delivery; Binding Effect. This Agreement has been duly authorized, executed and delivered by the Company. This Agreement constitutes a legal, valid and binding obligation of the Company, enforceable against the Company in accordance with its terms, except as such enforceability may be limited by bankruptcy, insolvency, reorganization, receivership, moratorium or other Laws affecting creditors’ rights generally and by general principles of equity.</w:t>
      </w:r>
    </w:p>
    <w:p>
      <w:pPr>
        <w:spacing w:after="0" w:line="3" w:lineRule="exact"/>
        <w:rPr>
          <w:rFonts w:ascii="Times New Roman" w:cs="Times New Roman" w:eastAsia="Times New Roman" w:hAnsi="Times New Roman"/>
          <w:sz w:val="21"/>
          <w:szCs w:val="21"/>
          <w:color w:val="auto"/>
        </w:rPr>
      </w:pPr>
    </w:p>
    <w:p>
      <w:pPr>
        <w:ind w:firstLine="656"/>
        <w:spacing w:after="0" w:line="244" w:lineRule="auto"/>
        <w:tabs>
          <w:tab w:leader="none" w:pos="129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Warrants and Warrant Shares</w:t>
      </w:r>
      <w:r>
        <w:rPr>
          <w:rFonts w:ascii="Times New Roman" w:cs="Times New Roman" w:eastAsia="Times New Roman" w:hAnsi="Times New Roman"/>
          <w:sz w:val="22"/>
          <w:szCs w:val="22"/>
          <w:color w:val="auto"/>
        </w:rPr>
        <w:t xml:space="preserve">. Each Warrant has been duly authorized and, when executed and delivered as contemplated hereby, will constitute a valid and legally binding obligation of the Company enforceable against the Company in accordance with its terms, except as such enforceability may be limited by bankruptcy, insolvency, reorganization, receivership, moratorium or other Laws affecting creditors’ rights generally and by general principles of equity. The Warrant Shares have been duly authorized and reserved for issuance upon exercise of the Warrants and when so issued in accordance with the terms of the Warrants will be validly issued, fully paid and non-assessable, subject, if applicable, to the approvals of its stockholders set forth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w:t>
      </w:r>
    </w:p>
    <w:p>
      <w:pPr>
        <w:spacing w:after="0" w:line="18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Enforceability</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820" w:right="20" w:firstLine="442"/>
        <w:spacing w:after="0" w:line="247" w:lineRule="auto"/>
        <w:tabs>
          <w:tab w:leader="none" w:pos="1954"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has the corporate power and authority to execute and deliver this Agreement and the Warrants and, subject, if applicable, to the approvals of its stockholders set forth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xml:space="preserve">, to carry out its obligations hereunder and thereunder (which includes the issuance of the Warrants and Warrant Shares). The execution, delivery and performance by the Company of this Agreement and the Warrants and the consummation of the transactions contemplated hereby and thereby have been duly authorized by all necessary corporate or other organizational action on the part of the Company and its stockholders, and no further approval or authorization is required on the part of the Company, subject, in each case, if applicable, to the approvals of its stockholders set forth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ind w:left="820" w:right="80" w:firstLine="382"/>
        <w:spacing w:after="0" w:line="248" w:lineRule="auto"/>
        <w:tabs>
          <w:tab w:leader="none" w:pos="1954"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by the Company of this Agreement do not and will not (a) contravene the terms of its Organizational Documents, (b) conflict with or result in any breach or contravention of, or the creation of any Lien (as defined in the Promissory Note) under, or require any payment to be made under (i) any material Contractual Obligation to which the Company is a party or affecting the Company or the properties of the Company or any Subsidiary or (ii) any material order, injunction, writ or decree of any Governmental Authority or any arbitral award to which the Company or any Subsidiary or its property is subject or (c) violate any Law, except to the extent that such violation could not reasonably be expected to have a Material Adverse Effect.</w:t>
      </w:r>
    </w:p>
    <w:p>
      <w:pPr>
        <w:spacing w:after="0" w:line="181" w:lineRule="exact"/>
        <w:rPr>
          <w:rFonts w:ascii="Times New Roman" w:cs="Times New Roman" w:eastAsia="Times New Roman" w:hAnsi="Times New Roman"/>
          <w:sz w:val="22"/>
          <w:szCs w:val="22"/>
          <w:color w:val="auto"/>
        </w:rPr>
      </w:pPr>
    </w:p>
    <w:p>
      <w:pPr>
        <w:ind w:left="820" w:right="220" w:firstLine="322"/>
        <w:spacing w:after="0" w:line="257" w:lineRule="auto"/>
        <w:tabs>
          <w:tab w:leader="none" w:pos="1954"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any current report on Form 8-K required to be filed with the SEC (which shall be made on or before the date on which it is required to be filed), such filings and approvals as are required to be made or obtained under any state “blue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80"/>
          </w:cols>
          <w:pgMar w:left="320" w:top="1422" w:right="399" w:bottom="1440" w:gutter="0" w:footer="0" w:header="0"/>
        </w:sectPr>
      </w:pPr>
    </w:p>
    <w:bookmarkStart w:id="40" w:name="page41"/>
    <w:bookmarkEnd w:id="40"/>
    <w:p>
      <w:pPr>
        <w:ind w:left="780" w:right="20"/>
        <w:spacing w:after="0" w:line="248" w:lineRule="auto"/>
        <w:rPr>
          <w:sz w:val="20"/>
          <w:szCs w:val="20"/>
          <w:color w:val="auto"/>
        </w:rPr>
      </w:pPr>
      <w:r>
        <w:rPr>
          <w:rFonts w:ascii="Times New Roman" w:cs="Times New Roman" w:eastAsia="Times New Roman" w:hAnsi="Times New Roman"/>
          <w:sz w:val="22"/>
          <w:szCs w:val="22"/>
          <w:color w:val="auto"/>
        </w:rPr>
        <w:t>sky” laws, the filing of any proxy statement contemplated by Section 3.1 and such filings and approvals as have been made or obtained, no notice to, filing with, exemption or review by, or authorization, consent or approval of, any Governmental Authority is required to be made or obtained by the Company in connection with the execution, delivery and performance by the Company of this Agreement and the consummation by the Company of the issuance of the Warrants except for any such notices, filings, exemptions, reviews, authorizations, consents and approvals the failure of which to make or obtain would not, individually or in the aggregate, reasonably be expected to have a Material Adverse Effect.</w:t>
      </w:r>
    </w:p>
    <w:p>
      <w:pPr>
        <w:spacing w:after="0" w:line="182" w:lineRule="exact"/>
        <w:rPr>
          <w:sz w:val="20"/>
          <w:szCs w:val="20"/>
          <w:color w:val="auto"/>
        </w:rPr>
      </w:pPr>
    </w:p>
    <w:p>
      <w:pPr>
        <w:ind w:left="-40" w:right="20" w:firstLine="656"/>
        <w:spacing w:after="0" w:line="260" w:lineRule="auto"/>
        <w:tabs>
          <w:tab w:leader="none" w:pos="1251"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Anti-takeover Provisions and Rights Plan</w:t>
      </w:r>
      <w:r>
        <w:rPr>
          <w:rFonts w:ascii="Times New Roman" w:cs="Times New Roman" w:eastAsia="Times New Roman" w:hAnsi="Times New Roman"/>
          <w:sz w:val="21"/>
          <w:szCs w:val="21"/>
          <w:color w:val="auto"/>
        </w:rPr>
        <w:t>. The Board of Directors of the Company (the “</w:t>
      </w:r>
      <w:r>
        <w:rPr>
          <w:rFonts w:ascii="Times New Roman" w:cs="Times New Roman" w:eastAsia="Times New Roman" w:hAnsi="Times New Roman"/>
          <w:sz w:val="21"/>
          <w:szCs w:val="21"/>
          <w:u w:val="single" w:color="auto"/>
          <w:color w:val="auto"/>
        </w:rPr>
        <w:t>Board of Directors</w:t>
      </w:r>
      <w:r>
        <w:rPr>
          <w:rFonts w:ascii="Times New Roman" w:cs="Times New Roman" w:eastAsia="Times New Roman" w:hAnsi="Times New Roman"/>
          <w:sz w:val="21"/>
          <w:szCs w:val="21"/>
          <w:color w:val="auto"/>
        </w:rPr>
        <w:t>”) has taken all necessary action, and will in the future take any necessary action, to ensure that the transactions contemplated by this Agreement and the Warrants and the consummation of the transactions contemplated hereby and thereby, including the exercise of the Warrants in accordance with their terms, will be exempt from any anti-takeover or similar provisions of the Company’s Organizational Documents, and any other provisions of any applicable “moratorium”, “control share”, “fair price”, “interested stockholder” or other anti-takeover laws and regulations of any jurisdiction, whether existing on the date hereof or implemented after the date hereof. The Company has taken all actions necessary, and will in the future take any necessary action, to render any stockholders’ rights plan of the Company inapplicable to this Agreement and the Warrants and the consummation of the transactions contemplated hereby and thereby, including the exercise of the Warrants by Treasury in accordance with its terms.</w:t>
      </w:r>
    </w:p>
    <w:p>
      <w:pPr>
        <w:spacing w:after="0" w:line="170" w:lineRule="exact"/>
        <w:rPr>
          <w:rFonts w:ascii="Times New Roman" w:cs="Times New Roman" w:eastAsia="Times New Roman" w:hAnsi="Times New Roman"/>
          <w:sz w:val="21"/>
          <w:szCs w:val="21"/>
          <w:color w:val="auto"/>
        </w:rPr>
      </w:pPr>
    </w:p>
    <w:p>
      <w:pPr>
        <w:ind w:left="1260" w:hanging="644"/>
        <w:spacing w:after="0"/>
        <w:tabs>
          <w:tab w:leader="none" w:pos="12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20" w:hanging="260"/>
        <w:spacing w:after="0"/>
        <w:tabs>
          <w:tab w:leader="none" w:pos="132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31, 2017, the Company and each Subsidiary has timely filed all reports, registrations,</w:t>
      </w:r>
    </w:p>
    <w:p>
      <w:pPr>
        <w:spacing w:after="0" w:line="27" w:lineRule="exact"/>
        <w:rPr>
          <w:rFonts w:ascii="Times New Roman" w:cs="Times New Roman" w:eastAsia="Times New Roman" w:hAnsi="Times New Roman"/>
          <w:sz w:val="22"/>
          <w:szCs w:val="22"/>
          <w:color w:val="auto"/>
        </w:rPr>
      </w:pPr>
    </w:p>
    <w:p>
      <w:pPr>
        <w:ind w:left="62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documents, filings, statements and submissions, together with any amendments thereto, that it was required to file with any Governmental Authority (the foregoing, collectively, the “</w:t>
      </w:r>
      <w:r>
        <w:rPr>
          <w:rFonts w:ascii="Times New Roman" w:cs="Times New Roman" w:eastAsia="Times New Roman" w:hAnsi="Times New Roman"/>
          <w:sz w:val="22"/>
          <w:szCs w:val="22"/>
          <w:u w:val="single" w:color="auto"/>
          <w:color w:val="auto"/>
        </w:rPr>
        <w:t>Company Reports</w:t>
      </w:r>
      <w:r>
        <w:rPr>
          <w:rFonts w:ascii="Times New Roman" w:cs="Times New Roman" w:eastAsia="Times New Roman" w:hAnsi="Times New Roman"/>
          <w:sz w:val="22"/>
          <w:szCs w:val="22"/>
          <w:color w:val="auto"/>
        </w:rPr>
        <w:t>”) and has paid all fees and assessments due and payable in connection therewith, except, in each case, as would not, individually or in the aggregate, reasonably be expected to have a Material Adverse Effect. As of their respective dates of filing, the Company Reports complied in all material respects with all statutes and applicable rules and regulations of the applicable Governmental Authority. In the case of each such Company Report filed with or furnished to the SEC, such Company Report (A) did not, as of its date or if amended prior to the date hereof, as of the date of such amendment, contain an untrue statement of a material fact or omit to state a material fact necessary in order to make the statements made therein, in light of the circumstances under which they were made, not misleading, and (B) complied as to form in all material respects with the applicable requirements of the Securities Act and the Exchange Act. With respect to all other Company Reports, the Company Reports were complete and accurate in all material respects as of their respective dates. No executive officer of the Company or any Subsidiary has failed in any respect to make the certifications required of him or her under Section 302 or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60"/>
          </w:cols>
          <w:pgMar w:left="360" w:top="1422" w:right="379" w:bottom="1440" w:gutter="0" w:footer="0" w:header="0"/>
        </w:sectPr>
      </w:pPr>
    </w:p>
    <w:bookmarkStart w:id="41" w:name="page42"/>
    <w:bookmarkEnd w:id="41"/>
    <w:p>
      <w:pPr>
        <w:ind w:left="620" w:firstLine="380"/>
        <w:spacing w:after="0" w:line="246" w:lineRule="auto"/>
        <w:tabs>
          <w:tab w:leader="none" w:pos="1322"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 has implemented and maintains disclosure controls and procedures (as defined in Rule 13a15(e) of the Exchange Act) to ensure that material information relating to the Company, including its Subsidiaries, is made known to the chief executive officer and the chief financial officer of the Company by others within those entities, and (B) has disclosed, based on its most recent evaluation prior to the date hereof, to the Company’s outside auditors and the audit committee of the Board of Directors (x) any significant deficiencies and material weaknesses in the design or operation of internal controls over financial reporting (as defined in Rule 13a-15(f) of the Exchange Act) that are reasonably likely to adversely affect the Company’s ability to record, process, summarize and report financial information and (y) any fraud, whether or not material, that involves management or other employees who have a significant role in the Company’s internal controls over financial reporting.</w:t>
      </w:r>
    </w:p>
    <w:p>
      <w:pPr>
        <w:spacing w:after="0" w:line="190" w:lineRule="exact"/>
        <w:rPr>
          <w:rFonts w:ascii="Times New Roman" w:cs="Times New Roman" w:eastAsia="Times New Roman" w:hAnsi="Times New Roman"/>
          <w:sz w:val="22"/>
          <w:szCs w:val="22"/>
          <w:color w:val="auto"/>
        </w:rPr>
      </w:pPr>
    </w:p>
    <w:p>
      <w:pPr>
        <w:ind w:left="-40" w:right="60" w:firstLine="656"/>
        <w:spacing w:after="0" w:line="250" w:lineRule="auto"/>
        <w:tabs>
          <w:tab w:leader="none" w:pos="12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Offering of Securities</w:t>
      </w:r>
      <w:r>
        <w:rPr>
          <w:rFonts w:ascii="Times New Roman" w:cs="Times New Roman" w:eastAsia="Times New Roman" w:hAnsi="Times New Roman"/>
          <w:sz w:val="22"/>
          <w:szCs w:val="22"/>
          <w:color w:val="auto"/>
        </w:rPr>
        <w:t>. Neither the Company nor any person acting on its behalf has taken any action (including any offering of any securities of the Company under circumstances which would require the integration of such offering with the offering of any of the Warrants under the Securities Act, and the rules and regulations of the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promulgated thereunder), which might subject the offering, issuance or sale of any of the Warrants to Treasury pursuant to this Agreement to the registration requirements of the Securities Act.</w:t>
      </w:r>
    </w:p>
    <w:p>
      <w:pPr>
        <w:spacing w:after="0" w:line="180" w:lineRule="exact"/>
        <w:rPr>
          <w:rFonts w:ascii="Times New Roman" w:cs="Times New Roman" w:eastAsia="Times New Roman" w:hAnsi="Times New Roman"/>
          <w:sz w:val="22"/>
          <w:szCs w:val="22"/>
          <w:color w:val="auto"/>
        </w:rPr>
      </w:pPr>
    </w:p>
    <w:p>
      <w:pPr>
        <w:ind w:left="-40" w:firstLine="656"/>
        <w:spacing w:after="0" w:line="252" w:lineRule="auto"/>
        <w:tabs>
          <w:tab w:leader="none" w:pos="125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Brokers and Finders</w:t>
      </w:r>
      <w:r>
        <w:rPr>
          <w:rFonts w:ascii="Times New Roman" w:cs="Times New Roman" w:eastAsia="Times New Roman" w:hAnsi="Times New Roman"/>
          <w:sz w:val="22"/>
          <w:szCs w:val="22"/>
          <w:color w:val="0B0B0B"/>
        </w:rPr>
        <w:t>.</w:t>
      </w:r>
      <w:r>
        <w:rPr>
          <w:rFonts w:ascii="Times New Roman" w:cs="Times New Roman" w:eastAsia="Times New Roman" w:hAnsi="Times New Roman"/>
          <w:sz w:val="22"/>
          <w:szCs w:val="22"/>
          <w:color w:val="auto"/>
        </w:rPr>
        <w:t xml:space="preserve"> No broker, finder or investment banker is entitled to any financial advisory, brokerage, finder’s or other fee or commission in connection with this Agreement or the Warrants or the transactions contemplated hereby or thereby based upon arrangements made by or on behalf of the Company or any Subsidiary for which Treasury could have any liability.</w:t>
      </w:r>
    </w:p>
    <w:p>
      <w:pPr>
        <w:spacing w:after="0" w:line="17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Article III</w:t>
      </w:r>
    </w:p>
    <w:p>
      <w:pPr>
        <w:spacing w:after="0" w:line="2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223"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Commercially Reasonable Efforts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40" w:right="340" w:firstLine="656"/>
        <w:spacing w:after="0" w:line="252" w:lineRule="auto"/>
        <w:tabs>
          <w:tab w:leader="none" w:pos="125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each of the parties will use its commercially reasonable efforts in good faith to take, or cause to be taken, all actions, and to do, or cause to be done, all things necessary, proper or desirable, or advisable under applicable laws, to enable consummation of the transactions contemplated hereby and shall use commercially reasonable efforts to cooperate with the other party to that end.</w:t>
      </w:r>
    </w:p>
    <w:p>
      <w:pPr>
        <w:spacing w:after="0" w:line="179" w:lineRule="exact"/>
        <w:rPr>
          <w:rFonts w:ascii="Times New Roman" w:cs="Times New Roman" w:eastAsia="Times New Roman" w:hAnsi="Times New Roman"/>
          <w:sz w:val="22"/>
          <w:szCs w:val="22"/>
          <w:color w:val="auto"/>
        </w:rPr>
      </w:pPr>
    </w:p>
    <w:p>
      <w:pPr>
        <w:ind w:left="-40" w:right="80" w:firstLine="656"/>
        <w:spacing w:after="0" w:line="263" w:lineRule="auto"/>
        <w:tabs>
          <w:tab w:leader="none" w:pos="1251"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is required to obtain any stockholder approvals, then the Company shall comply with this Section 3.1(b) and Section 3.1(c). The Company shall call a special meeting of its stockholders, as promptly as practicable following the Initial Closing, to vote on proposals (collectively, the “</w:t>
      </w:r>
      <w:r>
        <w:rPr>
          <w:rFonts w:ascii="Times New Roman" w:cs="Times New Roman" w:eastAsia="Times New Roman" w:hAnsi="Times New Roman"/>
          <w:sz w:val="21"/>
          <w:szCs w:val="21"/>
          <w:u w:val="single" w:color="auto"/>
          <w:color w:val="auto"/>
        </w:rPr>
        <w:t>Stockholder Proposals</w:t>
      </w:r>
      <w:r>
        <w:rPr>
          <w:rFonts w:ascii="Times New Roman" w:cs="Times New Roman" w:eastAsia="Times New Roman" w:hAnsi="Times New Roman"/>
          <w:sz w:val="21"/>
          <w:szCs w:val="21"/>
          <w:color w:val="auto"/>
        </w:rPr>
        <w:t>”) to (i) approve the exercise of the Warrants for Common Stock for purposes of the rules of the national securities exchange on which the Common Stock is listed and/or (ii) amend the Company’s Organizational Documents to increase the number of authorized shares of Common Stock to at least such number as shall be sufficient to permit the full exercise of the Warrants for Common Stock and comply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160"/>
          </w:cols>
          <w:pgMar w:left="360" w:top="1422" w:right="379" w:bottom="1440" w:gutter="0" w:footer="0" w:header="0"/>
        </w:sectPr>
      </w:pPr>
    </w:p>
    <w:bookmarkStart w:id="42" w:name="page43"/>
    <w:bookmarkEnd w:id="42"/>
    <w:p>
      <w:pPr>
        <w:ind w:right="20"/>
        <w:spacing w:after="0" w:line="244" w:lineRule="auto"/>
        <w:rPr>
          <w:sz w:val="20"/>
          <w:szCs w:val="20"/>
          <w:color w:val="auto"/>
        </w:rPr>
      </w:pPr>
      <w:r>
        <w:rPr>
          <w:rFonts w:ascii="Times New Roman" w:cs="Times New Roman" w:eastAsia="Times New Roman" w:hAnsi="Times New Roman"/>
          <w:sz w:val="22"/>
          <w:szCs w:val="22"/>
          <w:color w:val="auto"/>
        </w:rPr>
        <w:t>other provisions of this Section 3.1(b) and Section 3.1(c). The Board of Directors shall recommend to the Company’s stockholders that such stockholders vote in favor of the Stockholder Proposals. In connection with such meeting, the Company shall prepare (and Treasury will reasonably cooperate with the Company to prepare) and file with the SEC as promptly as practicable (but in no event more than ten Business Days after the Initial Closing) a preliminary proxy statement, shall use its reasonable best efforts to respond to any comments of the SEC or its staff thereon and to cause a definitive proxy statement related to such stockholders’ meeting to be mailed to the Company’s stockholders not more than five Business Days after clearance thereof by the SEC, and shall use its reasonable best efforts to solicit proxies for such stockholder approval of the Stockholder Proposals. The Company shall notify Treasury promptly of the receipt of any comments from the SEC or its staff with respect to the proxy statement and of any request by the SEC or its staff for amendments or supplements to such proxy statement or for additional information and will supply Treasury with copies of all correspondence between the Company or any of its representatives, on the one hand, and the SEC or its staff, on the other hand, with respect to such proxy statement. If at any time prior to such stockholders’ meeting there shall occur any event that is required to be set forth in an amendment or supplement to the proxy statement, the Company shall as promptly as practicable prepare and mail to its stockholders such an amendment or supplement. Each of Treasury and the Company agrees promptly to correct any information provided by it or on its behalf for use in the proxy statement if and to the extent that such information shall have become false or misleading in any material respect, and the Company shall as promptly as practicable prepare and mail to its stockholders an amendment or supplement to correct such information to the extent required by applicable laws and regulations. The Company shall consult with Treasury prior to filing any proxy statement, or any amendment or supplement thereto, and provide Treasury with a reasonable opportunity to comment thereon. In the event that the approval of any of the Stockholder Proposals is not obtained at such special stockholders meeting, the Company shall include a proposal to approve (and the Board of Directors shall recommend approval of) each such proposal at a meeting of its stockholders no less than once in each subsequent six-month period beginning on March 31, 2021 until all such approvals are obtained or made.</w:t>
      </w:r>
    </w:p>
    <w:p>
      <w:pPr>
        <w:spacing w:after="0" w:line="201" w:lineRule="exact"/>
        <w:rPr>
          <w:sz w:val="20"/>
          <w:szCs w:val="20"/>
          <w:color w:val="auto"/>
        </w:rPr>
      </w:pPr>
    </w:p>
    <w:p>
      <w:pPr>
        <w:ind w:firstLine="656"/>
        <w:spacing w:after="0" w:line="250" w:lineRule="auto"/>
        <w:tabs>
          <w:tab w:leader="none" w:pos="1293"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information supplied by the Company or any of the Company Subsidiaries for inclusion in any proxy statement in connection with any such stockholders meeting of the Company will, at the date it is filed with the SEC, when first mailed to the Company’s stockholders and at the time of any stockholders meeting, and at the time of any amendment or supplement thereof, contain any untrue statement of a material fact or omit to state any material fact necessary in order to make the statements therein, in light of the circumstances under which they are made, not misleading.</w:t>
      </w:r>
    </w:p>
    <w:p>
      <w:pPr>
        <w:spacing w:after="0" w:line="181" w:lineRule="exact"/>
        <w:rPr>
          <w:sz w:val="20"/>
          <w:szCs w:val="20"/>
          <w:color w:val="auto"/>
        </w:rPr>
      </w:pPr>
    </w:p>
    <w:p>
      <w:pPr>
        <w:ind w:right="120" w:firstLine="648"/>
        <w:spacing w:after="0" w:line="248"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Company shall pay (i) all reasonable out-of-pocket expenses incurred by Treasury (including the reasonable fees, charges and disbursements of any counsel for Treasury) in connection with the preparation, negotiation, execution, delivery and administration of this Agreement and the Warrants, any other agreements or documents executed in connection herewith or therewith, or any amendments, modifications or waivers of the provisions hereof or thereof (whether or not the transactions contemplated hereby or thereby shall be consummated), and (ii) all out-of-pocket expenses incurred by Treasury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120"/>
          </w:cols>
          <w:pgMar w:left="320" w:top="1422" w:right="459" w:bottom="1440" w:gutter="0" w:footer="0" w:header="0"/>
        </w:sectPr>
      </w:pPr>
    </w:p>
    <w:bookmarkStart w:id="43" w:name="page44"/>
    <w:bookmarkEnd w:id="43"/>
    <w:p>
      <w:pPr>
        <w:ind w:right="120"/>
        <w:spacing w:after="0" w:line="248" w:lineRule="auto"/>
        <w:rPr>
          <w:sz w:val="20"/>
          <w:szCs w:val="20"/>
          <w:color w:val="auto"/>
        </w:rPr>
      </w:pPr>
      <w:r>
        <w:rPr>
          <w:rFonts w:ascii="Times New Roman" w:cs="Times New Roman" w:eastAsia="Times New Roman" w:hAnsi="Times New Roman"/>
          <w:sz w:val="22"/>
          <w:szCs w:val="22"/>
          <w:color w:val="auto"/>
        </w:rPr>
        <w:t>fees, charges and disbursements of any counsel for Treasury), in connection with the enforcement or protection of its rights in connection with this Agreement and the Warrants, any other agreements or documents executed in connected herewith or therewith, or any amendments, modifications or waivers of the provisions hereof or thereof (whether or not the transactions contemplated hereby or thereby shall be consummated), including all such out-of-pocket expenses incurred during any workout, restructuring, negotiations or enforcement in respect of such Warrant Agreement, Warrant and other agreements or documents executed in connection herewith or therewith.</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Sufficiency of Authorized Common Stock; Exchange Listing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2"/>
          <w:szCs w:val="22"/>
          <w:color w:val="auto"/>
        </w:rPr>
        <w:t>During the period from each Warrant Closing Date (or, if the approval of the Stockholder Proposals is required, the date of such approval) until the date on which no Warrants remain outstanding, the Company shall at all times have reserved for issuance, free of preemptive or similar rights, a sufficient number of authorized and unissued Warrant Shares to effectuate such exercise. Nothing in this Section 3.3 shall preclude the Company from satisfying its obligations in respect of the exercise of the Warrants by delivery of shares of Common Stock which are held in the treasury of the Company. As soon as reasonably practicable following each Warrant Closing Date, the Company shall, at its expense, cause the Warrant Shares to be listed on the same national securities exchange on which the Common Stock is listed, subject to official notice of issuance, and shall maintain such listing for so long as any Common Stock is listed on such exchange. The Company will use commercially reasonable efforts to maintain the listing of Common Stock on such national securities exchange so long as any Warrants or Warrant Shares remain outstanding. Neither the Company nor any of its Subsidiaries shall take any action which would be reasonably expected to result in the delisting or suspension of the Common Stock on such exchange. The foregoing shall not preclude the Company from undertaking any transaction set forth in Section 4.3 subject to compliance with that provision.</w:t>
      </w:r>
    </w:p>
    <w:p>
      <w:pPr>
        <w:spacing w:after="0" w:line="19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Article IV</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color w:val="auto"/>
        </w:rPr>
        <w:t>Additional Agreements</w:t>
      </w:r>
    </w:p>
    <w:p>
      <w:pPr>
        <w:spacing w:after="0" w:line="223"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Investment Purposes</w:t>
      </w:r>
      <w:r>
        <w:rPr>
          <w:rFonts w:ascii="Times New Roman" w:cs="Times New Roman" w:eastAsia="Times New Roman" w:hAnsi="Times New Roman"/>
          <w:sz w:val="22"/>
          <w:szCs w:val="22"/>
          <w:color w:val="auto"/>
        </w:rPr>
        <w:t>. Treasury acknowledges that the Warrants and the Warrant Shares have not been registered under the Securities Act or under any state securities laws. Treasury (a) is acquiring the Warrants pursuant to an exemption from registration under the Securities Act solely for investment without a view to sell and with no present intention to distribute them to any person in violation of the Securities Act or any applicable U.S. state securities laws; (b) will not sell or otherwise dispose of any of the Warrants or the Warrant Shares, except in compliance with the registration requirements or exemption provisions of the Securities Act and any applicable U.S. state securities laws; and (c) has such knowledge and experience in financial and business matters and in investments of this type that it is capable of evaluating the merits and risks of the Warrants and the Warrant Shares and of making an informed investment decision.</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Legends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00"/>
          </w:cols>
          <w:pgMar w:left="320" w:top="1422" w:right="379" w:bottom="1440" w:gutter="0" w:footer="0" w:header="0"/>
        </w:sectPr>
      </w:pPr>
    </w:p>
    <w:bookmarkStart w:id="44" w:name="page45"/>
    <w:bookmarkEnd w:id="44"/>
    <w:p>
      <w:pPr>
        <w:ind w:right="400" w:firstLine="656"/>
        <w:spacing w:after="0" w:line="271" w:lineRule="auto"/>
        <w:tabs>
          <w:tab w:leader="none" w:pos="129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Treasury agrees that all certificates or other instruments representing the Warrants and the Warrant Shares will bear a legend substantially to the following effect:</w:t>
      </w:r>
    </w:p>
    <w:p>
      <w:pPr>
        <w:spacing w:after="0" w:line="158" w:lineRule="exact"/>
        <w:rPr>
          <w:sz w:val="20"/>
          <w:szCs w:val="20"/>
          <w:color w:val="auto"/>
        </w:rPr>
      </w:pPr>
    </w:p>
    <w:p>
      <w:pPr>
        <w:ind w:left="660" w:right="280"/>
        <w:spacing w:after="0" w:line="265" w:lineRule="auto"/>
        <w:rPr>
          <w:sz w:val="20"/>
          <w:szCs w:val="20"/>
          <w:color w:val="auto"/>
        </w:rPr>
      </w:pPr>
      <w:r>
        <w:rPr>
          <w:rFonts w:ascii="Times New Roman" w:cs="Times New Roman" w:eastAsia="Times New Roman" w:hAnsi="Times New Roman"/>
          <w:sz w:val="21"/>
          <w:szCs w:val="21"/>
          <w:color w:val="auto"/>
        </w:rPr>
        <w:t>“THE SECURITIES REPRESENTED BY THIS INSTRUMENT HAVE NOT BEEN REGISTERED UNDER THE SECURITIES ACT OF 1933, AS AMENDED, OR THE SECURITIES LAWS OF ANY STATE AND MAY NOT BE TRANSFERRED, SOLD OR OTHERWISE DISPOSED OF EXCEPT WHILE A REGISTRATION STATEMENT RELATING THERETO IS IN EFFECT UNDER SUCH ACT AND APPLICABLE STATE SECURITIES LAWS OR PURSUANT TO AN EXEMPTION FROM REGISTRATION UNDER SUCH ACT AND SUCH LAWS.”</w:t>
      </w:r>
    </w:p>
    <w:p>
      <w:pPr>
        <w:spacing w:after="0" w:line="165" w:lineRule="exact"/>
        <w:rPr>
          <w:sz w:val="20"/>
          <w:szCs w:val="20"/>
          <w:color w:val="auto"/>
        </w:rPr>
      </w:pPr>
    </w:p>
    <w:p>
      <w:pPr>
        <w:ind w:right="80" w:firstLine="656"/>
        <w:spacing w:after="0" w:line="250" w:lineRule="auto"/>
        <w:tabs>
          <w:tab w:leader="none" w:pos="129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any Warrants or Warrant Shares (i) become registered under the Securities Act or (ii) are eligible to be transferred without restriction in accordance with Rule 144 or another exemption from registration under the Securities Act (other than Rule 144A), the Company shall issue new certificates or other instruments representing such Warrants or Warrant Shares, which shall not contain the legend in Section 4.2(a) above;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Treasury surrenders to the Company the previously issued certificates or other instruments.</w:t>
      </w:r>
    </w:p>
    <w:p>
      <w:pPr>
        <w:spacing w:after="0" w:line="18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Certain Transactions</w:t>
      </w:r>
      <w:r>
        <w:rPr>
          <w:rFonts w:ascii="Times New Roman" w:cs="Times New Roman" w:eastAsia="Times New Roman" w:hAnsi="Times New Roman"/>
          <w:sz w:val="22"/>
          <w:szCs w:val="22"/>
          <w:color w:val="auto"/>
        </w:rPr>
        <w:t>. The Company will not merge or consolidate with, or sell, transfer or lease all or substantially all of its property or assets to, any other party unless the successor, transferee or lessee party (or its ultimate parent entity), as the case may be (if not the Company), expressly assumes the due and punctual performance and observance of each and every covenant, agreement and condition of this Agreement and the Warrants to be performed and observed by the Company.</w:t>
      </w:r>
    </w:p>
    <w:p>
      <w:pPr>
        <w:spacing w:after="0" w:line="166" w:lineRule="exact"/>
        <w:rPr>
          <w:sz w:val="20"/>
          <w:szCs w:val="20"/>
          <w:color w:val="auto"/>
        </w:rPr>
      </w:pPr>
    </w:p>
    <w:p>
      <w:pPr>
        <w:ind w:right="800" w:firstLine="648"/>
        <w:spacing w:after="0" w:line="239"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Transfer of Warrants and Warrant Shares</w:t>
      </w:r>
      <w:r>
        <w:rPr>
          <w:rFonts w:ascii="Times New Roman" w:cs="Times New Roman" w:eastAsia="Times New Roman" w:hAnsi="Times New Roman"/>
          <w:sz w:val="22"/>
          <w:szCs w:val="22"/>
          <w:color w:val="auto"/>
        </w:rPr>
        <w:t>. Subject to compliance with applicable securities laws, Treasury shall be permitted to transfer, sell, assign or otherwise dispose of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all or a portion of the Warrants or Warrant Shares at any time, and the Company shall take all steps as may be reasonably requested by Treasury to facilitate the Transfer of the Warrants and the Warrant Shares.</w:t>
      </w:r>
    </w:p>
    <w:p>
      <w:pPr>
        <w:spacing w:after="0" w:line="19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u w:val="single" w:color="auto"/>
          <w:color w:val="auto"/>
        </w:rPr>
        <w:t>Registration Rights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46" w:lineRule="auto"/>
        <w:tabs>
          <w:tab w:leader="none" w:pos="1944"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the Company covenants and agrees that on or before the earlier of (A) 30 days after the date on which all Warrants that may be issued pursuant to this Agreement have been issued and (B) March 31, 2021 (the end of such period, the “</w:t>
      </w:r>
      <w:r>
        <w:rPr>
          <w:rFonts w:ascii="Times New Roman" w:cs="Times New Roman" w:eastAsia="Times New Roman" w:hAnsi="Times New Roman"/>
          <w:sz w:val="22"/>
          <w:szCs w:val="22"/>
          <w:u w:val="single" w:color="auto"/>
          <w:color w:val="auto"/>
        </w:rPr>
        <w:t>Registration Commencement Date</w:t>
      </w:r>
      <w:r>
        <w:rPr>
          <w:rFonts w:ascii="Times New Roman" w:cs="Times New Roman" w:eastAsia="Times New Roman" w:hAnsi="Times New Roman"/>
          <w:sz w:val="22"/>
          <w:szCs w:val="22"/>
          <w:color w:val="auto"/>
        </w:rPr>
        <w:t>”), the Company shall prepare and file with the SEC a Shelf Registration Statement covering the maximum number of Registrable Securities (or otherwise designate an existing Shelf Registration Statement filed with the SEC to cover the Registrable Securities) that may be issued pursuant to this Agreement and any Warrants outstanding at that time, and, to the extent the Shelf Registration Statement has not theretofore been declared effective or is not automatically effective upon such filing, the Company shall use reasonable best efforts to cause such Shelf Registration Statement to be declared or become effective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422" w:right="359" w:bottom="1440" w:gutter="0" w:footer="0" w:header="0"/>
        </w:sectPr>
      </w:pPr>
    </w:p>
    <w:bookmarkStart w:id="45" w:name="page46"/>
    <w:bookmarkEnd w:id="45"/>
    <w:p>
      <w:pPr>
        <w:ind w:left="4" w:right="40"/>
        <w:spacing w:after="0" w:line="246" w:lineRule="auto"/>
        <w:rPr>
          <w:sz w:val="20"/>
          <w:szCs w:val="20"/>
          <w:color w:val="auto"/>
        </w:rPr>
      </w:pPr>
      <w:r>
        <w:rPr>
          <w:rFonts w:ascii="Times New Roman" w:cs="Times New Roman" w:eastAsia="Times New Roman" w:hAnsi="Times New Roman"/>
          <w:sz w:val="22"/>
          <w:szCs w:val="22"/>
          <w:color w:val="auto"/>
        </w:rPr>
        <w:t>to keep such Shelf Registration Statement continuously effective and in compliance with the Securities Act and usable for resale of such Registrable Securities for a period from the date of its initial effectiveness until such time as there are no Registrable Securities remaining (including by refiling such Shelf Registration Statement (or a new Shelf Registration Statement) if the initial Shelf Registration Statement expires). So long as the Company is a well-known seasoned issuer (as defined in Rule 405 under the Securities Act) at the time of filing of the Shelf Registration Statement with the SEC, such Shelf Registration Statement shall be designated by the Company as an automatic Shelf Registration Statement. Notwithstanding the foregoing, if on the date hereof the Company is not eligible to file a registration statement on Form S-3, then the Company shall not be obligated to file a Shelf Registration Statement unless and until it is so eligible and is requested to do so in writing by Treasury.</w:t>
      </w:r>
    </w:p>
    <w:p>
      <w:pPr>
        <w:spacing w:after="0" w:line="191" w:lineRule="exact"/>
        <w:rPr>
          <w:sz w:val="20"/>
          <w:szCs w:val="20"/>
          <w:color w:val="auto"/>
        </w:rPr>
      </w:pPr>
    </w:p>
    <w:p>
      <w:pPr>
        <w:ind w:left="4" w:right="20" w:firstLine="644"/>
        <w:spacing w:after="0" w:line="246" w:lineRule="auto"/>
        <w:tabs>
          <w:tab w:leader="none" w:pos="1294"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registration pursuant to Section 4.5(a)(i) shall be effected by means of a shelf registration on an appropriate form under Rule 415 under the Securities Act (a “</w:t>
      </w:r>
      <w:r>
        <w:rPr>
          <w:rFonts w:ascii="Times New Roman" w:cs="Times New Roman" w:eastAsia="Times New Roman" w:hAnsi="Times New Roman"/>
          <w:sz w:val="22"/>
          <w:szCs w:val="22"/>
          <w:u w:val="single" w:color="auto"/>
          <w:color w:val="auto"/>
        </w:rPr>
        <w:t>Shelf Registration Statement</w:t>
      </w:r>
      <w:r>
        <w:rPr>
          <w:rFonts w:ascii="Times New Roman" w:cs="Times New Roman" w:eastAsia="Times New Roman" w:hAnsi="Times New Roman"/>
          <w:sz w:val="22"/>
          <w:szCs w:val="22"/>
          <w:color w:val="auto"/>
        </w:rPr>
        <w:t xml:space="preserve">”). If Treasury or any other Holder intends to distribute any Registrable Securities by means of an underwritten offering it shall promptly so advise the Company and the Company shall take all reasonable steps to facilitate such distribution, including the actions required pursuant to Section 4.5(c);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shall not be required to facilitate an underwritten offering of Registrable Securities unless the total number of Warrant Shares and Warrants expected to be sold in such offering exceeds, or are exercisable for, at least 20% of the total number of Warrant Shares for which Warrants issued under this Agreement could be exercised (giving effect to the anti-dilution adjustments in Warrants);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the Company shall not be required to facilitate more than two completed underwritten offerings within any 12-month period. The lead underwriters in any such distribution shall be selected by the Holders of a majority of the Registrable Securities to be distributed.</w:t>
      </w:r>
    </w:p>
    <w:p>
      <w:pPr>
        <w:spacing w:after="0" w:line="185" w:lineRule="exact"/>
        <w:rPr>
          <w:rFonts w:ascii="Times New Roman" w:cs="Times New Roman" w:eastAsia="Times New Roman" w:hAnsi="Times New Roman"/>
          <w:sz w:val="22"/>
          <w:szCs w:val="22"/>
          <w:color w:val="auto"/>
        </w:rPr>
      </w:pPr>
    </w:p>
    <w:p>
      <w:pPr>
        <w:ind w:left="4" w:firstLine="644"/>
        <w:spacing w:after="0" w:line="257" w:lineRule="auto"/>
        <w:tabs>
          <w:tab w:leader="none" w:pos="130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not be required to effect a registration (including a resale of Registrable Securities from an effective Shelf Registration Statement) or an underwritten offering pursuant to Section 4.5(a): (A) prior to the Registration Commencement Date; (B) with respect to securities that are not Registrable Securities; or (C) if the Company has notified Treasury and all other Holders that in the good faith judgment of the Board of Directors, it would be materially detrimental to the Company or its securityholders for such registration or underwritten offering to be effected at such time, in which event the Company shall have the right to defer such registration or offering for a period of not more than 45 days after receipt of the request of Treasury or any other Holder;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right to delay a registration or underwritten offering shall be exercised by the Company (1) only if the Company has generally exercised (or is concurrently exercising) similar black-out rights against holders of similar securities that have registration rights and</w:t>
      </w:r>
    </w:p>
    <w:p>
      <w:pPr>
        <w:spacing w:after="0" w:line="5" w:lineRule="exact"/>
        <w:rPr>
          <w:rFonts w:ascii="Times New Roman" w:cs="Times New Roman" w:eastAsia="Times New Roman" w:hAnsi="Times New Roman"/>
          <w:sz w:val="21"/>
          <w:szCs w:val="21"/>
          <w:color w:val="auto"/>
        </w:rPr>
      </w:pPr>
    </w:p>
    <w:p>
      <w:pPr>
        <w:jc w:val="both"/>
        <w:ind w:left="4" w:right="60" w:hanging="4"/>
        <w:spacing w:after="0" w:line="245" w:lineRule="auto"/>
        <w:tabs>
          <w:tab w:leader="none" w:pos="31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more than three times in any 12-month period and not more than 90 days in the aggregate in any 12-month period. The Company shall notify the Holders of the date of any anticipated termination of any such deferral period prior to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584"/>
          </w:cols>
          <w:pgMar w:left="976" w:top="1422" w:right="339" w:bottom="1440" w:gutter="0" w:footer="0" w:header="0"/>
        </w:sectPr>
      </w:pPr>
    </w:p>
    <w:bookmarkStart w:id="46" w:name="page47"/>
    <w:bookmarkEnd w:id="46"/>
    <w:p>
      <w:pPr>
        <w:ind w:left="-460" w:right="80" w:firstLine="644"/>
        <w:spacing w:after="0" w:line="245" w:lineRule="auto"/>
        <w:tabs>
          <w:tab w:leader="none" w:pos="82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during any period when an effective Shelf Registration Statement is not available, the Company proposes to register any of its equity securities, other than a registration pursuant to Section 4.5(a)(i) or a Special Registration, and the registration form to be filed may be used for the registration or qualification for distribution of Registrable Securities, the Company will give prompt written notice to Treasury and all other Holders of its intention to effect such a registration (but in no event less than ten days prior to the anticipated filing date) and will include in such registration all Registrable Securities with respect to which the Company has received written requests for inclusion therein within ten Business Days after the date of the Company’s notice (a “</w:t>
      </w:r>
      <w:r>
        <w:rPr>
          <w:rFonts w:ascii="Times New Roman" w:cs="Times New Roman" w:eastAsia="Times New Roman" w:hAnsi="Times New Roman"/>
          <w:sz w:val="22"/>
          <w:szCs w:val="22"/>
          <w:u w:val="single" w:color="auto"/>
          <w:color w:val="auto"/>
        </w:rPr>
        <w:t>Piggyback Registration</w:t>
      </w:r>
      <w:r>
        <w:rPr>
          <w:rFonts w:ascii="Times New Roman" w:cs="Times New Roman" w:eastAsia="Times New Roman" w:hAnsi="Times New Roman"/>
          <w:sz w:val="22"/>
          <w:szCs w:val="22"/>
          <w:color w:val="auto"/>
        </w:rPr>
        <w:t>”). Any such person that has made such a written request may withdraw its Registrable Securities from such Piggyback Registration by giving written notice to the Company and the managing underwriter, if any, on or before the fifth Business Day prior to the planned effective date of such Piggyback Registration. The Company may terminate or withdraw any registration under this Section 4.5(a)(iv) prior to the effectiveness of such registration, whether or not Treasury or any other Holders have elected to include Registrable Securities in such registration.</w:t>
      </w:r>
    </w:p>
    <w:p>
      <w:pPr>
        <w:spacing w:after="0" w:line="195" w:lineRule="exact"/>
        <w:rPr>
          <w:rFonts w:ascii="Times New Roman" w:cs="Times New Roman" w:eastAsia="Times New Roman" w:hAnsi="Times New Roman"/>
          <w:sz w:val="22"/>
          <w:szCs w:val="22"/>
          <w:color w:val="auto"/>
        </w:rPr>
      </w:pPr>
    </w:p>
    <w:p>
      <w:pPr>
        <w:ind w:left="-460" w:firstLine="644"/>
        <w:spacing w:after="0" w:line="246" w:lineRule="auto"/>
        <w:tabs>
          <w:tab w:leader="none" w:pos="83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registration referred to in Section 4.5(a)(iv) is proposed to be underwritten, the Company will so advise Treasury and all other Holders as a part of the written notice given pursuant to Section 4.5(a)(iv). In such event, the right of Treasury and all other Holders to registration pursuant to Section 4.5(a) will be conditioned upon such persons’ participation in such underwriting and the inclusion of such person’s Registrable Securities in the underwriting if such securities are of the same class of securities as the securities to be offered in the underwritten offering, and each such person will (together with the Company and the other persons distributing their securities through such underwriting) enter into an underwriting agreement in customary form with the underwriter or underwriters selected for such underwriting by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Treasury (as opposed to other Holders) shall not be required to indemnify any person in connection with any registration. If any participating person disapproves of the terms of the underwriting, such person may elect to withdraw therefrom by written notice to the Company, the managing underwriters and Treasury (if Treasury is participating in the underwriting).</w:t>
      </w:r>
    </w:p>
    <w:p>
      <w:pPr>
        <w:spacing w:after="0" w:line="185" w:lineRule="exact"/>
        <w:rPr>
          <w:rFonts w:ascii="Times New Roman" w:cs="Times New Roman" w:eastAsia="Times New Roman" w:hAnsi="Times New Roman"/>
          <w:sz w:val="22"/>
          <w:szCs w:val="22"/>
          <w:color w:val="auto"/>
        </w:rPr>
      </w:pPr>
    </w:p>
    <w:p>
      <w:pPr>
        <w:ind w:left="-460" w:right="160" w:firstLine="644"/>
        <w:spacing w:after="0" w:line="260" w:lineRule="auto"/>
        <w:tabs>
          <w:tab w:leader="none" w:pos="824"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either (x) the Company grants “piggyback” registration rights to one or more third parties to include their securities in an underwritten offering under the Shelf Registration Statement pursuant to Section 4.5(a)(ii) or (y) a Piggyback Registration under Section 4.5(a)(iv) relates to an underwritten offering on behalf of the Company, and in either case the managing underwriters advise the Company that in their reasonable opinion the number of securities requested to be included in such offering exceeds the number which can be sold without adversely affecting the marketability of such offering (including an adverse effect on the per share offering price), the Company will include in such offering only such number of securities that in the reasonable opinion of such managing underwriters can be sold without adversely affecting the marketability of the offering (including an adverse effect on the per share offering price), which securities will be so included in the following order of priority: (A) first, in the case of a Piggyback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120"/>
          </w:cols>
          <w:pgMar w:left="1440" w:top="1422" w:right="339" w:bottom="1440" w:gutter="0" w:footer="0" w:header="0"/>
        </w:sectPr>
      </w:pPr>
    </w:p>
    <w:bookmarkStart w:id="47" w:name="page48"/>
    <w:bookmarkEnd w:id="47"/>
    <w:p>
      <w:pPr>
        <w:ind w:left="620"/>
        <w:spacing w:after="0" w:line="247" w:lineRule="auto"/>
        <w:rPr>
          <w:sz w:val="20"/>
          <w:szCs w:val="20"/>
          <w:color w:val="auto"/>
        </w:rPr>
      </w:pPr>
      <w:r>
        <w:rPr>
          <w:rFonts w:ascii="Times New Roman" w:cs="Times New Roman" w:eastAsia="Times New Roman" w:hAnsi="Times New Roman"/>
          <w:sz w:val="22"/>
          <w:szCs w:val="22"/>
          <w:color w:val="auto"/>
        </w:rPr>
        <w:t xml:space="preserve">Registration under Section 4.5(a)(iv), the securities the Company proposes to sell, (B) then the Registrable Securities of Treasury and all other Holders who have requested inclusion of Registrable Securities pursuant to Section 4.5(a)(ii) or Section 4.5(a)(iv), as applicable,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on the basis of the aggregate number of such securities or shares owned by each such person and (C) lastly, any other securities of the Company that have been requested to be so included, subject to the terms of this Agreement;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the Company has, prior to the date hereof, entered into an agreement with respect to its securities that is inconsistent with the order of priority contemplated hereby then it shall apply the order of priority in such conflicting agreement to the extent that this Agreement would otherwise result in a breach under such agreement.</w:t>
      </w:r>
    </w:p>
    <w:p>
      <w:pPr>
        <w:spacing w:after="0" w:line="185" w:lineRule="exact"/>
        <w:rPr>
          <w:sz w:val="20"/>
          <w:szCs w:val="20"/>
          <w:color w:val="auto"/>
        </w:rPr>
      </w:pPr>
    </w:p>
    <w:p>
      <w:pPr>
        <w:ind w:left="-40" w:right="80" w:firstLine="656"/>
        <w:spacing w:after="0" w:line="252" w:lineRule="auto"/>
        <w:tabs>
          <w:tab w:leader="none" w:pos="125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 of Registration</w:t>
      </w:r>
      <w:r>
        <w:rPr>
          <w:rFonts w:ascii="Times New Roman" w:cs="Times New Roman" w:eastAsia="Times New Roman" w:hAnsi="Times New Roman"/>
          <w:sz w:val="22"/>
          <w:szCs w:val="22"/>
          <w:color w:val="auto"/>
        </w:rPr>
        <w:t xml:space="preserve">. All Registration Expenses incurred in connection with any registration, qualification or compliance hereunder shall be borne by the Company. All Selling Expenses incurred in connection with any registrations hereunder shall be borne by the holders of the securities so registered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on the basis of the aggregate offering or sale price of the securities so registered.</w:t>
      </w:r>
    </w:p>
    <w:p>
      <w:pPr>
        <w:spacing w:after="0" w:line="179" w:lineRule="exact"/>
        <w:rPr>
          <w:rFonts w:ascii="Times New Roman" w:cs="Times New Roman" w:eastAsia="Times New Roman" w:hAnsi="Times New Roman"/>
          <w:sz w:val="22"/>
          <w:szCs w:val="22"/>
          <w:color w:val="auto"/>
        </w:rPr>
      </w:pPr>
    </w:p>
    <w:p>
      <w:pPr>
        <w:ind w:left="-40" w:right="60" w:firstLine="656"/>
        <w:spacing w:after="0" w:line="248" w:lineRule="auto"/>
        <w:tabs>
          <w:tab w:leader="none" w:pos="125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of the Company</w:t>
      </w:r>
      <w:r>
        <w:rPr>
          <w:rFonts w:ascii="Times New Roman" w:cs="Times New Roman" w:eastAsia="Times New Roman" w:hAnsi="Times New Roman"/>
          <w:sz w:val="22"/>
          <w:szCs w:val="22"/>
          <w:color w:val="auto"/>
        </w:rPr>
        <w:t>. The Company shall use its reasonable best efforts, for so long as there are Registrable Securities outstanding, to take such actions as are under its control to not become an ineligible issuer (as defined in Rule 405 under the Securities Act) and to remain a well-known seasoned issuer (as defined in Rule 405 under the Securities Act) if it has such status on the date hereof or becomes eligible for such status in the future. In addition, whenever required to effect the registration of any Registrable Securities or facilitate the distribution of Registrable Securities pursuant to an effective Shelf Registration Statement, the Company shall, as expeditiously as reasonably practicable:</w:t>
      </w:r>
    </w:p>
    <w:p>
      <w:pPr>
        <w:spacing w:after="0" w:line="186" w:lineRule="exact"/>
        <w:rPr>
          <w:rFonts w:ascii="Times New Roman" w:cs="Times New Roman" w:eastAsia="Times New Roman" w:hAnsi="Times New Roman"/>
          <w:sz w:val="22"/>
          <w:szCs w:val="22"/>
          <w:color w:val="auto"/>
        </w:rPr>
      </w:pPr>
    </w:p>
    <w:p>
      <w:pPr>
        <w:ind w:left="620" w:right="120" w:firstLine="644"/>
        <w:spacing w:after="0" w:line="247" w:lineRule="auto"/>
        <w:tabs>
          <w:tab w:leader="none" w:pos="1904"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file with the SEC a prospectus supplement with respect to a proposed offering of Registrable Securities pursuant to an effective registration statement, subject to Section 4.5(d), keep such registration statement effective and keep such prospectus supplement current until the securities described therein are no longer Registrable Securities. The plan of distribution included in such registration statement, or, as applicable, prospectus supplement thereto, shall include, among other things, an underwritten offering, ordinary brokerage transactions and transactions in which the broker-dealer solicits purchasers, block trades, privately negotiated transactions, the writing or settlement of options or other derivative transactions and any other method permitted pursuant to applicable law, and any combination of any such methods of sale.</w:t>
      </w:r>
    </w:p>
    <w:p>
      <w:pPr>
        <w:spacing w:after="0" w:line="185" w:lineRule="exact"/>
        <w:rPr>
          <w:rFonts w:ascii="Times New Roman" w:cs="Times New Roman" w:eastAsia="Times New Roman" w:hAnsi="Times New Roman"/>
          <w:sz w:val="22"/>
          <w:szCs w:val="22"/>
          <w:color w:val="auto"/>
        </w:rPr>
      </w:pPr>
    </w:p>
    <w:p>
      <w:pPr>
        <w:jc w:val="both"/>
        <w:ind w:left="620" w:right="160" w:firstLine="644"/>
        <w:spacing w:after="0" w:line="252" w:lineRule="auto"/>
        <w:tabs>
          <w:tab w:leader="none" w:pos="191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file with the SEC such amendments and supplements to the applicable registration statement and the prospectus or prospectus supplement used in connection with such registration statement as may be necessary to comply with the provisions of the Securities Act with respect to the disposition of all securities covered by such registration statement.</w:t>
      </w:r>
    </w:p>
    <w:p>
      <w:pPr>
        <w:spacing w:after="0" w:line="179" w:lineRule="exact"/>
        <w:rPr>
          <w:rFonts w:ascii="Times New Roman" w:cs="Times New Roman" w:eastAsia="Times New Roman" w:hAnsi="Times New Roman"/>
          <w:sz w:val="22"/>
          <w:szCs w:val="22"/>
          <w:color w:val="auto"/>
        </w:rPr>
      </w:pPr>
    </w:p>
    <w:p>
      <w:pPr>
        <w:ind w:left="620" w:right="20" w:firstLine="644"/>
        <w:spacing w:after="0" w:line="257" w:lineRule="auto"/>
        <w:tabs>
          <w:tab w:leader="none" w:pos="1916"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to the Holders and any underwriters such number of copies of the applicable registration statement and each such amendment and supplement thereto (including in each case all exhibits) and of a prospectus, including a preliminary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160"/>
          </w:cols>
          <w:pgMar w:left="360" w:top="1422" w:right="379" w:bottom="1440" w:gutter="0" w:footer="0" w:header="0"/>
        </w:sectPr>
      </w:pPr>
    </w:p>
    <w:bookmarkStart w:id="48" w:name="page49"/>
    <w:bookmarkEnd w:id="48"/>
    <w:p>
      <w:pPr>
        <w:ind w:right="160"/>
        <w:spacing w:after="0" w:line="271" w:lineRule="auto"/>
        <w:rPr>
          <w:sz w:val="20"/>
          <w:szCs w:val="20"/>
          <w:color w:val="auto"/>
        </w:rPr>
      </w:pPr>
      <w:r>
        <w:rPr>
          <w:rFonts w:ascii="Times New Roman" w:cs="Times New Roman" w:eastAsia="Times New Roman" w:hAnsi="Times New Roman"/>
          <w:sz w:val="22"/>
          <w:szCs w:val="22"/>
          <w:color w:val="auto"/>
        </w:rPr>
        <w:t>prospectus, in conformity with the requirements of the Securities Act, and such other documents as they may reasonably request in order to facilitate the disposition of Registrable Securities owned or to be distributed by them.</w:t>
      </w:r>
    </w:p>
    <w:p>
      <w:pPr>
        <w:spacing w:after="0" w:line="158" w:lineRule="exact"/>
        <w:rPr>
          <w:sz w:val="20"/>
          <w:szCs w:val="20"/>
          <w:color w:val="auto"/>
        </w:rPr>
      </w:pPr>
    </w:p>
    <w:p>
      <w:pPr>
        <w:ind w:right="160" w:firstLine="644"/>
        <w:spacing w:after="0" w:line="248" w:lineRule="auto"/>
        <w:tabs>
          <w:tab w:leader="none" w:pos="128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Use its reasonable best efforts to register and qualify the securities covered by such registration statement under such other securities or Blue Sky laws of such jurisdictions as shall be reasonably requested by the Holders or any managing underwriter(s), to keep such registration or qualification in effect for so long as such registration statement remains in effect, and to take any other action which may be reasonably necessary to enable such seller to consummate the disposition in such jurisdictions of the securities owned by such Holder;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181" w:lineRule="exact"/>
        <w:rPr>
          <w:rFonts w:ascii="Times New Roman" w:cs="Times New Roman" w:eastAsia="Times New Roman" w:hAnsi="Times New Roman"/>
          <w:sz w:val="22"/>
          <w:szCs w:val="22"/>
          <w:color w:val="auto"/>
        </w:rPr>
      </w:pPr>
    </w:p>
    <w:p>
      <w:pPr>
        <w:ind w:right="60" w:firstLine="644"/>
        <w:spacing w:after="0" w:line="252" w:lineRule="auto"/>
        <w:tabs>
          <w:tab w:leader="none" w:pos="129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Notify each Holder of Registrable Securities at any time when a prospectus relating thereto is required to be delivered under the Securities Act of the happening of any event as a result of which the applicable prospectus, as then in effect, includes an untrue statement of a material fact or omits to state a material fact required to be stated therein or necessary to make the statements therein not misleading in light of the circumstances then existing.</w:t>
      </w:r>
    </w:p>
    <w:p>
      <w:pPr>
        <w:spacing w:after="0" w:line="179"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 written notice to the Holders:</w:t>
      </w:r>
    </w:p>
    <w:p>
      <w:pPr>
        <w:spacing w:after="0" w:line="219" w:lineRule="exact"/>
        <w:rPr>
          <w:rFonts w:ascii="Times New Roman" w:cs="Times New Roman" w:eastAsia="Times New Roman" w:hAnsi="Times New Roman"/>
          <w:sz w:val="22"/>
          <w:szCs w:val="22"/>
          <w:color w:val="auto"/>
        </w:rPr>
      </w:pPr>
    </w:p>
    <w:p>
      <w:pPr>
        <w:ind w:left="640" w:right="20" w:firstLine="652"/>
        <w:spacing w:after="0" w:line="252" w:lineRule="auto"/>
        <w:tabs>
          <w:tab w:leader="none" w:pos="1925"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any registration statement filed pursuant to Section 4.5(a) or any amendment thereto has been filed with the SEC (except for any amendment effected by the filing of a document with the SEC pursuant to the Exchange Act) and when such registration statement or any post-effective amendment thereto has become effective;</w:t>
      </w:r>
    </w:p>
    <w:p>
      <w:pPr>
        <w:spacing w:after="0" w:line="179" w:lineRule="exact"/>
        <w:rPr>
          <w:rFonts w:ascii="Times New Roman" w:cs="Times New Roman" w:eastAsia="Times New Roman" w:hAnsi="Times New Roman"/>
          <w:sz w:val="22"/>
          <w:szCs w:val="22"/>
          <w:color w:val="auto"/>
        </w:rPr>
      </w:pPr>
    </w:p>
    <w:p>
      <w:pPr>
        <w:ind w:left="640" w:right="480" w:firstLine="652"/>
        <w:spacing w:after="0" w:line="271" w:lineRule="auto"/>
        <w:tabs>
          <w:tab w:leader="none" w:pos="1927"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any request by the SEC for amendments or supplements to any registration statement or the prospectus included therein or for additional information;</w:t>
      </w:r>
    </w:p>
    <w:p>
      <w:pPr>
        <w:spacing w:after="0" w:line="157" w:lineRule="exact"/>
        <w:rPr>
          <w:rFonts w:ascii="Times New Roman" w:cs="Times New Roman" w:eastAsia="Times New Roman" w:hAnsi="Times New Roman"/>
          <w:sz w:val="22"/>
          <w:szCs w:val="22"/>
          <w:color w:val="auto"/>
        </w:rPr>
      </w:pPr>
    </w:p>
    <w:p>
      <w:pPr>
        <w:ind w:left="640" w:right="620" w:firstLine="652"/>
        <w:spacing w:after="0" w:line="271" w:lineRule="auto"/>
        <w:tabs>
          <w:tab w:leader="none" w:pos="1927"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issuance by the SEC of any stop order suspending the effectiveness of any registration statement or the initiation of any proceedings for that purpose;</w:t>
      </w:r>
    </w:p>
    <w:p>
      <w:pPr>
        <w:spacing w:after="0" w:line="157" w:lineRule="exact"/>
        <w:rPr>
          <w:rFonts w:ascii="Times New Roman" w:cs="Times New Roman" w:eastAsia="Times New Roman" w:hAnsi="Times New Roman"/>
          <w:sz w:val="22"/>
          <w:szCs w:val="22"/>
          <w:color w:val="auto"/>
        </w:rPr>
      </w:pPr>
    </w:p>
    <w:p>
      <w:pPr>
        <w:ind w:left="640" w:right="40" w:firstLine="652"/>
        <w:spacing w:after="0" w:line="257" w:lineRule="auto"/>
        <w:tabs>
          <w:tab w:leader="none" w:pos="1925"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receipt by the Company or its legal counsel of any notification with respect to the suspension of the qualification of the Common Stock for sale in any jurisdiction or the initiation or threatening of any proceeding for such purpose;</w:t>
      </w:r>
    </w:p>
    <w:p>
      <w:pPr>
        <w:spacing w:after="0" w:line="172" w:lineRule="exact"/>
        <w:rPr>
          <w:rFonts w:ascii="Times New Roman" w:cs="Times New Roman" w:eastAsia="Times New Roman" w:hAnsi="Times New Roman"/>
          <w:sz w:val="22"/>
          <w:szCs w:val="22"/>
          <w:color w:val="auto"/>
        </w:rPr>
      </w:pPr>
    </w:p>
    <w:p>
      <w:pPr>
        <w:ind w:left="640" w:firstLine="652"/>
        <w:spacing w:after="0" w:line="257" w:lineRule="auto"/>
        <w:tabs>
          <w:tab w:leader="none" w:pos="1928"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happening of any event that requires the Company to make changes in any effective registration statement or the prospectus related to the registration statement in order to make the statements therein not misleading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560"/>
          </w:cols>
          <w:pgMar w:left="980" w:top="1422" w:right="359" w:bottom="1440" w:gutter="0" w:footer="0" w:header="0"/>
        </w:sectPr>
      </w:pPr>
    </w:p>
    <w:bookmarkStart w:id="49" w:name="page50"/>
    <w:bookmarkEnd w:id="49"/>
    <w:p>
      <w:pPr>
        <w:ind w:left="180" w:right="580"/>
        <w:spacing w:after="0" w:line="271" w:lineRule="auto"/>
        <w:rPr>
          <w:sz w:val="20"/>
          <w:szCs w:val="20"/>
          <w:color w:val="auto"/>
        </w:rPr>
      </w:pPr>
      <w:r>
        <w:rPr>
          <w:rFonts w:ascii="Times New Roman" w:cs="Times New Roman" w:eastAsia="Times New Roman" w:hAnsi="Times New Roman"/>
          <w:sz w:val="22"/>
          <w:szCs w:val="22"/>
          <w:color w:val="auto"/>
        </w:rPr>
        <w:t>(which notice shall be accompanied by an instruction to suspend the use of the prospectus until the requisite changes have been made); and</w:t>
      </w:r>
    </w:p>
    <w:p>
      <w:pPr>
        <w:spacing w:after="0" w:line="158" w:lineRule="exact"/>
        <w:rPr>
          <w:sz w:val="20"/>
          <w:szCs w:val="20"/>
          <w:color w:val="auto"/>
        </w:rPr>
      </w:pPr>
    </w:p>
    <w:p>
      <w:pPr>
        <w:ind w:left="180" w:right="380" w:firstLine="652"/>
        <w:spacing w:after="0" w:line="271" w:lineRule="auto"/>
        <w:tabs>
          <w:tab w:leader="none" w:pos="147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the representations and warranties of the Company contained in any underwriting agreement contemplated by Section 4.5(c)(x) cease to be true and correct.</w:t>
      </w:r>
    </w:p>
    <w:p>
      <w:pPr>
        <w:spacing w:after="0" w:line="157" w:lineRule="exact"/>
        <w:rPr>
          <w:rFonts w:ascii="Times New Roman" w:cs="Times New Roman" w:eastAsia="Times New Roman" w:hAnsi="Times New Roman"/>
          <w:sz w:val="22"/>
          <w:szCs w:val="22"/>
          <w:color w:val="auto"/>
        </w:rPr>
      </w:pPr>
    </w:p>
    <w:p>
      <w:pPr>
        <w:ind w:left="-460" w:right="40" w:firstLine="644"/>
        <w:spacing w:after="0" w:line="271" w:lineRule="auto"/>
        <w:tabs>
          <w:tab w:leader="none" w:pos="83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its reasonable best efforts to prevent the issuance or obtain the withdrawal of any order suspending the effectiveness of any registration statement referred to in Section 4.5(c)(vi)(C) at the earliest practicable time.</w:t>
      </w:r>
    </w:p>
    <w:p>
      <w:pPr>
        <w:spacing w:after="0" w:line="157" w:lineRule="exact"/>
        <w:rPr>
          <w:rFonts w:ascii="Times New Roman" w:cs="Times New Roman" w:eastAsia="Times New Roman" w:hAnsi="Times New Roman"/>
          <w:sz w:val="22"/>
          <w:szCs w:val="22"/>
          <w:color w:val="auto"/>
        </w:rPr>
      </w:pPr>
    </w:p>
    <w:p>
      <w:pPr>
        <w:ind w:left="-460" w:firstLine="644"/>
        <w:spacing w:after="0" w:line="246" w:lineRule="auto"/>
        <w:tabs>
          <w:tab w:leader="none" w:pos="83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any event contemplated by Section 4.5(c)(v), 4.5(c)(vi)(E) or 4.5(d), promptly prepare a post-effective amendment to such registration statement or a supplement to the related prospectus or file any other required document so that, as thereafter delivered to the Holders and any underwriters, the prospectus will not contain an untrue statement of a material fact or omit to state any material fact necessary to make the statements therein, in light of the circumstances under which they were made, not misleading. If the Company notifies the Holders in accordance with Section 4.5(c)(vi)(E) to suspend the use of the prospectus until the requisite changes to the prospectus have been made, then the Holders and any underwriters shall suspend use of such prospectus and use their reasonable best efforts to return to the Company all copies of such prospectus (at the Company’s expense) other than permanent file copies then in such Holders’ or underwriters’ possession. The total number of days that any such suspension may be in effect in any 12-month period shall not exceed 90 days. The Company shall notify the Holders of the date of any anticipated termination of any such suspension period prior to such date.</w:t>
      </w:r>
    </w:p>
    <w:p>
      <w:pPr>
        <w:spacing w:after="0" w:line="185" w:lineRule="exact"/>
        <w:rPr>
          <w:rFonts w:ascii="Times New Roman" w:cs="Times New Roman" w:eastAsia="Times New Roman" w:hAnsi="Times New Roman"/>
          <w:sz w:val="22"/>
          <w:szCs w:val="22"/>
          <w:color w:val="auto"/>
        </w:rPr>
      </w:pPr>
    </w:p>
    <w:p>
      <w:pPr>
        <w:ind w:left="-460" w:right="320" w:firstLine="644"/>
        <w:spacing w:after="0" w:line="275" w:lineRule="auto"/>
        <w:tabs>
          <w:tab w:leader="none" w:pos="824"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reasonable best efforts to procure the cooperation of the Company’s transfer agent in settling any offering or sale of Registrable Securities, including with respect to the transfer of physical stock certificates into book-entry form in accordance with any procedures reasonably requested by the Holders or any managing underwriter(s).</w:t>
      </w:r>
    </w:p>
    <w:p>
      <w:pPr>
        <w:spacing w:after="0" w:line="155" w:lineRule="exact"/>
        <w:rPr>
          <w:rFonts w:ascii="Times New Roman" w:cs="Times New Roman" w:eastAsia="Times New Roman" w:hAnsi="Times New Roman"/>
          <w:sz w:val="21"/>
          <w:szCs w:val="21"/>
          <w:color w:val="auto"/>
        </w:rPr>
      </w:pPr>
    </w:p>
    <w:p>
      <w:pPr>
        <w:ind w:left="-460" w:right="20" w:firstLine="644"/>
        <w:spacing w:after="0" w:line="246" w:lineRule="auto"/>
        <w:tabs>
          <w:tab w:leader="none" w:pos="83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underwritten offering is requested pursuant to Section 4.5(a)(ii), enter into an underwriting agreement in customary form, scope and substance and take all such other actions reasonably requested by the Holders of a majority of the Registrable Securities being sold in connection therewith or by the managing underwriter(s), if any, to expedite or facilitate the underwritten disposition of such Registrable Securities, and in connection therewith in any underwritten offering (including making members of management and executives of the Company available to participate in “road shows”, similar sales events and other marketing activities), (A) make such representations and warranties to the Holders that are selling stockholders and the managing underwriter(s), if any, with respect to the business of the Company and its subsidiaries, and the Shelf Registration Statement, prospectus and documents, if any, incorporated or deemed to be incorporated by reference therein, in each case, in customary form, substance and scope, and, if true, confirm the same if and when requested, (B) use its reasonable best efforts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100"/>
          </w:cols>
          <w:pgMar w:left="1440" w:top="1422" w:right="359" w:bottom="1440" w:gutter="0" w:footer="0" w:header="0"/>
        </w:sectPr>
      </w:pPr>
    </w:p>
    <w:bookmarkStart w:id="50" w:name="page51"/>
    <w:bookmarkEnd w:id="50"/>
    <w:p>
      <w:pPr>
        <w:spacing w:after="0" w:line="245" w:lineRule="auto"/>
        <w:rPr>
          <w:sz w:val="20"/>
          <w:szCs w:val="20"/>
          <w:color w:val="auto"/>
        </w:rPr>
      </w:pPr>
      <w:r>
        <w:rPr>
          <w:rFonts w:ascii="Times New Roman" w:cs="Times New Roman" w:eastAsia="Times New Roman" w:hAnsi="Times New Roman"/>
          <w:sz w:val="22"/>
          <w:szCs w:val="22"/>
          <w:color w:val="auto"/>
        </w:rPr>
        <w:t>furnish the underwriters with opinions and “10b-5” letters of counsel to the Company, addressed to the managing underwriter(s), if any, covering the matters customarily covered in such opinions and letters requested in underwritten offerings, (C) use its reasonable best efforts to obtain “cold comfort” letters from the independent certified public accountants of the Company (and, if necessary, any other independent certified public accountants of any business acquired by the Company for which financial statements and financial data are included in the Shelf Registration Statement) who have certified the financial statements included in such Shelf Registration Statement, addressed to each of the managing underwriter(s), if any, such letters to be in customary form and covering matters of the type customarily covered in “cold comfort” letters, (D) if an underwriting agreement is entered into, the same shall contain indemnification provisions and procedures customary in underwritten offerings (provided that Treasury shall not be obligated to provide any indemnity), and (E) deliver such documents and certificates as may be reasonably requested by the Holders of a majority of the Registrable Securities being sold in connection therewith, their counsel and the managing underwriter(s), if any, to evidence the continued validity of the representations and warranties made pursuant to clause (A) above and to evidence compliance with any customary conditions contained in the underwriting agreement or other agreement entered into by the Company.</w:t>
      </w:r>
    </w:p>
    <w:p>
      <w:pPr>
        <w:spacing w:after="0" w:line="192" w:lineRule="exact"/>
        <w:rPr>
          <w:sz w:val="20"/>
          <w:szCs w:val="20"/>
          <w:color w:val="auto"/>
        </w:rPr>
      </w:pPr>
    </w:p>
    <w:p>
      <w:pPr>
        <w:ind w:right="20" w:firstLine="644"/>
        <w:spacing w:after="0" w:line="248" w:lineRule="auto"/>
        <w:tabs>
          <w:tab w:leader="none" w:pos="128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available for inspection by a representative of Holders that are selling stockholders, the managing underwriter(s), if any, and any attorneys or accountants retained by such Holders or managing underwriter(s), at the offices where normally kept, during reasonable business hours, financial and other records, pertinent corporate documents and properties of the Company, and cause the officers, directors and employees of the Company to supply all information in each case reasonably requested (and of the type customarily provided in connection with due diligence conducted in connection with a registered public offering of securities) by any such representative, managing underwriter(s), attorney or accountant in connection with such Shelf Registration Statement.</w:t>
      </w:r>
    </w:p>
    <w:p>
      <w:pPr>
        <w:spacing w:after="0" w:line="181" w:lineRule="exact"/>
        <w:rPr>
          <w:rFonts w:ascii="Times New Roman" w:cs="Times New Roman" w:eastAsia="Times New Roman" w:hAnsi="Times New Roman"/>
          <w:sz w:val="22"/>
          <w:szCs w:val="22"/>
          <w:color w:val="auto"/>
        </w:rPr>
      </w:pPr>
    </w:p>
    <w:p>
      <w:pPr>
        <w:ind w:right="180" w:firstLine="644"/>
        <w:spacing w:after="0" w:line="252" w:lineRule="auto"/>
        <w:tabs>
          <w:tab w:leader="none" w:pos="129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reasonable best efforts to cause all such Registrable Securities to be listed on each national securities exchange on which similar securities issued by the Company are then listed or, if no similar securities issued by the Company are then listed on any national securities exchange, use its reasonable best efforts to cause all such Registrable Securities to be listed on such securities exchange as Treasury may designate.</w:t>
      </w:r>
    </w:p>
    <w:p>
      <w:pPr>
        <w:spacing w:after="0" w:line="179" w:lineRule="exact"/>
        <w:rPr>
          <w:rFonts w:ascii="Times New Roman" w:cs="Times New Roman" w:eastAsia="Times New Roman" w:hAnsi="Times New Roman"/>
          <w:sz w:val="22"/>
          <w:szCs w:val="22"/>
          <w:color w:val="auto"/>
        </w:rPr>
      </w:pPr>
    </w:p>
    <w:p>
      <w:pPr>
        <w:ind w:right="60" w:firstLine="644"/>
        <w:spacing w:after="0" w:line="248" w:lineRule="auto"/>
        <w:tabs>
          <w:tab w:leader="none" w:pos="129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requested by Holders of a majority of the Registrable Securities being registered and/or sold in connection therewith, or the managing underwriter(s), if any, promptly include in a prospectus supplement or amendment such information as the Holders of a majority of the Registrable Securities being registered and/or sold in connection therewith or managing underwriter(s), if any, may reasonably request in order to permit the intended method of distribution of such securities and make all required filings of such prospectus supplement or such amendment as soon as practicable after the Company has received such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560"/>
          </w:cols>
          <w:pgMar w:left="980" w:top="1422" w:right="359" w:bottom="1440" w:gutter="0" w:footer="0" w:header="0"/>
        </w:sectPr>
      </w:pPr>
    </w:p>
    <w:bookmarkStart w:id="51" w:name="page52"/>
    <w:bookmarkEnd w:id="51"/>
    <w:p>
      <w:pPr>
        <w:ind w:left="660" w:right="240" w:firstLine="644"/>
        <w:spacing w:after="0" w:line="271" w:lineRule="auto"/>
        <w:tabs>
          <w:tab w:leader="none" w:pos="1944"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Timely provide to its security holders earning statements satisfying the provisions of Section 11(a) of the Securities Act and Rule 158 thereunder.</w:t>
      </w:r>
    </w:p>
    <w:p>
      <w:pPr>
        <w:spacing w:after="0" w:line="157" w:lineRule="exact"/>
        <w:rPr>
          <w:rFonts w:ascii="Times New Roman" w:cs="Times New Roman" w:eastAsia="Times New Roman" w:hAnsi="Times New Roman"/>
          <w:sz w:val="22"/>
          <w:szCs w:val="22"/>
          <w:color w:val="auto"/>
        </w:rPr>
      </w:pPr>
    </w:p>
    <w:p>
      <w:pPr>
        <w:ind w:firstLine="656"/>
        <w:spacing w:after="0" w:line="245" w:lineRule="auto"/>
        <w:tabs>
          <w:tab w:leader="none" w:pos="129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Suspension of Sales</w:t>
      </w:r>
      <w:r>
        <w:rPr>
          <w:rFonts w:ascii="Times New Roman" w:cs="Times New Roman" w:eastAsia="Times New Roman" w:hAnsi="Times New Roman"/>
          <w:sz w:val="22"/>
          <w:szCs w:val="22"/>
          <w:color w:val="auto"/>
        </w:rPr>
        <w:t>. Upon receipt of written notice from the Company that a registration statement, prospectus or prospectus supplement contains or may contain an untrue statement of a material fact or omits or may omit to state a material fact required to be stated therein or necessary to make the statements therein not misleading or that circumstances exist that make inadvisable use of such registration statement, prospectus or prospectus supplement, Treasury and each Holder of Registrable Securities shall forthwith discontinue disposition of Registrable Securities until Treasury and/or Holder has received copies of a supplemented or amended prospectus or prospectus supplement, or until Treasury and/or such Holder is advised in writing by the Company that the use of the prospectus and, if applicable, prospectus supplement may be resumed, and, if so directed by the Company, Treasury and/or such Holder shall deliver to the Company (at the Company’s expense) all copies, other than permanent file copies then in Treasury and/or such Holder’s possession, of the prospectus and, if applicable, prospectus supplement covering such Registrable Securities current at the time of receipt of such notice. The total number of days that any such suspension may be in effect in any 12-month period shall not exceed 90 days. The Company shall notify Treasury prior to the anticipated termination of any such suspension period of the date of such anticipated termination</w:t>
      </w:r>
    </w:p>
    <w:p>
      <w:pPr>
        <w:spacing w:after="0" w:line="195" w:lineRule="exact"/>
        <w:rPr>
          <w:rFonts w:ascii="Times New Roman" w:cs="Times New Roman" w:eastAsia="Times New Roman" w:hAnsi="Times New Roman"/>
          <w:sz w:val="22"/>
          <w:szCs w:val="22"/>
          <w:color w:val="auto"/>
        </w:rPr>
      </w:pPr>
    </w:p>
    <w:p>
      <w:pPr>
        <w:ind w:right="320" w:firstLine="656"/>
        <w:spacing w:after="0" w:line="271" w:lineRule="auto"/>
        <w:tabs>
          <w:tab w:leader="none" w:pos="129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Registration Rights</w:t>
      </w:r>
      <w:r>
        <w:rPr>
          <w:rFonts w:ascii="Times New Roman" w:cs="Times New Roman" w:eastAsia="Times New Roman" w:hAnsi="Times New Roman"/>
          <w:sz w:val="22"/>
          <w:szCs w:val="22"/>
          <w:color w:val="auto"/>
        </w:rPr>
        <w:t>. A Holder’s registration rights as to any securities held by such Holder shall not be available unless such securities are Registrable Securities.</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Furnishing Information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right="900" w:firstLine="644"/>
        <w:spacing w:after="0" w:line="271" w:lineRule="auto"/>
        <w:tabs>
          <w:tab w:leader="none" w:pos="1944"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Treasury nor any Holder shall use any free writing prospectus (as defined in Rule 405) in connection with the sale of Registrable Securities without the prior written consent of the Company.</w:t>
      </w:r>
    </w:p>
    <w:p>
      <w:pPr>
        <w:spacing w:after="0" w:line="157" w:lineRule="exact"/>
        <w:rPr>
          <w:rFonts w:ascii="Times New Roman" w:cs="Times New Roman" w:eastAsia="Times New Roman" w:hAnsi="Times New Roman"/>
          <w:sz w:val="22"/>
          <w:szCs w:val="22"/>
          <w:color w:val="auto"/>
        </w:rPr>
      </w:pPr>
    </w:p>
    <w:p>
      <w:pPr>
        <w:ind w:left="660" w:right="20" w:firstLine="644"/>
        <w:spacing w:after="0" w:line="252" w:lineRule="auto"/>
        <w:tabs>
          <w:tab w:leader="none" w:pos="195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be a condition precedent to the obligations of the Company to take any action pursuant to Section 4.5(c) that Treasury and/or the selling Holders and the underwriters, if any, shall furnish to the Company such information regarding themselves, the Registrable Securities held by them and the intended method of disposition of such securities as shall be required to effect the registered offering of their Registrable Securities.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right="200" w:firstLine="644"/>
        <w:spacing w:after="0" w:line="248" w:lineRule="auto"/>
        <w:tabs>
          <w:tab w:leader="none" w:pos="1944"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indemnify each Holder and, if a Holder is a person other than an individual, such Holder’s officers, directors, employees, agents, representatives and Affiliates, and each Person, if any, that controls a Holder within the meaning of the Securities Act (each,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against any and all losses, claims, damages, actions, liabilities, costs and expenses (including reasonable fees, expenses and disbursements of attorneys and other professionals incurred in connection with investigating, defending, settling, compromising or paying any such losses,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52" w:name="page53"/>
    <w:bookmarkEnd w:id="52"/>
    <w:p>
      <w:pPr>
        <w:ind w:left="4"/>
        <w:spacing w:after="0" w:line="256" w:lineRule="auto"/>
        <w:rPr>
          <w:sz w:val="20"/>
          <w:szCs w:val="20"/>
          <w:color w:val="auto"/>
        </w:rPr>
      </w:pPr>
      <w:r>
        <w:rPr>
          <w:rFonts w:ascii="Times New Roman" w:cs="Times New Roman" w:eastAsia="Times New Roman" w:hAnsi="Times New Roman"/>
          <w:sz w:val="21"/>
          <w:szCs w:val="21"/>
          <w:color w:val="auto"/>
        </w:rPr>
        <w:t xml:space="preserve">damages, actions, liabilities, costs and expenses), joint or several, arising out of or based upon any untrue statement or alleged untrue statement of material fact contained in any registration statement, including any preliminary prospectus or final prospectus contained therein or any amendments or supplements thereto or any documents incorporated therein by reference or contained in any free writing prospectus (as such term is defined in Rule 405) prepared by the Company or authorized by it in writing for use by such Holder (or any amendment or supplement thereto); or any omission to state therein a material fact required to be stated therein or necessary to make the statements therein, in light of the circumstances under which they were made, not misleading;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Company shall not be liable to such Indemnitee in any such case to the extent that any such loss, claim, damage, liability (or action or proceeding in respect thereof) or expense arises out of or is based upon (A) an untrue statement or omission made in such registration statement, including any such preliminary prospectus or final prospectus contained therein or any such amendments or supplements thereto or contained in any free writing prospectus (as such term is defined in Rule 405) prepared by the Company or authorized by it in writing for use by such Holder (or any amendment or supplement thereto), in reliance upon and in conformity with information regarding such Indemnitee or its plan of distribution or ownership interests which was furnished in writing to the Company by such Indemnitee for use in connection with such registration statement, including any such preliminary prospectus or final prospectus contained therein or any such amendments or supplements thereto, or</w:t>
      </w:r>
    </w:p>
    <w:p>
      <w:pPr>
        <w:spacing w:after="0" w:line="8" w:lineRule="exact"/>
        <w:rPr>
          <w:sz w:val="20"/>
          <w:szCs w:val="20"/>
          <w:color w:val="auto"/>
        </w:rPr>
      </w:pPr>
    </w:p>
    <w:p>
      <w:pPr>
        <w:ind w:left="4" w:right="300" w:hanging="4"/>
        <w:spacing w:after="0" w:line="248" w:lineRule="auto"/>
        <w:tabs>
          <w:tab w:leader="none" w:pos="34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offers or sales effected by or on behalf of such Indemnitee “by means of” (as defined in Rule 159A) a “free writing prospectus” (as defined in Rule 405) that was not authorized in writing by the Company.</w:t>
      </w:r>
    </w:p>
    <w:p>
      <w:pPr>
        <w:spacing w:after="0" w:line="182" w:lineRule="exact"/>
        <w:rPr>
          <w:rFonts w:ascii="Times New Roman" w:cs="Times New Roman" w:eastAsia="Times New Roman" w:hAnsi="Times New Roman"/>
          <w:sz w:val="22"/>
          <w:szCs w:val="22"/>
          <w:color w:val="auto"/>
        </w:rPr>
      </w:pPr>
    </w:p>
    <w:p>
      <w:pPr>
        <w:ind w:left="4" w:firstLine="644"/>
        <w:spacing w:after="0" w:line="257" w:lineRule="auto"/>
        <w:tabs>
          <w:tab w:leader="none" w:pos="1294"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indemnification provided for in Section 4.5(g)(i) is unavailable to an Indemnitee with respect to any losses, claims, damages, actions, liabilities, costs or expenses referred to therein or is insufficient to hold the Indemnitee harmless as contemplated therein, then the Company, in lieu of indemnifying such Indemnitee, shall contribute to the amount paid or payable by such Indemnitee as a result of such losses, claims, damages, actions, liabilities, costs or expenses in such proportion as is appropriate to reflect the relative fault of the Indemnitee, on the one hand, and the Company, on the other hand, in connection with the statements or omissions which resulted in such losses, claims, damages, actions, liabilities, costs or expenses as well as any other relevant equitable considerations. The relative fault of the Company, on the one hand, and of the Indemnitee, on the other hand, shall be determined by reference to, among other factors, whether the untrue statement of a material fact or omission to state a material fact relates to information supplied by the Company or by the Indemnitee and the parties’ relative intent, knowledge, access to information and opportunity to correct or prevent such statement or omission; the Company and each Holder agree that it would not be just and equitable if contribution pursuant to this Section 4.5(g)(ii) were determined by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allocation or by any other method of allocation that does not take account of the equitable considerations referred to in Section 4.5(g)(i). No Indemnitee guilty of fraudulent misrepresentation (within the meaning of Section 11(f) of the Securities Act) shall be entitled to contribution from the Company if the Company was not guilty of such fraudulent misrepresentation.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0584"/>
          </w:cols>
          <w:pgMar w:left="976" w:top="1422" w:right="339" w:bottom="1440" w:gutter="0" w:footer="0" w:header="0"/>
        </w:sectPr>
      </w:pPr>
    </w:p>
    <w:bookmarkStart w:id="53" w:name="page54"/>
    <w:bookmarkEnd w:id="53"/>
    <w:p>
      <w:pPr>
        <w:ind w:left="-60" w:right="20" w:firstLine="656"/>
        <w:spacing w:after="0" w:line="263" w:lineRule="auto"/>
        <w:tabs>
          <w:tab w:leader="none" w:pos="1231"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 of Registration Rights</w:t>
      </w:r>
      <w:r>
        <w:rPr>
          <w:rFonts w:ascii="Times New Roman" w:cs="Times New Roman" w:eastAsia="Times New Roman" w:hAnsi="Times New Roman"/>
          <w:sz w:val="21"/>
          <w:szCs w:val="21"/>
          <w:color w:val="auto"/>
        </w:rPr>
        <w:t xml:space="preserve">. The rights of Treasury to registration of Registrable Securities pursuant to Section 4.5(a) may be assigned by Treasury to a transferee or assignee of Registrable Securities in connection with a transfer of a total number of Warrant Shares and/or Warrants exercisable for at least 20% of the total number of Warrant Shares for which Warrants issued and to be issued under this Agreement could be exercised (giving effect to the anti-dilution adjustments in Warrants);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the transferor shall, within ten days after such transfer, furnish to the Company written notice of the name and address of such transferee or assignee and the number and type of Registrable Securities that are being assigned.</w:t>
      </w:r>
    </w:p>
    <w:p>
      <w:pPr>
        <w:spacing w:after="0" w:line="167" w:lineRule="exact"/>
        <w:rPr>
          <w:rFonts w:ascii="Times New Roman" w:cs="Times New Roman" w:eastAsia="Times New Roman" w:hAnsi="Times New Roman"/>
          <w:sz w:val="21"/>
          <w:szCs w:val="21"/>
          <w:color w:val="auto"/>
        </w:rPr>
      </w:pPr>
    </w:p>
    <w:p>
      <w:pPr>
        <w:ind w:left="-60" w:right="100" w:firstLine="656"/>
        <w:spacing w:after="0" w:line="258" w:lineRule="auto"/>
        <w:tabs>
          <w:tab w:leader="none" w:pos="1224"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Clear Market</w:t>
      </w:r>
      <w:r>
        <w:rPr>
          <w:rFonts w:ascii="Times New Roman" w:cs="Times New Roman" w:eastAsia="Times New Roman" w:hAnsi="Times New Roman"/>
          <w:sz w:val="21"/>
          <w:szCs w:val="21"/>
          <w:color w:val="auto"/>
        </w:rPr>
        <w:t>. With respect to any underwritten offering of Registrable Securities by Treasury or other Holders pursuant to this Section 4.5, the Company agrees not to effect (other than pursuant to such registration or pursuant to a Special Registration) any public sale or distribution, or to file any Shelf Registration Statement (other than such registration or a Special Registration) covering, in the case of an underwritten offering of Common Stock or Warrants, any of its equity securities, or, in each case, any securities convertible into or exchangeable or exercisable for such securities, during the period not to exceed 30 days following the effective date of such offering. The Company also agrees to cause such of its directors and senior executive officers to execute and deliver customary lock-up agreements in such form and for such time period up to 30 days as may be requested by the managing underwriter. “</w:t>
      </w:r>
      <w:r>
        <w:rPr>
          <w:rFonts w:ascii="Times New Roman" w:cs="Times New Roman" w:eastAsia="Times New Roman" w:hAnsi="Times New Roman"/>
          <w:sz w:val="21"/>
          <w:szCs w:val="21"/>
          <w:u w:val="single" w:color="auto"/>
          <w:color w:val="auto"/>
        </w:rPr>
        <w:t>Special Registration</w:t>
      </w:r>
      <w:r>
        <w:rPr>
          <w:rFonts w:ascii="Times New Roman" w:cs="Times New Roman" w:eastAsia="Times New Roman" w:hAnsi="Times New Roman"/>
          <w:sz w:val="21"/>
          <w:szCs w:val="21"/>
          <w:color w:val="auto"/>
        </w:rPr>
        <w:t>” means the registration of (A) equity securities and/or options or other rights in respect thereof solely registered on Form S-4 or Form S-8 (or successor form) or (B) shares of equity securities and/or options or other rights in respect thereof to be offered to directors, members of management, employees, consultants, customers, lenders or vendors of the Company or Company Subsidiaries or in connection with dividend reinvestment plans.</w:t>
      </w:r>
    </w:p>
    <w:p>
      <w:pPr>
        <w:spacing w:after="0" w:line="181" w:lineRule="exact"/>
        <w:rPr>
          <w:rFonts w:ascii="Times New Roman" w:cs="Times New Roman" w:eastAsia="Times New Roman" w:hAnsi="Times New Roman"/>
          <w:sz w:val="21"/>
          <w:szCs w:val="21"/>
          <w:color w:val="auto"/>
        </w:rPr>
      </w:pPr>
    </w:p>
    <w:p>
      <w:pPr>
        <w:jc w:val="both"/>
        <w:ind w:left="-60" w:right="220" w:firstLine="656"/>
        <w:spacing w:after="0" w:line="257" w:lineRule="auto"/>
        <w:tabs>
          <w:tab w:leader="none" w:pos="122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Rule 144; Rule 144A</w:t>
      </w:r>
      <w:r>
        <w:rPr>
          <w:rFonts w:ascii="Times New Roman" w:cs="Times New Roman" w:eastAsia="Times New Roman" w:hAnsi="Times New Roman"/>
          <w:sz w:val="22"/>
          <w:szCs w:val="22"/>
          <w:color w:val="auto"/>
        </w:rPr>
        <w:t>. With a view to making available to Treasury and Holders the benefits of certain rules and regulations of the SEC which may permit the sale of the Registrable Securities to the public without registration, the Company agrees to use its reasonable best efforts to:</w:t>
      </w:r>
    </w:p>
    <w:p>
      <w:pPr>
        <w:spacing w:after="0" w:line="172" w:lineRule="exact"/>
        <w:rPr>
          <w:rFonts w:ascii="Times New Roman" w:cs="Times New Roman" w:eastAsia="Times New Roman" w:hAnsi="Times New Roman"/>
          <w:sz w:val="22"/>
          <w:szCs w:val="22"/>
          <w:color w:val="auto"/>
        </w:rPr>
      </w:pPr>
    </w:p>
    <w:p>
      <w:pPr>
        <w:ind w:left="680" w:right="200" w:firstLine="441"/>
        <w:spacing w:after="0" w:line="295" w:lineRule="auto"/>
        <w:tabs>
          <w:tab w:leader="none" w:pos="1895"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and keep adequate public information available, as those terms are understood and defined in Rule 144(c)(1) or any similar or analogous rule promulgated under the Securities Act, at all times after the date hereof;</w:t>
      </w:r>
    </w:p>
    <w:p>
      <w:pPr>
        <w:spacing w:after="0" w:line="135" w:lineRule="exact"/>
        <w:rPr>
          <w:rFonts w:ascii="Times New Roman" w:cs="Times New Roman" w:eastAsia="Times New Roman" w:hAnsi="Times New Roman"/>
          <w:sz w:val="21"/>
          <w:szCs w:val="21"/>
          <w:color w:val="auto"/>
        </w:rPr>
      </w:pPr>
    </w:p>
    <w:p>
      <w:pPr>
        <w:ind w:left="680" w:right="60" w:firstLine="381"/>
        <w:spacing w:after="0" w:line="252" w:lineRule="auto"/>
        <w:tabs>
          <w:tab w:leader="none" w:pos="1895"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file with the SEC, in a timely manner, all reports and other documents required of the Company under the Exchange Act, and (B) if at any time the Company is not required to file such reports, make available, upon the request of any Holder, such information necessary to permit sales pursuant to Rule 144A (including the information required by Rule 144A(d)(4) under the Securities Act);</w:t>
      </w:r>
    </w:p>
    <w:p>
      <w:pPr>
        <w:spacing w:after="0" w:line="179" w:lineRule="exact"/>
        <w:rPr>
          <w:rFonts w:ascii="Times New Roman" w:cs="Times New Roman" w:eastAsia="Times New Roman" w:hAnsi="Times New Roman"/>
          <w:sz w:val="22"/>
          <w:szCs w:val="22"/>
          <w:color w:val="auto"/>
        </w:rPr>
      </w:pPr>
    </w:p>
    <w:p>
      <w:pPr>
        <w:ind w:left="680" w:firstLine="321"/>
        <w:spacing w:after="0" w:line="250" w:lineRule="auto"/>
        <w:tabs>
          <w:tab w:leader="none" w:pos="1895"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Treasury or a Holder owns any Registrable Securities, furnish to Treasury or such Holder forthwith upon request: a written statement by the Company as to its compliance with the reporting requirements of Rule 144 under the Securities Act, and of the Exchange Act; a copy of the most recent annual or quarterly report of the Company; and such other reports and documents as Treasury or Holder may reasonably request in availing itself of any rule or regulation of the SEC allowing it to sell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120"/>
          </w:cols>
          <w:pgMar w:left="380" w:top="1422" w:right="399" w:bottom="1440" w:gutter="0" w:footer="0" w:header="0"/>
        </w:sectPr>
      </w:pPr>
    </w:p>
    <w:bookmarkStart w:id="54" w:name="page55"/>
    <w:bookmarkEnd w:id="54"/>
    <w:p>
      <w:pPr>
        <w:ind w:left="84" w:right="620"/>
        <w:spacing w:after="0" w:line="275" w:lineRule="auto"/>
        <w:rPr>
          <w:sz w:val="20"/>
          <w:szCs w:val="20"/>
          <w:color w:val="auto"/>
        </w:rPr>
      </w:pPr>
      <w:r>
        <w:rPr>
          <w:rFonts w:ascii="Times New Roman" w:cs="Times New Roman" w:eastAsia="Times New Roman" w:hAnsi="Times New Roman"/>
          <w:sz w:val="22"/>
          <w:szCs w:val="22"/>
          <w:color w:val="auto"/>
        </w:rPr>
        <w:t xml:space="preserve">securities to the public without registration;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availability of the foregoing reports on the EDGAR filing system of the SEC will be deemed to satisfy the foregoing delivery requirements; and</w:t>
      </w:r>
    </w:p>
    <w:p>
      <w:pPr>
        <w:spacing w:after="0" w:line="153" w:lineRule="exact"/>
        <w:rPr>
          <w:sz w:val="20"/>
          <w:szCs w:val="20"/>
          <w:color w:val="auto"/>
        </w:rPr>
      </w:pPr>
    </w:p>
    <w:p>
      <w:pPr>
        <w:ind w:left="84" w:right="120" w:firstLine="333"/>
        <w:spacing w:after="0" w:line="271" w:lineRule="auto"/>
        <w:tabs>
          <w:tab w:leader="none" w:pos="1299"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such further action as any Holder may reasonably request, all to the extent required from time to time to enable such Holder to sell Registrable Securities without registration under the Securities Act.</w:t>
      </w:r>
    </w:p>
    <w:p>
      <w:pPr>
        <w:spacing w:after="0" w:line="157"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Section 4.5, the following terms shall have the following respective meanings:</w:t>
      </w:r>
    </w:p>
    <w:p>
      <w:pPr>
        <w:spacing w:after="0" w:line="219" w:lineRule="exact"/>
        <w:rPr>
          <w:rFonts w:ascii="Times New Roman" w:cs="Times New Roman" w:eastAsia="Times New Roman" w:hAnsi="Times New Roman"/>
          <w:sz w:val="22"/>
          <w:szCs w:val="22"/>
          <w:color w:val="auto"/>
        </w:rPr>
      </w:pPr>
    </w:p>
    <w:p>
      <w:pPr>
        <w:ind w:left="4" w:right="360" w:firstLine="644"/>
        <w:spacing w:after="0" w:line="271" w:lineRule="auto"/>
        <w:tabs>
          <w:tab w:leader="none" w:pos="1288"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means Treasury and any other holder of Registrable Securities to whom the registration rights conferred by this Agreement have been transferred in compliance with Section 4.5(h) hereof.</w:t>
      </w:r>
    </w:p>
    <w:p>
      <w:pPr>
        <w:spacing w:after="0" w:line="157" w:lineRule="exact"/>
        <w:rPr>
          <w:rFonts w:ascii="Times New Roman" w:cs="Times New Roman" w:eastAsia="Times New Roman" w:hAnsi="Times New Roman"/>
          <w:sz w:val="22"/>
          <w:szCs w:val="22"/>
          <w:color w:val="auto"/>
        </w:rPr>
      </w:pPr>
    </w:p>
    <w:p>
      <w:pPr>
        <w:ind w:left="4" w:right="120" w:firstLine="644"/>
        <w:spacing w:after="0" w:line="252" w:lineRule="auto"/>
        <w:tabs>
          <w:tab w:leader="none" w:pos="1294"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registered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registration</w:t>
      </w:r>
      <w:r>
        <w:rPr>
          <w:rFonts w:ascii="Times New Roman" w:cs="Times New Roman" w:eastAsia="Times New Roman" w:hAnsi="Times New Roman"/>
          <w:sz w:val="22"/>
          <w:szCs w:val="22"/>
          <w:color w:val="auto"/>
        </w:rPr>
        <w:t>” shall refer to a registration effected by preparing and (A) filing a registration statement in compliance with the Securities Act and applicable rules and regulations thereunder, and the declaration or ordering of effectiveness of such registration statement or (B) filing a prospectus and/or prospectus supplement in respect of an appropriate effective registration statement on Form S-3.</w:t>
      </w:r>
    </w:p>
    <w:p>
      <w:pPr>
        <w:spacing w:after="0" w:line="175" w:lineRule="exact"/>
        <w:rPr>
          <w:rFonts w:ascii="Times New Roman" w:cs="Times New Roman" w:eastAsia="Times New Roman" w:hAnsi="Times New Roman"/>
          <w:sz w:val="22"/>
          <w:szCs w:val="22"/>
          <w:color w:val="auto"/>
        </w:rPr>
      </w:pPr>
    </w:p>
    <w:p>
      <w:pPr>
        <w:ind w:left="4" w:firstLine="644"/>
        <w:spacing w:after="0" w:line="246" w:lineRule="auto"/>
        <w:tabs>
          <w:tab w:leader="none" w:pos="1300"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Registrable Securitie</w:t>
      </w:r>
      <w:r>
        <w:rPr>
          <w:rFonts w:ascii="Times New Roman" w:cs="Times New Roman" w:eastAsia="Times New Roman" w:hAnsi="Times New Roman"/>
          <w:sz w:val="22"/>
          <w:szCs w:val="22"/>
          <w:i w:val="1"/>
          <w:iCs w:val="1"/>
          <w:color w:val="auto"/>
        </w:rPr>
        <w:t>s</w:t>
      </w:r>
      <w:r>
        <w:rPr>
          <w:rFonts w:ascii="Times New Roman" w:cs="Times New Roman" w:eastAsia="Times New Roman" w:hAnsi="Times New Roman"/>
          <w:sz w:val="22"/>
          <w:szCs w:val="22"/>
          <w:color w:val="auto"/>
        </w:rPr>
        <w:t xml:space="preserve">” means (A) the Warrants (subject to Section 4.5(p)) and (B) any equity securities issued or issuable directly or indirectly with respect to the securities referred to in the foregoing clause (A) by way of conversion, exercise or exchange thereof, including the Warrant Shares, or share dividend or share split or in connection with a combination of shares, recapitalization, reclassification, merger, amalgamation, arrangement, consolidation or other reorganization,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once issued, such securities will not be Registrable Securities when (1) they are sold pursuant to an effective registration statement under the Securities Act, (2) except as provided below in Section 4.5(o), they may be sold pursuant to Rule 144 without limitation thereunder on volume or manner of sale, (3) they shall have ceased to be outstanding or (4) they have been sold in a private transaction in which the transferor’s rights under this Agreement are not assigned to the transferee of the securities. No Registrable Securities may be registered under more than one registration statement at any one time.</w:t>
      </w:r>
    </w:p>
    <w:p>
      <w:pPr>
        <w:spacing w:after="0" w:line="191" w:lineRule="exact"/>
        <w:rPr>
          <w:rFonts w:ascii="Times New Roman" w:cs="Times New Roman" w:eastAsia="Times New Roman" w:hAnsi="Times New Roman"/>
          <w:sz w:val="22"/>
          <w:szCs w:val="22"/>
          <w:color w:val="auto"/>
        </w:rPr>
      </w:pPr>
    </w:p>
    <w:p>
      <w:pPr>
        <w:ind w:left="4" w:right="60" w:firstLine="644"/>
        <w:spacing w:after="0" w:line="261" w:lineRule="auto"/>
        <w:tabs>
          <w:tab w:leader="none" w:pos="1288" w:val="left"/>
        </w:tabs>
        <w:numPr>
          <w:ilvl w:val="2"/>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Registration Expenses</w:t>
      </w:r>
      <w:r>
        <w:rPr>
          <w:rFonts w:ascii="Times New Roman" w:cs="Times New Roman" w:eastAsia="Times New Roman" w:hAnsi="Times New Roman"/>
          <w:sz w:val="21"/>
          <w:szCs w:val="21"/>
          <w:color w:val="auto"/>
        </w:rPr>
        <w:t>” mean all expenses incurred by the Company in effecting any registration pursuant to this Agreement (whether or not any registration or prospectus becomes effective or final) or otherwise complying with its obligations under this Section 4.5, including all registration, filing and listing fees, printing expenses, fees and disbursements of counsel for the Company, blue sky fees and expenses, expenses incurred in connection with any “road show”, the reasonable fees and disbursements of Treasury’s counsel (if Treasury is participating in the registered offering), and expenses of the Company’s independent accountants in connection with any regular or special reviews or audits incident to or required by any such registration, but shall not include Selling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0584"/>
          </w:cols>
          <w:pgMar w:left="976" w:top="1418" w:right="339" w:bottom="1440" w:gutter="0" w:footer="0" w:header="0"/>
        </w:sectPr>
      </w:pPr>
    </w:p>
    <w:bookmarkStart w:id="55" w:name="page56"/>
    <w:bookmarkEnd w:id="55"/>
    <w:p>
      <w:pPr>
        <w:ind w:left="660" w:right="580" w:firstLine="644"/>
        <w:spacing w:after="0" w:line="295" w:lineRule="auto"/>
        <w:tabs>
          <w:tab w:leader="none" w:pos="1951" w:val="left"/>
        </w:tabs>
        <w:numPr>
          <w:ilvl w:val="2"/>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Rule 144</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Rule 144A</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Rule 159A</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Rule 405</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Rule 415</w:t>
      </w:r>
      <w:r>
        <w:rPr>
          <w:rFonts w:ascii="Times New Roman" w:cs="Times New Roman" w:eastAsia="Times New Roman" w:hAnsi="Times New Roman"/>
          <w:sz w:val="21"/>
          <w:szCs w:val="21"/>
          <w:color w:val="auto"/>
        </w:rPr>
        <w:t>” mean, in each case, such rule promulgated under the Securities Act (or any successor provision), as the same shall be amended from time to time.</w:t>
      </w:r>
    </w:p>
    <w:p>
      <w:pPr>
        <w:spacing w:after="0" w:line="135" w:lineRule="exact"/>
        <w:rPr>
          <w:rFonts w:ascii="Times New Roman" w:cs="Times New Roman" w:eastAsia="Times New Roman" w:hAnsi="Times New Roman"/>
          <w:sz w:val="21"/>
          <w:szCs w:val="21"/>
          <w:color w:val="auto"/>
        </w:rPr>
      </w:pPr>
    </w:p>
    <w:p>
      <w:pPr>
        <w:jc w:val="both"/>
        <w:ind w:left="660" w:right="140" w:firstLine="644"/>
        <w:spacing w:after="0" w:line="257" w:lineRule="auto"/>
        <w:tabs>
          <w:tab w:leader="none" w:pos="1944"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Selling Expenses</w:t>
      </w:r>
      <w:r>
        <w:rPr>
          <w:rFonts w:ascii="Times New Roman" w:cs="Times New Roman" w:eastAsia="Times New Roman" w:hAnsi="Times New Roman"/>
          <w:sz w:val="22"/>
          <w:szCs w:val="22"/>
          <w:color w:val="auto"/>
        </w:rPr>
        <w:t>” mean all discounts, selling commissions and stock transfer taxes applicable to the sale of Registrable Securities and fees and disbursements of counsel for any Holder (other than the fees and disbursements of Treasury’s counsel included in Registration Expenses).</w:t>
      </w:r>
    </w:p>
    <w:p>
      <w:pPr>
        <w:spacing w:after="0" w:line="172" w:lineRule="exact"/>
        <w:rPr>
          <w:rFonts w:ascii="Times New Roman" w:cs="Times New Roman" w:eastAsia="Times New Roman" w:hAnsi="Times New Roman"/>
          <w:sz w:val="22"/>
          <w:szCs w:val="22"/>
          <w:color w:val="auto"/>
        </w:rPr>
      </w:pPr>
    </w:p>
    <w:p>
      <w:pPr>
        <w:ind w:right="60" w:firstLine="656"/>
        <w:spacing w:after="0" w:line="266" w:lineRule="auto"/>
        <w:tabs>
          <w:tab w:leader="none" w:pos="1284"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any time, any holder of Securities (including any Holder) may elect to forfeit its rights set forth in this Section 4.5 from that date forward;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a Holder forfeiting such rights shall nonetheless be entitled to participate under Section</w:t>
      </w:r>
    </w:p>
    <w:p>
      <w:pPr>
        <w:spacing w:after="0" w:line="1" w:lineRule="exact"/>
        <w:rPr>
          <w:rFonts w:ascii="Times New Roman" w:cs="Times New Roman" w:eastAsia="Times New Roman" w:hAnsi="Times New Roman"/>
          <w:sz w:val="21"/>
          <w:szCs w:val="21"/>
          <w:color w:val="auto"/>
        </w:rPr>
      </w:pPr>
    </w:p>
    <w:p>
      <w:pPr>
        <w:ind w:right="120"/>
        <w:spacing w:after="0" w:line="25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4.5(a)(iv) – (vi) in any Pending Underwritten Offering to the same extent that such Holder would have been entitled to if the holder had not withdrawn;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no such forfeiture shall terminate a Holder’s rights or obligations under Section 4.5(f) with respect to any prior registration or Pending Underwritten Offering. “</w:t>
      </w:r>
      <w:r>
        <w:rPr>
          <w:rFonts w:ascii="Times New Roman" w:cs="Times New Roman" w:eastAsia="Times New Roman" w:hAnsi="Times New Roman"/>
          <w:sz w:val="21"/>
          <w:szCs w:val="21"/>
          <w:i w:val="1"/>
          <w:iCs w:val="1"/>
          <w:color w:val="auto"/>
        </w:rPr>
        <w:t>Pending Underwritten Offering”</w:t>
      </w:r>
      <w:r>
        <w:rPr>
          <w:rFonts w:ascii="Times New Roman" w:cs="Times New Roman" w:eastAsia="Times New Roman" w:hAnsi="Times New Roman"/>
          <w:sz w:val="21"/>
          <w:szCs w:val="21"/>
          <w:color w:val="auto"/>
        </w:rPr>
        <w:t xml:space="preserve"> means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with respect to any Holder forfeiting its rights pursuant to this Section 4.5(l), any underwritten offering of Registrable Securities in which such Holder has advised the Company of its intent to register its Registrable Securities either pursuant to Section 4.5(a)</w:t>
      </w:r>
    </w:p>
    <w:p>
      <w:pPr>
        <w:spacing w:after="0" w:line="4"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4.5(a)(iv) prior to the date of such Holder’s forfeiture.</w:t>
      </w:r>
    </w:p>
    <w:p>
      <w:pPr>
        <w:spacing w:after="0" w:line="195" w:lineRule="exact"/>
        <w:rPr>
          <w:rFonts w:ascii="Times New Roman" w:cs="Times New Roman" w:eastAsia="Times New Roman" w:hAnsi="Times New Roman"/>
          <w:sz w:val="22"/>
          <w:szCs w:val="22"/>
          <w:color w:val="auto"/>
        </w:rPr>
      </w:pPr>
    </w:p>
    <w:p>
      <w:pPr>
        <w:ind w:right="40" w:firstLine="656"/>
        <w:spacing w:after="0" w:line="248" w:lineRule="auto"/>
        <w:tabs>
          <w:tab w:leader="none" w:pos="1284"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The parties hereto acknowledge that there would be no adequate remedy at law if the Company fails to perform any of its obligations under this Section 4.5 and that Treasury and the Holders from time to time may be irreparably harmed by any such failure, and accordingly agree that Treasury and such Holders, in addition to any other remedy to which they may be entitled at law or in equity, to the fullest extent permitted and enforceable under applicable law shall be entitled to compel specific performance of the obligations of the Company under this Section 4.5 in accordance with the terms and conditions of this Section 4.5.</w:t>
      </w:r>
    </w:p>
    <w:p>
      <w:pPr>
        <w:spacing w:after="0" w:line="186" w:lineRule="exact"/>
        <w:rPr>
          <w:rFonts w:ascii="Times New Roman" w:cs="Times New Roman" w:eastAsia="Times New Roman" w:hAnsi="Times New Roman"/>
          <w:sz w:val="22"/>
          <w:szCs w:val="22"/>
          <w:color w:val="auto"/>
        </w:rPr>
      </w:pPr>
    </w:p>
    <w:p>
      <w:pPr>
        <w:ind w:firstLine="656"/>
        <w:spacing w:after="0" w:line="258" w:lineRule="auto"/>
        <w:tabs>
          <w:tab w:leader="none" w:pos="1291"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Inconsistent Agreements</w:t>
      </w:r>
      <w:r>
        <w:rPr>
          <w:rFonts w:ascii="Times New Roman" w:cs="Times New Roman" w:eastAsia="Times New Roman" w:hAnsi="Times New Roman"/>
          <w:sz w:val="21"/>
          <w:szCs w:val="21"/>
          <w:color w:val="auto"/>
        </w:rPr>
        <w:t>. The Company shall not, on or after the date hereof, enter into any agreement with respect to its securities that may impair the rights granted to Treasury and the Holders under this Section 4.5 or that otherwise conflicts with the provisions hereof in any manner that may impair the rights granted to Treasury and the Holders under this Section 4.5. In the event the Company has, prior to the date hereof, entered into any agreement with respect to its securities that is inconsistent with the rights granted to Treasury and the Holders under this Section 4.5 (including agreements that are inconsistent with the order of priority contemplated by Section 4.5(a)(vi)) or that may otherwise conflict with the provisions hereof, the Company shall use its reasonable best efforts to amend such agreements to ensure they are consistent with the provisions of this Section 4.5. Any transaction entered into by the Company that would reasonably be expected to require the inclusion in a Shelf Registration Statement or any Company Report filed with the SEC of any separate financial statements pursuant to Rule 3-05 of Regulation S-X or pro forma financial statements pursuant to Article 11 of Regulation S-X shall include provisions requiring the Company’s counterparty to provide any information necessary to allow the Company to comply with its obligation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56" w:name="page57"/>
    <w:bookmarkEnd w:id="56"/>
    <w:p>
      <w:pPr>
        <w:ind w:firstLine="656"/>
        <w:spacing w:after="0" w:line="248" w:lineRule="auto"/>
        <w:tabs>
          <w:tab w:leader="none" w:pos="129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Offerings by Treasury</w:t>
      </w:r>
      <w:r>
        <w:rPr>
          <w:rFonts w:ascii="Times New Roman" w:cs="Times New Roman" w:eastAsia="Times New Roman" w:hAnsi="Times New Roman"/>
          <w:sz w:val="22"/>
          <w:szCs w:val="22"/>
          <w:color w:val="auto"/>
        </w:rPr>
        <w:t>. In the case of any securities held by Treasury that cease to be Registrable Securities solely by reason of clause (2) in the definition of “Registrable Securities,” the provisions of Sections 4.5(a)(ii), clauses (iv), (ix) and (x)-(xii) of Section 4.5(c), Section 4.5(g) and Section 4.5(i) shall continue to apply until such securities otherwise cease to be Registrable Securities. In any such case, an “underwritten” offering or other disposition shall include any distribution of such securities on behalf of Treasury by one or more broker-dealers, an “underwriting agreement” shall include any purchase agreement entered into by such broker-dealers, and any “registration statement” or “prospectus” shall include any offering document approved by the Company and used in connection with such distribution.</w:t>
      </w:r>
    </w:p>
    <w:p>
      <w:pPr>
        <w:spacing w:after="0" w:line="181" w:lineRule="exact"/>
        <w:rPr>
          <w:rFonts w:ascii="Times New Roman" w:cs="Times New Roman" w:eastAsia="Times New Roman" w:hAnsi="Times New Roman"/>
          <w:sz w:val="22"/>
          <w:szCs w:val="22"/>
          <w:color w:val="auto"/>
        </w:rPr>
      </w:pPr>
    </w:p>
    <w:p>
      <w:pPr>
        <w:ind w:right="320" w:firstLine="656"/>
        <w:spacing w:after="0" w:line="265" w:lineRule="auto"/>
        <w:tabs>
          <w:tab w:leader="none" w:pos="1291"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Registered Sales of the Warrants</w:t>
      </w:r>
      <w:r>
        <w:rPr>
          <w:rFonts w:ascii="Times New Roman" w:cs="Times New Roman" w:eastAsia="Times New Roman" w:hAnsi="Times New Roman"/>
          <w:sz w:val="21"/>
          <w:szCs w:val="21"/>
          <w:color w:val="auto"/>
        </w:rPr>
        <w:t>. The Holders agree to sell the Warrants or any portion thereof under the Shelf Registration Statement only beginning 30 days after notifying the Company of any such sale, during which 30-day period Treasury and all Holders of the Warrants shall take reasonable steps to agree to revisions to the Warrants, at the expense of the Company, to permit a public distribution of the Warrants, including entering into a revised warrant agreement, appointing a warrant agent, and making the securities eligible for book entry clearing and settlement at the Depositary Trust Company.</w:t>
      </w:r>
    </w:p>
    <w:p>
      <w:pPr>
        <w:spacing w:after="0" w:line="165"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Voting of Warrant Shares</w:t>
      </w:r>
      <w:r>
        <w:rPr>
          <w:rFonts w:ascii="Times New Roman" w:cs="Times New Roman" w:eastAsia="Times New Roman" w:hAnsi="Times New Roman"/>
          <w:sz w:val="22"/>
          <w:szCs w:val="22"/>
          <w:color w:val="auto"/>
        </w:rPr>
        <w:t>. Notwithstanding anything in this Agreement to the contrary, Treasury shall not exercise any voting rights with respect to the Warrant Shares.</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Article V</w:t>
      </w:r>
    </w:p>
    <w:p>
      <w:pPr>
        <w:spacing w:after="0" w:line="2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28"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Survival of Representations and Warranties</w:t>
      </w:r>
      <w:r>
        <w:rPr>
          <w:rFonts w:ascii="Times New Roman" w:cs="Times New Roman" w:eastAsia="Times New Roman" w:hAnsi="Times New Roman"/>
          <w:sz w:val="22"/>
          <w:szCs w:val="22"/>
          <w:color w:val="auto"/>
        </w:rPr>
        <w:t>. The representations and warranties of the Company made herein or in any certificates delivered in connection with the Initial Closing or any subsequent Closing shall survive such Closing without limitation.</w:t>
      </w:r>
    </w:p>
    <w:p>
      <w:pPr>
        <w:spacing w:after="0" w:line="173" w:lineRule="exact"/>
        <w:rPr>
          <w:sz w:val="20"/>
          <w:szCs w:val="20"/>
          <w:color w:val="auto"/>
        </w:rPr>
      </w:pPr>
    </w:p>
    <w:p>
      <w:pPr>
        <w:ind w:right="60" w:firstLine="648"/>
        <w:spacing w:after="0" w:line="248"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No amendment of any provision of this Agreement will be effective unless made in writing and signed by an officer or a duly authorized representative of each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Treasury may unilaterally amend any provision of this Agreement to the extent required to comply with any changes after the date hereof in applicable federal statutes. No failure or delay by any party in exercising any right, power or privilege hereunder shall operate as a waiver thereof nor shall any single or partial exercise thereof preclude any other or further exercise of any other right, power or privilege. The rights and remedies herein provided shall be cumulative of any rights or remedies provided by law.</w:t>
      </w:r>
    </w:p>
    <w:p>
      <w:pPr>
        <w:spacing w:after="0" w:line="187" w:lineRule="exact"/>
        <w:rPr>
          <w:sz w:val="20"/>
          <w:szCs w:val="20"/>
          <w:color w:val="auto"/>
        </w:rPr>
      </w:pPr>
    </w:p>
    <w:p>
      <w:pPr>
        <w:ind w:right="300" w:firstLine="648"/>
        <w:spacing w:after="0" w:line="271"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Waiver of Conditions</w:t>
      </w:r>
      <w:r>
        <w:rPr>
          <w:rFonts w:ascii="Times New Roman" w:cs="Times New Roman" w:eastAsia="Times New Roman" w:hAnsi="Times New Roman"/>
          <w:sz w:val="22"/>
          <w:szCs w:val="22"/>
          <w:color w:val="auto"/>
        </w:rPr>
        <w:t>. No waiver will be effective unless it is in a writing signed by a duly authorized officer of the waiving party that makes express reference to the provision or provisions subject to such waiver.</w:t>
      </w:r>
    </w:p>
    <w:p>
      <w:pPr>
        <w:spacing w:after="0" w:line="154"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b w:val="1"/>
          <w:bCs w:val="1"/>
          <w:u w:val="single" w:color="auto"/>
          <w:color w:val="auto"/>
        </w:rPr>
        <w:t>Governing Law: Submission to Jurisdiction, Etc.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This Agreement will be governed by and construed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accordance with the federal law of the United States if and to the extent such law is applicable, and otherwise in accordance with the laws of the State of New York applicable to contracts made and to be performed entirely within such State. Each of the parties hereto agrees (a) to submit to the exclusive jurisdiction and venue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57" w:name="page58"/>
    <w:bookmarkEnd w:id="57"/>
    <w:p>
      <w:pPr>
        <w:spacing w:after="0" w:line="263" w:lineRule="auto"/>
        <w:rPr>
          <w:sz w:val="20"/>
          <w:szCs w:val="20"/>
          <w:color w:val="auto"/>
        </w:rPr>
      </w:pPr>
      <w:r>
        <w:rPr>
          <w:rFonts w:ascii="Times New Roman" w:cs="Times New Roman" w:eastAsia="Times New Roman" w:hAnsi="Times New Roman"/>
          <w:sz w:val="21"/>
          <w:szCs w:val="21"/>
          <w:b w:val="1"/>
          <w:bCs w:val="1"/>
          <w:color w:val="auto"/>
        </w:rPr>
        <w:t>United States District Court for the District of Columbia and the United States Court of Federal Claims for any and all civil actions, suits or proceedings arising out of or relating to this Agreement or the Warrants or the transactions contemplated hereby or thereby, and (b) that notice may be served upon (i) the Company at the address and in the manner set forth for notices to the Company in Section 5.5 and (ii) Treasury in accordance with federal law. To the extent permitted by applicable law, each of the parties hereto hereby unconditionally waives trial by jury in any civil legal action or proceeding relating to this Agreement or the Warrants or the transactions contemplated hereby or thereby.</w:t>
      </w:r>
    </w:p>
    <w:p>
      <w:pPr>
        <w:spacing w:after="0" w:line="171"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request, instruction or other document to be given hereunder by any party to the other will be in writing and will be deemed to have been duly given (a) on the date of delivery if delivered personally, or by facsimile, upon confirmation of receipt, or (b) on the second Business Day following the date of dispatch if delivered by a recognized next day courier service. All notices to the Company shall be delivered as set forth below, or pursuant to such other instruction as may be designated in writing by the Company to Treasury. All notices to Treasury shall be delivered as set forth below, or pursuant to such other instructions as may be designated in writing by Treasury to the Company.</w:t>
      </w:r>
    </w:p>
    <w:p>
      <w:pPr>
        <w:spacing w:after="0" w:line="18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233 South Wacker Drive</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Chicago, Illinois 60606</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Treasurer</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Telephone: [ ]</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Facsimile: [ ]</w:t>
      </w:r>
    </w:p>
    <w:p>
      <w:pPr>
        <w:spacing w:after="0" w:line="22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If to Treasury:</w:t>
      </w:r>
    </w:p>
    <w:p>
      <w:pPr>
        <w:spacing w:after="0" w:line="22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United States Department of the Treasury</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1500 Pennsylvania Avenue, NW, Room 2312</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Washington, D.C. 20220</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Assistant General Counsel (Banking and Finance)</w:t>
      </w:r>
    </w:p>
    <w:p>
      <w:pPr>
        <w:spacing w:after="0" w:line="34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100" w:firstLine="656"/>
        <w:spacing w:after="0" w:line="268" w:lineRule="auto"/>
        <w:tabs>
          <w:tab w:leader="none" w:pos="1293"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3"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has the meaning ascribed thereto in the Promissory Note.</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has the meaning ascribed thereto in the Promissory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00"/>
          </w:cols>
          <w:pgMar w:left="320" w:top="1418" w:right="379" w:bottom="1440" w:gutter="0" w:footer="0" w:header="0"/>
        </w:sectPr>
      </w:pPr>
    </w:p>
    <w:bookmarkStart w:id="58" w:name="page59"/>
    <w:bookmarkEnd w:id="58"/>
    <w:p>
      <w:pPr>
        <w:ind w:right="80" w:firstLine="656"/>
        <w:spacing w:after="0" w:line="250" w:lineRule="auto"/>
        <w:tabs>
          <w:tab w:leader="none" w:pos="129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a material adverse change in, or a material adverse effect on, the operations, business, properties, liabilities (actual or contingent), condition (financial or otherwise) or prospects of the Company and its Subsidiaries taken as a whole; or (b) a material adverse effect on (i) the ability of the Company to perform its obligations under this Agreement or any Warrant or (ii) the legality, validity, binding effect or enforceability against the Company of this Agreement or any Warrant to which it is a party.</w:t>
      </w:r>
    </w:p>
    <w:p>
      <w:pPr>
        <w:spacing w:after="0" w:line="18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has the meaning ascribed thereto in the Promissory Note.</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has the meaning ascribed thereto in the Promissory Note.</w:t>
      </w:r>
    </w:p>
    <w:p>
      <w:pPr>
        <w:spacing w:after="0" w:line="22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Neither this Agreement nor any right, remedy, obligation nor liability arising hereunder or by reason hereof shall be assignable by any party hereto without the prior written consent of the other party, and any attempt to assign any right, remedy, obligation or liability hereunder without such consent shall be void, except (a) an assignment, in the case of a Business Combination where such party is not the surviving entity, or a sale of substantially all of its assets, to the entity which is the survivor of such Business Combination or the purchaser in such sale and (b) as provided in Section 4.5.</w:t>
      </w:r>
    </w:p>
    <w:p>
      <w:pPr>
        <w:spacing w:after="0" w:line="181" w:lineRule="exact"/>
        <w:rPr>
          <w:sz w:val="20"/>
          <w:szCs w:val="20"/>
          <w:color w:val="auto"/>
        </w:rPr>
      </w:pPr>
    </w:p>
    <w:p>
      <w:pPr>
        <w:ind w:right="40" w:firstLine="648"/>
        <w:spacing w:after="0" w:line="248"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or the Warrants, or the application thereof to any person or circumstance, is determined by a court of competent jurisdiction to be invalid, void or unenforceable, the remaining provisions hereof, or the application of such provision to persons or circumstances other than those as to which it has been held invalid or unenforceable, will remain in full force and effect and shall in no way be affected, impaired or invalidated thereby, so long as the economic or legal substance of the transactions contemplated hereby is not affected in any manner materially adverse to any party. Upon such determination, the parties shall negotiate in good faith in an effort to agree upon a suitable and equitable substitute provision to effect the original intent of the parties.</w:t>
      </w:r>
    </w:p>
    <w:p>
      <w:pPr>
        <w:spacing w:after="0" w:line="182" w:lineRule="exact"/>
        <w:rPr>
          <w:sz w:val="20"/>
          <w:szCs w:val="20"/>
          <w:color w:val="auto"/>
        </w:rPr>
      </w:pPr>
    </w:p>
    <w:p>
      <w:pPr>
        <w:ind w:right="280" w:firstLine="648"/>
        <w:spacing w:after="0" w:line="257"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u w:val="single" w:color="auto"/>
          <w:color w:val="auto"/>
        </w:rPr>
        <w:t>No Third Party Beneficiaries</w:t>
      </w:r>
      <w:r>
        <w:rPr>
          <w:rFonts w:ascii="Times New Roman" w:cs="Times New Roman" w:eastAsia="Times New Roman" w:hAnsi="Times New Roman"/>
          <w:sz w:val="22"/>
          <w:szCs w:val="22"/>
          <w:color w:val="auto"/>
        </w:rPr>
        <w:t>. Nothing contained in this Agreement, expressed or implied, is intended to confer upon any person or entity other than the Company and Treasury any benefit, right or remedies, except that the provisions of Section 4.5 shall inure to the benefit of the persons referred to in that Section.</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 * *</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180"/>
          </w:cols>
          <w:pgMar w:left="320" w:top="1422" w:right="399" w:bottom="1440" w:gutter="0" w:footer="0" w:header="0"/>
        </w:sectPr>
      </w:pPr>
    </w:p>
    <w:bookmarkStart w:id="59" w:name="page60"/>
    <w:bookmarkEnd w:id="59"/>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by their respective officers thereunto duly authorized, as of the date first above written.</w:t>
      </w:r>
    </w:p>
    <w:p>
      <w:pPr>
        <w:spacing w:after="0" w:line="36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THE UNITED STATES DEPARTMENT OF THE</w:t>
      </w:r>
    </w:p>
    <w:p>
      <w:pPr>
        <w:ind w:left="3900"/>
        <w:spacing w:after="0"/>
        <w:rPr>
          <w:sz w:val="20"/>
          <w:szCs w:val="20"/>
          <w:color w:val="auto"/>
        </w:rPr>
      </w:pPr>
      <w:r>
        <w:rPr>
          <w:rFonts w:ascii="Times New Roman" w:cs="Times New Roman" w:eastAsia="Times New Roman" w:hAnsi="Times New Roman"/>
          <w:sz w:val="22"/>
          <w:szCs w:val="22"/>
          <w:color w:val="auto"/>
        </w:rPr>
        <w:t>TREASURY</w:t>
      </w:r>
    </w:p>
    <w:p>
      <w:pPr>
        <w:spacing w:after="0" w:line="2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Steven Mnuchin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1010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1101090"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Steven Mnuchin</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0" w:lineRule="exact"/>
        <w:rPr>
          <w:sz w:val="20"/>
          <w:szCs w:val="20"/>
          <w:color w:val="auto"/>
        </w:rPr>
      </w:pPr>
    </w:p>
    <w:p>
      <w:pPr>
        <w:spacing w:after="0" w:line="2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UNITED AIRLINES HOLDINGS, INC.</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1614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116141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Gerald Laderman</w:t>
      </w:r>
    </w:p>
    <w:p>
      <w:pPr>
        <w:spacing w:after="0" w:line="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Title: Executive Vice President and Chief Financial Officer</w:t>
      </w:r>
    </w:p>
    <w:p>
      <w:pPr>
        <w:sectPr>
          <w:pgSz w:w="11900" w:h="16838" w:orient="portrait"/>
          <w:cols w:equalWidth="0" w:num="1">
            <w:col w:w="11240"/>
          </w:cols>
          <w:pgMar w:left="320" w:top="1422"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2"/>
          <w:szCs w:val="22"/>
          <w:b w:val="1"/>
          <w:bCs w:val="1"/>
          <w:color w:val="auto"/>
        </w:rPr>
        <w:t>ANNEX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 OPINION</w:t>
      </w:r>
    </w:p>
    <w:p>
      <w:pPr>
        <w:spacing w:after="0" w:line="200" w:lineRule="exact"/>
        <w:rPr>
          <w:sz w:val="20"/>
          <w:szCs w:val="20"/>
          <w:color w:val="auto"/>
        </w:rPr>
      </w:pPr>
    </w:p>
    <w:p>
      <w:pPr>
        <w:spacing w:after="0" w:line="240" w:lineRule="exact"/>
        <w:rPr>
          <w:sz w:val="20"/>
          <w:szCs w:val="20"/>
          <w:color w:val="auto"/>
        </w:rPr>
      </w:pPr>
    </w:p>
    <w:p>
      <w:pPr>
        <w:ind w:right="120" w:firstLine="656"/>
        <w:spacing w:after="0" w:line="271" w:lineRule="auto"/>
        <w:tabs>
          <w:tab w:leader="none" w:pos="129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been duly incorporated and is validly existing as a corporation in good standing under the laws of the state of its incorporation.</w:t>
      </w:r>
    </w:p>
    <w:p>
      <w:pPr>
        <w:spacing w:after="0" w:line="157" w:lineRule="exact"/>
        <w:rPr>
          <w:rFonts w:ascii="Times New Roman" w:cs="Times New Roman" w:eastAsia="Times New Roman" w:hAnsi="Times New Roman"/>
          <w:sz w:val="22"/>
          <w:szCs w:val="22"/>
          <w:color w:val="auto"/>
        </w:rPr>
      </w:pPr>
    </w:p>
    <w:p>
      <w:pPr>
        <w:ind w:right="20" w:firstLine="656"/>
        <w:spacing w:after="0" w:line="250" w:lineRule="auto"/>
        <w:tabs>
          <w:tab w:leader="none" w:pos="129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Warrants has been duly authorized and, when executed and delivered as contemplated by the Agreement, will constitute a valid and legally binding obligation of the Company enforceable against the Company in accordance with its terms, except as the same may be limited by applicable bankruptcy, insolvency, reorganization, moratorium or similar laws affecting the enforcement of creditors’ rights generally and general equitable principles, regardless of whether such enforceability is considered in a proceeding at law or in equity.</w:t>
      </w:r>
    </w:p>
    <w:p>
      <w:pPr>
        <w:spacing w:after="0" w:line="180" w:lineRule="exact"/>
        <w:rPr>
          <w:rFonts w:ascii="Times New Roman" w:cs="Times New Roman" w:eastAsia="Times New Roman" w:hAnsi="Times New Roman"/>
          <w:sz w:val="22"/>
          <w:szCs w:val="22"/>
          <w:color w:val="auto"/>
        </w:rPr>
      </w:pPr>
    </w:p>
    <w:p>
      <w:pPr>
        <w:jc w:val="both"/>
        <w:ind w:right="200" w:firstLine="656"/>
        <w:spacing w:after="0" w:line="252" w:lineRule="auto"/>
        <w:tabs>
          <w:tab w:leader="none" w:pos="129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shares of Common Stock issuable upon exercise of the Warrants have been duly authorized and reserved for issuance upon exercise of the Warrants and when so issued in accordance with the terms of the Warrants will be validly issued, fully paid and non-assessable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insert, if applicable:</w:t>
      </w:r>
      <w:r>
        <w:rPr>
          <w:rFonts w:ascii="Times New Roman" w:cs="Times New Roman" w:eastAsia="Times New Roman" w:hAnsi="Times New Roman"/>
          <w:sz w:val="22"/>
          <w:szCs w:val="22"/>
          <w:color w:val="auto"/>
        </w:rPr>
        <w:t xml:space="preserve"> , subject to the approvals of the Company’s stockholders set forth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b w:val="1"/>
          <w:bCs w:val="1"/>
          <w:u w:val="single" w:color="auto"/>
          <w:color w:val="auto"/>
        </w:rPr>
        <w:t>]</w:t>
      </w:r>
      <w:r>
        <w:rPr>
          <w:rFonts w:ascii="Times New Roman" w:cs="Times New Roman" w:eastAsia="Times New Roman" w:hAnsi="Times New Roman"/>
          <w:sz w:val="22"/>
          <w:szCs w:val="22"/>
          <w:u w:val="single" w:color="auto"/>
          <w:color w:val="auto"/>
        </w:rPr>
        <w:t>.</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the corporate power and authority to execute and deliver the Agreement and the Warrants and</w:t>
      </w:r>
    </w:p>
    <w:p>
      <w:pPr>
        <w:spacing w:after="0" w:line="28" w:lineRule="exact"/>
        <w:rPr>
          <w:sz w:val="20"/>
          <w:szCs w:val="20"/>
          <w:color w:val="auto"/>
        </w:rPr>
      </w:pPr>
    </w:p>
    <w:p>
      <w:pPr>
        <w:ind w:right="1000"/>
        <w:spacing w:after="0" w:line="248"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insert, if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subject to the approvals of the Company’s stockholders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carry out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thereunder (which includes the issuance of the Warrants and Warrant Shares).</w:t>
      </w:r>
    </w:p>
    <w:p>
      <w:pPr>
        <w:spacing w:after="0" w:line="182" w:lineRule="exact"/>
        <w:rPr>
          <w:sz w:val="20"/>
          <w:szCs w:val="20"/>
          <w:color w:val="auto"/>
        </w:rPr>
      </w:pPr>
    </w:p>
    <w:p>
      <w:pPr>
        <w:ind w:right="220" w:firstLine="656"/>
        <w:spacing w:after="0" w:line="252" w:lineRule="auto"/>
        <w:tabs>
          <w:tab w:leader="none" w:pos="129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execution, delivery and performance by the Company of the Agreement and the Warrants and the consummation of the transactions contemplated thereby have been duly authorized by all necessary corporate action on the part of the Company and its stockholders, and no further approval or authorization is required on the part of the Company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insert, if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applicable: </w:t>
      </w:r>
      <w:r>
        <w:rPr>
          <w:rFonts w:ascii="Times New Roman" w:cs="Times New Roman" w:eastAsia="Times New Roman" w:hAnsi="Times New Roman"/>
          <w:sz w:val="22"/>
          <w:szCs w:val="22"/>
          <w:color w:val="auto"/>
        </w:rPr>
        <w:t>, subject, in each case, to the approvals of the Company’s stockholders set forth 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100" w:firstLine="656"/>
        <w:spacing w:after="0" w:line="265" w:lineRule="auto"/>
        <w:tabs>
          <w:tab w:leader="none" w:pos="1296"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Agreement is a valid and binding obligation of the Company enforceable against the Company in accordance with its terms, except as the same may be limited by applicable bankruptcy, insolvency, reorganization, moratorium or similar laws affecting the enforcement of creditors’ rights generally and general equitable principles, regardless of whether such enforceability is considered in a proceeding at law or in equity;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such counsel need express no opinion with respect to Section 4.5(g) or the severability provisions of the Agreement insofar as Section 4.5(g) is concerned.</w:t>
      </w:r>
    </w:p>
    <w:p>
      <w:pPr>
        <w:spacing w:after="0" w:line="165" w:lineRule="exact"/>
        <w:rPr>
          <w:rFonts w:ascii="Times New Roman" w:cs="Times New Roman" w:eastAsia="Times New Roman" w:hAnsi="Times New Roman"/>
          <w:sz w:val="21"/>
          <w:szCs w:val="21"/>
          <w:color w:val="auto"/>
        </w:rPr>
      </w:pPr>
    </w:p>
    <w:p>
      <w:pPr>
        <w:ind w:right="40" w:firstLine="656"/>
        <w:spacing w:after="0" w:line="257" w:lineRule="auto"/>
        <w:tabs>
          <w:tab w:leader="none" w:pos="129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registration of the Warrant and the Common Stock issuable upon exercise of the Warrant under the U.S. Securities Act of 1933, as amended, is required for the offer and sale of the Warrant or the Common Stock issuable upon exercise of the Warrant by the Company to the Holder pursuant to and in the manner contemplated by this Agreement.</w:t>
      </w:r>
    </w:p>
    <w:p>
      <w:pPr>
        <w:sectPr>
          <w:pgSz w:w="11900" w:h="16838" w:orient="portrait"/>
          <w:cols w:equalWidth="0" w:num="1">
            <w:col w:w="11240"/>
          </w:cols>
          <w:pgMar w:left="320" w:top="1418" w:right="339" w:bottom="1440" w:gutter="0" w:footer="0" w:header="0"/>
        </w:sectPr>
      </w:pPr>
    </w:p>
    <w:bookmarkStart w:id="61" w:name="page62"/>
    <w:bookmarkEnd w:id="61"/>
    <w:p>
      <w:pPr>
        <w:ind w:left="-656" w:firstLine="656"/>
        <w:spacing w:after="0" w:line="271" w:lineRule="auto"/>
        <w:tabs>
          <w:tab w:leader="none" w:pos="63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not required to be registered as an investment company under the Investment Company Act of 1940, as amended.</w:t>
      </w:r>
    </w:p>
    <w:p>
      <w:pPr>
        <w:sectPr>
          <w:pgSz w:w="11900" w:h="16838" w:orient="portrait"/>
          <w:cols w:equalWidth="0" w:num="1">
            <w:col w:w="10264"/>
          </w:cols>
          <w:pgMar w:left="976" w:top="1422" w:right="65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2"/>
          <w:szCs w:val="22"/>
          <w:b w:val="1"/>
          <w:bCs w:val="1"/>
          <w:color w:val="auto"/>
        </w:rPr>
        <w:t>ANNEX B</w:t>
      </w:r>
    </w:p>
    <w:p>
      <w:pPr>
        <w:spacing w:after="0" w:line="22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u w:val="single" w:color="auto"/>
          <w:color w:val="auto"/>
        </w:rPr>
        <w:t>FORM OF WARRANT</w:t>
      </w:r>
    </w:p>
    <w:p>
      <w:pPr>
        <w:spacing w:after="0" w:line="200" w:lineRule="exact"/>
        <w:rPr>
          <w:sz w:val="20"/>
          <w:szCs w:val="20"/>
          <w:color w:val="auto"/>
        </w:rPr>
      </w:pPr>
    </w:p>
    <w:p>
      <w:pPr>
        <w:spacing w:after="0" w:line="24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[SEE ATTACHED]</w:t>
      </w:r>
    </w:p>
    <w:p>
      <w:pPr>
        <w:sectPr>
          <w:pgSz w:w="11900" w:h="16838" w:orient="portrait"/>
          <w:cols w:equalWidth="0" w:num="1">
            <w:col w:w="10120"/>
          </w:cols>
          <w:pgMar w:left="1440" w:top="1418"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 WARRANT TO PURCHASE COMMON STOCK</w:t>
      </w:r>
    </w:p>
    <w:p>
      <w:pPr>
        <w:spacing w:after="0" w:line="22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2"/>
          <w:szCs w:val="22"/>
          <w:color w:val="auto"/>
        </w:rPr>
        <w:t>THE SECURITIES REPRESENTED BY THIS INSTRUMENT HAVE NOT BEEN REGISTERED UNDER THE SECURITIES ACT OF 1933, AS AMENDED, OR THE SECURITIES LAWS OF ANY STATE AND MAY NOT BE TRANSFERRED, SOLD OR OTHERWISE DISPOSED OF EXCEPT WHILE A REGISTRATION STATEMENT RELATING THERETO IS IN EFFECT UNDER SUCH ACT AND APPLICABLE STATE SECURITIES LAWS OR PURSUANT TO AN EXEMPTION FROM REGISTRATION UNDER SUCH ACT AND SUCH LAWS.</w:t>
      </w:r>
    </w:p>
    <w:p>
      <w:pPr>
        <w:spacing w:after="0" w:line="39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WARRANT</w:t>
      </w:r>
    </w:p>
    <w:p>
      <w:pPr>
        <w:spacing w:after="0" w:line="3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184150</wp:posOffset>
            </wp:positionV>
            <wp:extent cx="22199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Shares of Common Stock</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United Airlines Holdings, Inc.</w:t>
      </w:r>
    </w:p>
    <w:p>
      <w:pPr>
        <w:spacing w:after="0" w:line="25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Issue Date:</w:t>
      </w:r>
    </w:p>
    <w:p>
      <w:pPr>
        <w:spacing w:after="0" w:line="247" w:lineRule="exact"/>
        <w:rPr>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Unless the context otherwise requires, when used herein the following terms shall have the meanings</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indicated.</w:t>
      </w:r>
    </w:p>
    <w:p>
      <w:pPr>
        <w:spacing w:after="0" w:line="19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Affiliate</w:t>
      </w:r>
      <w:r>
        <w:rPr>
          <w:rFonts w:ascii="Times New Roman" w:cs="Times New Roman" w:eastAsia="Times New Roman" w:hAnsi="Times New Roman"/>
          <w:sz w:val="22"/>
          <w:szCs w:val="22"/>
          <w:color w:val="auto"/>
        </w:rPr>
        <w:t>” means, with respect to any person, any person directly or indirectly controlling, controlled by or under common control with, such other person. For purposes of this definition,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(including, with correlative meanings, the terms “</w:t>
      </w:r>
      <w:r>
        <w:rPr>
          <w:rFonts w:ascii="Times New Roman" w:cs="Times New Roman" w:eastAsia="Times New Roman" w:hAnsi="Times New Roman"/>
          <w:sz w:val="22"/>
          <w:szCs w:val="22"/>
          <w:u w:val="single" w:color="auto"/>
          <w:color w:val="auto"/>
        </w:rPr>
        <w:t>controlled by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under common control with</w:t>
      </w:r>
      <w:r>
        <w:rPr>
          <w:rFonts w:ascii="Times New Roman" w:cs="Times New Roman" w:eastAsia="Times New Roman" w:hAnsi="Times New Roman"/>
          <w:sz w:val="22"/>
          <w:szCs w:val="22"/>
          <w:color w:val="auto"/>
        </w:rPr>
        <w:t>”) when used with respect to any person, means the possession, directly or indirectly, of the power to cause the direction of management and/or policies of such person, whether through the ownership of voting securities by contract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Aggregate Net Cash Settlement Amount</w:t>
      </w:r>
      <w:r>
        <w:rPr>
          <w:rFonts w:ascii="Times New Roman" w:cs="Times New Roman" w:eastAsia="Times New Roman" w:hAnsi="Times New Roman"/>
          <w:sz w:val="22"/>
          <w:szCs w:val="22"/>
          <w:color w:val="auto"/>
        </w:rPr>
        <w:t>” has the meaning ascribed thereto in Section 2(i).</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Aggregate Net Share Settlement Amount</w:t>
      </w:r>
      <w:r>
        <w:rPr>
          <w:rFonts w:ascii="Times New Roman" w:cs="Times New Roman" w:eastAsia="Times New Roman" w:hAnsi="Times New Roman"/>
          <w:sz w:val="22"/>
          <w:szCs w:val="22"/>
          <w:color w:val="auto"/>
        </w:rPr>
        <w:t>” has the meaning ascribed thereto in Section 2(ii).</w:t>
      </w:r>
    </w:p>
    <w:p>
      <w:pPr>
        <w:spacing w:after="0" w:line="220"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Appraisal Procedure</w:t>
      </w:r>
      <w:r>
        <w:rPr>
          <w:rFonts w:ascii="Times New Roman" w:cs="Times New Roman" w:eastAsia="Times New Roman" w:hAnsi="Times New Roman"/>
          <w:sz w:val="22"/>
          <w:szCs w:val="22"/>
          <w:color w:val="auto"/>
        </w:rPr>
        <w:t>” means a procedure whereby two independent appraisers, one chosen by the Company and one by the Original Warrantholder, shall mutually agree upon the determinations then the subject of appraisal. Each party shall deliver a notice to the other appointing its appraiser within 10 days after the Appraisal Procedure is invoked. If within 30 days after appointment of the two appraisers they are unable to agree upon the amount in question, a third independent appraiser shall be chosen within 10 days thereafter by the mutual consent of such first two appraisers. The decision of the third appraiser so appointed and chosen shall be given within 30 days after the selection of such third appraiser. If three appraisers shall be appointed and the determination of one appraiser is disparate from the middle determination by more than twice the amount by which the other determination is disparate from the middle</w:t>
      </w:r>
    </w:p>
    <w:p>
      <w:pPr>
        <w:sectPr>
          <w:pgSz w:w="11900" w:h="16838" w:orient="portrait"/>
          <w:cols w:equalWidth="0" w:num="1">
            <w:col w:w="11220"/>
          </w:cols>
          <w:pgMar w:left="320" w:top="1418" w:right="359" w:bottom="1440" w:gutter="0" w:footer="0" w:header="0"/>
        </w:sectPr>
      </w:pPr>
    </w:p>
    <w:bookmarkStart w:id="64" w:name="page65"/>
    <w:bookmarkEnd w:id="64"/>
    <w:p>
      <w:pPr>
        <w:ind w:right="140"/>
        <w:spacing w:after="0" w:line="252" w:lineRule="auto"/>
        <w:rPr>
          <w:sz w:val="20"/>
          <w:szCs w:val="20"/>
          <w:color w:val="auto"/>
        </w:rPr>
      </w:pPr>
      <w:r>
        <w:rPr>
          <w:rFonts w:ascii="Times New Roman" w:cs="Times New Roman" w:eastAsia="Times New Roman" w:hAnsi="Times New Roman"/>
          <w:sz w:val="22"/>
          <w:szCs w:val="22"/>
          <w:color w:val="auto"/>
        </w:rPr>
        <w:t>determination, then the determination of such appraiser shall be excluded, the remaining two determinations shall be averaged and such average shall be binding and conclusive upon the Company and the Original Warrantholder; otherwise, the average of all three determinations shall be binding upon the Company and the Original Warrantholder. The costs of conducting any Appraisal Procedure shall be borne by the Company.</w:t>
      </w:r>
    </w:p>
    <w:p>
      <w:pPr>
        <w:spacing w:after="0" w:line="175" w:lineRule="exact"/>
        <w:rPr>
          <w:sz w:val="20"/>
          <w:szCs w:val="20"/>
          <w:color w:val="auto"/>
        </w:rPr>
      </w:pPr>
    </w:p>
    <w:p>
      <w:pPr>
        <w:ind w:firstLine="648"/>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Average Market Price</w:t>
      </w:r>
      <w:r>
        <w:rPr>
          <w:rFonts w:ascii="Times New Roman" w:cs="Times New Roman" w:eastAsia="Times New Roman" w:hAnsi="Times New Roman"/>
          <w:sz w:val="21"/>
          <w:szCs w:val="21"/>
          <w:color w:val="auto"/>
        </w:rPr>
        <w:t>” means, with respect to any security, the arithmetic average of the Market Price of such security for the 15 consecutive trading day period ending on and including the trading day immediately preceding the determination date.</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Board of Directors</w:t>
      </w:r>
      <w:r>
        <w:rPr>
          <w:rFonts w:ascii="Times New Roman" w:cs="Times New Roman" w:eastAsia="Times New Roman" w:hAnsi="Times New Roman"/>
          <w:sz w:val="22"/>
          <w:szCs w:val="22"/>
          <w:color w:val="auto"/>
        </w:rPr>
        <w:t>” means the board of directors of the Company, including any duly authorized committee thereof.</w:t>
      </w:r>
    </w:p>
    <w:p>
      <w:pPr>
        <w:spacing w:after="0" w:line="220"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Business Combination</w:t>
      </w:r>
      <w:r>
        <w:rPr>
          <w:rFonts w:ascii="Times New Roman" w:cs="Times New Roman" w:eastAsia="Times New Roman" w:hAnsi="Times New Roman"/>
          <w:sz w:val="22"/>
          <w:szCs w:val="22"/>
          <w:color w:val="auto"/>
        </w:rPr>
        <w:t>” means a merger, consolidation, statutory share exchange or similar transaction that requires the approval of the Company’s stockholders.</w:t>
      </w:r>
    </w:p>
    <w:p>
      <w:pPr>
        <w:spacing w:after="0" w:line="149"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Business Day</w:t>
      </w:r>
      <w:r>
        <w:rPr>
          <w:rFonts w:ascii="Times New Roman" w:cs="Times New Roman" w:eastAsia="Times New Roman" w:hAnsi="Times New Roman"/>
          <w:sz w:val="22"/>
          <w:szCs w:val="22"/>
          <w:color w:val="auto"/>
        </w:rPr>
        <w:t xml:space="preserve">” means any day except Saturday, Sunday and any day on which banking institutions in the State of New York generally are authorized or required by law or other governmental actions to close;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banks shall be deemed to be generally open for business in the event of a “shelter in place” or similar closure of physical branch locations at the direction of any governmental entity if such banks’ electronic funds transfer system (including wire transfers) are open for use by customers on such day.</w:t>
      </w:r>
    </w:p>
    <w:p>
      <w:pPr>
        <w:spacing w:after="0" w:line="176" w:lineRule="exact"/>
        <w:rPr>
          <w:sz w:val="20"/>
          <w:szCs w:val="20"/>
          <w:color w:val="auto"/>
        </w:rPr>
      </w:pPr>
    </w:p>
    <w:p>
      <w:pPr>
        <w:ind w:right="30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Capital Stock</w:t>
      </w:r>
      <w:r>
        <w:rPr>
          <w:rFonts w:ascii="Times New Roman" w:cs="Times New Roman" w:eastAsia="Times New Roman" w:hAnsi="Times New Roman"/>
          <w:sz w:val="22"/>
          <w:szCs w:val="22"/>
          <w:color w:val="auto"/>
        </w:rPr>
        <w:t>” means (A) with respect to any Person that is a corporation or company, any and all shares, interests, participations or other equivalents (however designated) of capital or capital stock of such Person and (B) with respect to any Person that is not a corporation or company, any and all partnership or other equity interests of such Person.</w:t>
      </w:r>
    </w:p>
    <w:p>
      <w:pPr>
        <w:spacing w:after="0" w:line="166"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Charter</w:t>
      </w:r>
      <w:r>
        <w:rPr>
          <w:rFonts w:ascii="Times New Roman" w:cs="Times New Roman" w:eastAsia="Times New Roman" w:hAnsi="Times New Roman"/>
          <w:sz w:val="22"/>
          <w:szCs w:val="22"/>
          <w:color w:val="auto"/>
        </w:rPr>
        <w:t>” means, with respect to any Person, its certificate or articles of incorporation, articles of association, or similar organizational document.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Common Stock</w:t>
      </w:r>
      <w:r>
        <w:rPr>
          <w:rFonts w:ascii="Times New Roman" w:cs="Times New Roman" w:eastAsia="Times New Roman" w:hAnsi="Times New Roman"/>
          <w:sz w:val="22"/>
          <w:szCs w:val="22"/>
          <w:color w:val="auto"/>
        </w:rPr>
        <w:t>” means common stock of the Company, par value $0.01 subject to adjustment as provided in Section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13(E).</w:t>
      </w:r>
    </w:p>
    <w:p>
      <w:pPr>
        <w:spacing w:after="0" w:line="192"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the Person whose name, corporate or other organizational form and jurisdiction of organization is set forth in Item 1 of Schedule A hereto.</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conversion</w:t>
      </w:r>
      <w:r>
        <w:rPr>
          <w:rFonts w:ascii="Times New Roman" w:cs="Times New Roman" w:eastAsia="Times New Roman" w:hAnsi="Times New Roman"/>
          <w:sz w:val="22"/>
          <w:szCs w:val="22"/>
          <w:color w:val="auto"/>
        </w:rPr>
        <w:t>” has the meaning set forth in Section 13(B).</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convertible securities</w:t>
      </w:r>
      <w:r>
        <w:rPr>
          <w:rFonts w:ascii="Times New Roman" w:cs="Times New Roman" w:eastAsia="Times New Roman" w:hAnsi="Times New Roman"/>
          <w:sz w:val="22"/>
          <w:szCs w:val="22"/>
          <w:color w:val="auto"/>
        </w:rPr>
        <w:t>” has the meaning set forth in Section 13(B).</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Depositary</w:t>
      </w:r>
      <w:r>
        <w:rPr>
          <w:rFonts w:ascii="Times New Roman" w:cs="Times New Roman" w:eastAsia="Times New Roman" w:hAnsi="Times New Roman"/>
          <w:sz w:val="22"/>
          <w:szCs w:val="22"/>
          <w:color w:val="auto"/>
        </w:rPr>
        <w:t>” means The Depositary Trust Company, its nominees and their respective successors.</w:t>
      </w:r>
    </w:p>
    <w:p>
      <w:pPr>
        <w:spacing w:after="0" w:line="220" w:lineRule="exact"/>
        <w:rPr>
          <w:sz w:val="20"/>
          <w:szCs w:val="20"/>
          <w:color w:val="auto"/>
        </w:rPr>
      </w:pPr>
    </w:p>
    <w:p>
      <w:pPr>
        <w:ind w:right="4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Exchange Act</w:t>
      </w:r>
      <w:r>
        <w:rPr>
          <w:rFonts w:ascii="Times New Roman" w:cs="Times New Roman" w:eastAsia="Times New Roman" w:hAnsi="Times New Roman"/>
          <w:sz w:val="22"/>
          <w:szCs w:val="22"/>
          <w:color w:val="auto"/>
        </w:rPr>
        <w:t>” means the Securities Exchange Act of 1934, as amended, or any successor statute, and the rules and regulations promulgated thereunder.</w:t>
      </w:r>
    </w:p>
    <w:p>
      <w:pPr>
        <w:sectPr>
          <w:pgSz w:w="11900" w:h="16838" w:orient="portrait"/>
          <w:cols w:equalWidth="0" w:num="1">
            <w:col w:w="11140"/>
          </w:cols>
          <w:pgMar w:left="320" w:top="1422" w:right="439" w:bottom="1440" w:gutter="0" w:footer="0" w:header="0"/>
        </w:sectPr>
      </w:pPr>
    </w:p>
    <w:bookmarkStart w:id="65" w:name="page66"/>
    <w:bookmarkEnd w:id="65"/>
    <w:p>
      <w:pPr>
        <w:ind w:right="70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Exercise Date</w:t>
      </w:r>
      <w:r>
        <w:rPr>
          <w:rFonts w:ascii="Times New Roman" w:cs="Times New Roman" w:eastAsia="Times New Roman" w:hAnsi="Times New Roman"/>
          <w:sz w:val="22"/>
          <w:szCs w:val="22"/>
          <w:color w:val="auto"/>
        </w:rPr>
        <w:t>” means each date a Notice of Exercise substantially in the form annexed hereto is delivered to the Company in accordance with Section 2 hereof.</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Exercise Price</w:t>
      </w:r>
      <w:r>
        <w:rPr>
          <w:rFonts w:ascii="Times New Roman" w:cs="Times New Roman" w:eastAsia="Times New Roman" w:hAnsi="Times New Roman"/>
          <w:sz w:val="22"/>
          <w:szCs w:val="22"/>
          <w:color w:val="auto"/>
        </w:rPr>
        <w:t>” means the amount set forth in Item 2 of Schedule A hereto, subject to adjustment as contemplated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herein.</w:t>
      </w:r>
    </w:p>
    <w:p>
      <w:pPr>
        <w:spacing w:after="0" w:line="192"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Fair Market Value</w:t>
      </w:r>
      <w:r>
        <w:rPr>
          <w:rFonts w:ascii="Times New Roman" w:cs="Times New Roman" w:eastAsia="Times New Roman" w:hAnsi="Times New Roman"/>
          <w:sz w:val="22"/>
          <w:szCs w:val="22"/>
          <w:color w:val="auto"/>
        </w:rPr>
        <w:t>” means, with respect to any security or other property, the fair market value of such security or other property as determined by the Board of Directors, acting in good faith in reliance on an opinion of a nationally recognized independent investment banking firm retained by the Company for this purpose. For so long as the Original Warrantholder holds this Warrant or any portion thereof, it may object in writing to the Board of Director’s calculation of fair market value within 10 days of receipt of written notice thereof. If the Original Warrantholder and the Company are unable to agree on fair market value during the 10-day period following the delivery of the Original Warrantholder’s objection, the Appraisal Procedure may be invoked by either party to determine Fair Market Value by delivering written notification thereof not later than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after delivery of the Original Warrantholder’s objection.</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Initial Number</w:t>
      </w:r>
      <w:r>
        <w:rPr>
          <w:rFonts w:ascii="Times New Roman" w:cs="Times New Roman" w:eastAsia="Times New Roman" w:hAnsi="Times New Roman"/>
          <w:sz w:val="22"/>
          <w:szCs w:val="22"/>
          <w:color w:val="auto"/>
        </w:rPr>
        <w:t>” has the meaning set forth in Section 13(B).</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“Issue Date” </w:t>
      </w:r>
      <w:r>
        <w:rPr>
          <w:rFonts w:ascii="Times New Roman" w:cs="Times New Roman" w:eastAsia="Times New Roman" w:hAnsi="Times New Roman"/>
          <w:sz w:val="22"/>
          <w:szCs w:val="22"/>
          <w:color w:val="auto"/>
        </w:rPr>
        <w:t>means the date set forth in Item 3 of Schedule A hereto.</w:t>
      </w:r>
    </w:p>
    <w:p>
      <w:pPr>
        <w:spacing w:after="0" w:line="220"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Market Price</w:t>
      </w:r>
      <w:r>
        <w:rPr>
          <w:rFonts w:ascii="Times New Roman" w:cs="Times New Roman" w:eastAsia="Times New Roman" w:hAnsi="Times New Roman"/>
          <w:sz w:val="22"/>
          <w:szCs w:val="22"/>
          <w:color w:val="auto"/>
        </w:rPr>
        <w:t>” means, with respect to a particular security, on any given day, the last reported sale price regular way or, in case no such reported sale takes place on such day, the average of the last closing bid and ask prices regular way, in either case on the principal national securities exchange on which the applicable securities are listed or admitted to trading, or if not listed or admitted to trading on any national securities exchange, the average of the closing bid and ask prices as furnished by two members of the Financial Industry Regulatory Authority, Inc. selected from time to time by the Company for that purpose. “Market Price” shall be determined without reference to after hours or extended hours trading. If such security is not listed and traded in a manner that the quotations referred to above are available for the period required hereunder, the Market Price of such security shall be deemed to be (i) in the event that any portion of the Warrant is held by the Original Warrantholder, the fair market value per share of such security as determined in good faith by the Original Warrantholder or (ii) in all other circumstances, the fair market value per share of such security as determined in good faith by the Board of Directors in reliance on an opinion of a nationally recognized independent investment banking corporation retained by the Company for this purpose and certified in a resolution to the Warrantholder.</w:t>
      </w:r>
    </w:p>
    <w:p>
      <w:pPr>
        <w:spacing w:after="0" w:line="182"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Original Warrantholder</w:t>
      </w:r>
      <w:r>
        <w:rPr>
          <w:rFonts w:ascii="Times New Roman" w:cs="Times New Roman" w:eastAsia="Times New Roman" w:hAnsi="Times New Roman"/>
          <w:sz w:val="22"/>
          <w:szCs w:val="22"/>
          <w:color w:val="auto"/>
        </w:rPr>
        <w:t>” means the United States Department of the Treasury. Any actions specified to be taken by the Original Warrantholder hereunder may only be taken by such Person and not by any other Warrantholder.</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Transactions</w:t>
      </w:r>
      <w:r>
        <w:rPr>
          <w:rFonts w:ascii="Times New Roman" w:cs="Times New Roman" w:eastAsia="Times New Roman" w:hAnsi="Times New Roman"/>
          <w:sz w:val="22"/>
          <w:szCs w:val="22"/>
          <w:color w:val="auto"/>
        </w:rPr>
        <w:t>” has the meaning set forth in Section 13(B).</w:t>
      </w:r>
    </w:p>
    <w:p>
      <w:pPr>
        <w:sectPr>
          <w:pgSz w:w="11900" w:h="16838" w:orient="portrait"/>
          <w:cols w:equalWidth="0" w:num="1">
            <w:col w:w="11160"/>
          </w:cols>
          <w:pgMar w:left="320" w:top="1418" w:right="419" w:bottom="1440" w:gutter="0" w:footer="0" w:header="0"/>
        </w:sectPr>
      </w:pPr>
    </w:p>
    <w:bookmarkStart w:id="66" w:name="page67"/>
    <w:bookmarkEnd w:id="66"/>
    <w:p>
      <w:pPr>
        <w:ind w:right="8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 Share Net Cash Settlement Amount</w:t>
      </w:r>
      <w:r>
        <w:rPr>
          <w:rFonts w:ascii="Times New Roman" w:cs="Times New Roman" w:eastAsia="Times New Roman" w:hAnsi="Times New Roman"/>
          <w:sz w:val="22"/>
          <w:szCs w:val="22"/>
          <w:color w:val="auto"/>
        </w:rPr>
        <w:t>” means the Average Market Price of a share of Common Stock determined as of the relevant Exercise Date less the then applicable Exercise Price.</w:t>
      </w:r>
    </w:p>
    <w:p>
      <w:pPr>
        <w:spacing w:after="0" w:line="149"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 Share Net Share Settlement Amount</w:t>
      </w:r>
      <w:r>
        <w:rPr>
          <w:rFonts w:ascii="Times New Roman" w:cs="Times New Roman" w:eastAsia="Times New Roman" w:hAnsi="Times New Roman"/>
          <w:sz w:val="22"/>
          <w:szCs w:val="22"/>
          <w:color w:val="auto"/>
        </w:rPr>
        <w:t xml:space="preserve">” means the quotient of (i) the Average Market Price of a share of Common Stock determined as of the relevant Exercise Date less the then applicable Exercise Price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(ii) the Average Market Price of a share of Common Stock determined as of the relevant Exercise Date.</w:t>
      </w:r>
    </w:p>
    <w:p>
      <w:pPr>
        <w:spacing w:after="0" w:line="166"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Person</w:t>
      </w:r>
      <w:r>
        <w:rPr>
          <w:rFonts w:ascii="Times New Roman" w:cs="Times New Roman" w:eastAsia="Times New Roman" w:hAnsi="Times New Roman"/>
          <w:sz w:val="22"/>
          <w:szCs w:val="22"/>
          <w:color w:val="auto"/>
        </w:rPr>
        <w:t>” has the meaning given to it in Section 3(a)(9) of the Exchange Act and as used in Sections 13(d)(3) and 14(d)(2) of the Exchange Act.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 Share Fair Market Value</w:t>
      </w:r>
      <w:r>
        <w:rPr>
          <w:rFonts w:ascii="Times New Roman" w:cs="Times New Roman" w:eastAsia="Times New Roman" w:hAnsi="Times New Roman"/>
          <w:sz w:val="22"/>
          <w:szCs w:val="22"/>
          <w:color w:val="auto"/>
        </w:rPr>
        <w:t>” has the meaning set forth in Section 13(C).</w:t>
      </w:r>
    </w:p>
    <w:p>
      <w:pPr>
        <w:spacing w:after="0" w:line="220"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Pro Rata Repurchases</w:t>
      </w:r>
      <w:r>
        <w:rPr>
          <w:rFonts w:ascii="Times New Roman" w:cs="Times New Roman" w:eastAsia="Times New Roman" w:hAnsi="Times New Roman"/>
          <w:sz w:val="22"/>
          <w:szCs w:val="22"/>
          <w:color w:val="auto"/>
        </w:rPr>
        <w:t>” means any purchase of shares of Common Stock by the Company or any Affiliate thereof pursuant to (A) any tender offer or exchange offer subject to Section 13(e) or 14(e) of the Exchange Act or Regulation 14E promulgated thereunder or (B) any other offer available to substantially all holders of Common Stock, in the case of both (A) or (B), whether for cash, shares of Capital Stock of the Company, other securities of the Company, evidences of indebtedness of the Company or any other Person or any other property (including, without limitation, shares of Capital Stock, other securities or evidences of indebtedness of a subsidiary), or any combination thereof, effected while this Warrant is outstanding. The “</w:t>
      </w:r>
      <w:r>
        <w:rPr>
          <w:rFonts w:ascii="Times New Roman" w:cs="Times New Roman" w:eastAsia="Times New Roman" w:hAnsi="Times New Roman"/>
          <w:sz w:val="22"/>
          <w:szCs w:val="22"/>
          <w:i w:val="1"/>
          <w:iCs w:val="1"/>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Date</w:t>
      </w:r>
      <w:r>
        <w:rPr>
          <w:rFonts w:ascii="Times New Roman" w:cs="Times New Roman" w:eastAsia="Times New Roman" w:hAnsi="Times New Roman"/>
          <w:sz w:val="22"/>
          <w:szCs w:val="22"/>
          <w:color w:val="auto"/>
        </w:rPr>
        <w:t>” of a Pro Rata Repurchase shall mean the date of acceptance of shares for purchase or exchange by the Company under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tender or exchange offer which is a Pro Rata Repurchase or the date of purchase with respect to any Pro Rata Repurchase that is not a tender or exchange offer.</w:t>
      </w:r>
    </w:p>
    <w:p>
      <w:pPr>
        <w:spacing w:after="0" w:line="181"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Regulatory Approvals</w:t>
      </w:r>
      <w:r>
        <w:rPr>
          <w:rFonts w:ascii="Times New Roman" w:cs="Times New Roman" w:eastAsia="Times New Roman" w:hAnsi="Times New Roman"/>
          <w:sz w:val="22"/>
          <w:szCs w:val="22"/>
          <w:color w:val="auto"/>
        </w:rPr>
        <w:t>” with respect to the Warrantholder, means, to the extent applicable and required to permit the Warrantholder to exercise this Warrant for shares of Common Stock and to own such Common Stock without the Warrantholder being in violation of applicable law, rule or regulation, the receipt of any necessary approvals and authorizations of, filings and registrations with, notifications to, or expiration or termination of any applicable waiting period under, the Hart-Scott-Rodino Antitrust Improvements Act of 1976, as amended, and the rules and regulations thereunder.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w:t>
      </w:r>
      <w:r>
        <w:rPr>
          <w:rFonts w:ascii="Times New Roman" w:cs="Times New Roman" w:eastAsia="Times New Roman" w:hAnsi="Times New Roman"/>
          <w:sz w:val="22"/>
          <w:szCs w:val="22"/>
          <w:color w:val="auto"/>
        </w:rPr>
        <w:t>” means the U.S. Securities and Exchange Commission.</w:t>
      </w:r>
    </w:p>
    <w:p>
      <w:pPr>
        <w:spacing w:after="0" w:line="220" w:lineRule="exact"/>
        <w:rPr>
          <w:sz w:val="20"/>
          <w:szCs w:val="20"/>
          <w:color w:val="auto"/>
        </w:rPr>
      </w:pPr>
    </w:p>
    <w:p>
      <w:pPr>
        <w:ind w:right="40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means the Securities Act of 1933, as amended, or any successor statute, and the rules and regulations promulgated thereunder.</w:t>
      </w:r>
    </w:p>
    <w:p>
      <w:pPr>
        <w:spacing w:after="0" w:line="149"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“trading day” </w:t>
      </w:r>
      <w:r>
        <w:rPr>
          <w:rFonts w:ascii="Times New Roman" w:cs="Times New Roman" w:eastAsia="Times New Roman" w:hAnsi="Times New Roman"/>
          <w:sz w:val="22"/>
          <w:szCs w:val="22"/>
          <w:color w:val="auto"/>
        </w:rPr>
        <w:t>means (A) if the shares of Common Stock are not traded on any national or regional securities exchange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association or over-the-counter market, a Business Day or (B) if the shares of Common Stock are traded on any national or regional securities exchange or association or over-the-counter market, a Business Day on which such relevant exchange or quotation system is scheduled to be open for business and on which the shares of Common Stock (i) are not suspended from trading on any national or regional securities exchange or association</w:t>
      </w:r>
    </w:p>
    <w:p>
      <w:pPr>
        <w:sectPr>
          <w:pgSz w:w="11900" w:h="16838" w:orient="portrait"/>
          <w:cols w:equalWidth="0" w:num="1">
            <w:col w:w="11220"/>
          </w:cols>
          <w:pgMar w:left="320" w:top="1418" w:right="359" w:bottom="1440" w:gutter="0" w:footer="0" w:header="0"/>
        </w:sectPr>
      </w:pPr>
    </w:p>
    <w:bookmarkStart w:id="67" w:name="page68"/>
    <w:bookmarkEnd w:id="67"/>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or over-the-counter market for any period or periods aggregating one half hour or longer; and (ii) have traded at least once on the national or regional securities exchange or association or over-the-counter market that is the primary market for the trading of the shares of Common Stock.</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GAAP</w:t>
      </w:r>
      <w:r>
        <w:rPr>
          <w:rFonts w:ascii="Times New Roman" w:cs="Times New Roman" w:eastAsia="Times New Roman" w:hAnsi="Times New Roman"/>
          <w:sz w:val="22"/>
          <w:szCs w:val="22"/>
          <w:color w:val="auto"/>
        </w:rPr>
        <w:t>” means United States generally accepted accounting principles.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Warrant</w:t>
      </w:r>
      <w:r>
        <w:rPr>
          <w:rFonts w:ascii="Times New Roman" w:cs="Times New Roman" w:eastAsia="Times New Roman" w:hAnsi="Times New Roman"/>
          <w:sz w:val="22"/>
          <w:szCs w:val="22"/>
          <w:color w:val="auto"/>
        </w:rPr>
        <w:t>” means this Warrant, issued pursuant to the Warrant Agreement.</w:t>
      </w:r>
    </w:p>
    <w:p>
      <w:pPr>
        <w:spacing w:after="0" w:line="220" w:lineRule="exact"/>
        <w:rPr>
          <w:sz w:val="20"/>
          <w:szCs w:val="20"/>
          <w:color w:val="auto"/>
        </w:rPr>
      </w:pPr>
    </w:p>
    <w:p>
      <w:pPr>
        <w:ind w:right="44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Warrant Agreement</w:t>
      </w:r>
      <w:r>
        <w:rPr>
          <w:rFonts w:ascii="Times New Roman" w:cs="Times New Roman" w:eastAsia="Times New Roman" w:hAnsi="Times New Roman"/>
          <w:sz w:val="22"/>
          <w:szCs w:val="22"/>
          <w:color w:val="auto"/>
        </w:rPr>
        <w:t>” means the Warrant Agreement, dated as of the date set forth in Item 4 of Schedule A hereto, as amended from time to time, between the Company and the United States Department of the Treasury.</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Warrantholder</w:t>
      </w:r>
      <w:r>
        <w:rPr>
          <w:rFonts w:ascii="Times New Roman" w:cs="Times New Roman" w:eastAsia="Times New Roman" w:hAnsi="Times New Roman"/>
          <w:sz w:val="22"/>
          <w:szCs w:val="22"/>
          <w:color w:val="auto"/>
        </w:rPr>
        <w:t>” has the meaning set forth in Section 2.</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Warrant Shares</w:t>
      </w:r>
      <w:r>
        <w:rPr>
          <w:rFonts w:ascii="Times New Roman" w:cs="Times New Roman" w:eastAsia="Times New Roman" w:hAnsi="Times New Roman"/>
          <w:sz w:val="22"/>
          <w:szCs w:val="22"/>
          <w:color w:val="auto"/>
        </w:rPr>
        <w:t>” has the meaning set forth in Section 2.</w:t>
      </w:r>
    </w:p>
    <w:p>
      <w:pPr>
        <w:spacing w:after="0" w:line="224" w:lineRule="exact"/>
        <w:rPr>
          <w:sz w:val="20"/>
          <w:szCs w:val="20"/>
          <w:color w:val="auto"/>
        </w:rPr>
      </w:pPr>
    </w:p>
    <w:p>
      <w:pPr>
        <w:ind w:firstLine="656"/>
        <w:spacing w:after="0" w:line="248" w:lineRule="auto"/>
        <w:tabs>
          <w:tab w:leader="none" w:pos="129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Warrant Shares; Net Exercise</w:t>
      </w:r>
      <w:r>
        <w:rPr>
          <w:rFonts w:ascii="Times New Roman" w:cs="Times New Roman" w:eastAsia="Times New Roman" w:hAnsi="Times New Roman"/>
          <w:sz w:val="22"/>
          <w:szCs w:val="22"/>
          <w:color w:val="auto"/>
        </w:rPr>
        <w:t>. This certifies that, for value received, the United States Department of the Treasury or its permitted assigns (the “</w:t>
      </w:r>
      <w:r>
        <w:rPr>
          <w:rFonts w:ascii="Times New Roman" w:cs="Times New Roman" w:eastAsia="Times New Roman" w:hAnsi="Times New Roman"/>
          <w:sz w:val="22"/>
          <w:szCs w:val="22"/>
          <w:i w:val="1"/>
          <w:iCs w:val="1"/>
          <w:color w:val="auto"/>
        </w:rPr>
        <w:t>Warrantholder</w:t>
      </w:r>
      <w:r>
        <w:rPr>
          <w:rFonts w:ascii="Times New Roman" w:cs="Times New Roman" w:eastAsia="Times New Roman" w:hAnsi="Times New Roman"/>
          <w:sz w:val="22"/>
          <w:szCs w:val="22"/>
          <w:color w:val="auto"/>
        </w:rPr>
        <w:t>”) is entitled, upon the terms and subject to the conditions hereinafter set forth, to acquire from the Company, in whole or in part, after the receipt of all applicable Regulatory Approvals, if any, up to an aggregate of the number of fully paid and nonassessable shares of Common Stock set forth in Item 5 of Schedule A hereto. The number of shares of Common Stock (the “</w:t>
      </w:r>
      <w:r>
        <w:rPr>
          <w:rFonts w:ascii="Times New Roman" w:cs="Times New Roman" w:eastAsia="Times New Roman" w:hAnsi="Times New Roman"/>
          <w:sz w:val="22"/>
          <w:szCs w:val="22"/>
          <w:i w:val="1"/>
          <w:iCs w:val="1"/>
          <w:color w:val="auto"/>
        </w:rPr>
        <w:t>Warrant Shares</w:t>
      </w:r>
      <w:r>
        <w:rPr>
          <w:rFonts w:ascii="Times New Roman" w:cs="Times New Roman" w:eastAsia="Times New Roman" w:hAnsi="Times New Roman"/>
          <w:sz w:val="22"/>
          <w:szCs w:val="22"/>
          <w:color w:val="auto"/>
        </w:rPr>
        <w:t>”) issuable upon exercise of this Warrant and the Exercise Price are subject to adjustment as provided herein, and all references to “Common Stock,” “Warrant Shares” and “Exercise Price” herein shall be deemed to include any such adjustment or series of adjustments.</w:t>
      </w:r>
    </w:p>
    <w:p>
      <w:pPr>
        <w:spacing w:after="0" w:line="182"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22"/>
          <w:szCs w:val="22"/>
          <w:color w:val="auto"/>
        </w:rPr>
        <w:t>Upon exercise of the Warrant in accordance with Section 3 hereof, the Company shall elect to pay or deliver, as the case may be, to the exercising Warrantholder (a) cash (“</w:t>
      </w:r>
      <w:r>
        <w:rPr>
          <w:rFonts w:ascii="Times New Roman" w:cs="Times New Roman" w:eastAsia="Times New Roman" w:hAnsi="Times New Roman"/>
          <w:sz w:val="22"/>
          <w:szCs w:val="22"/>
          <w:i w:val="1"/>
          <w:iCs w:val="1"/>
          <w:color w:val="auto"/>
        </w:rPr>
        <w:t>Net Cash Settlement</w:t>
      </w:r>
      <w:r>
        <w:rPr>
          <w:rFonts w:ascii="Times New Roman" w:cs="Times New Roman" w:eastAsia="Times New Roman" w:hAnsi="Times New Roman"/>
          <w:sz w:val="22"/>
          <w:szCs w:val="22"/>
          <w:color w:val="auto"/>
        </w:rPr>
        <w:t>”) or (b) Warrant Shares together with cash, if applicable, in lieu of delivering any fractional shares in accordance with Section 5 of this Warrant (“</w:t>
      </w:r>
      <w:r>
        <w:rPr>
          <w:rFonts w:ascii="Times New Roman" w:cs="Times New Roman" w:eastAsia="Times New Roman" w:hAnsi="Times New Roman"/>
          <w:sz w:val="22"/>
          <w:szCs w:val="22"/>
          <w:i w:val="1"/>
          <w:iCs w:val="1"/>
          <w:color w:val="auto"/>
        </w:rPr>
        <w:t>Net Share Settlement</w:t>
      </w:r>
      <w:r>
        <w:rPr>
          <w:rFonts w:ascii="Times New Roman" w:cs="Times New Roman" w:eastAsia="Times New Roman" w:hAnsi="Times New Roman"/>
          <w:sz w:val="22"/>
          <w:szCs w:val="22"/>
          <w:color w:val="auto"/>
        </w:rPr>
        <w:t>”). The Company will notify the exercising Warrantholder of its election of a settlement method within one Business Day after the relevant Exercise Date and if it fails to deliver a timely notice shall be deemed to have elected Net Share Settlement.</w:t>
      </w:r>
    </w:p>
    <w:p>
      <w:pPr>
        <w:spacing w:after="0" w:line="177" w:lineRule="exact"/>
        <w:rPr>
          <w:sz w:val="20"/>
          <w:szCs w:val="20"/>
          <w:color w:val="auto"/>
        </w:rPr>
      </w:pPr>
    </w:p>
    <w:p>
      <w:pPr>
        <w:jc w:val="both"/>
        <w:ind w:right="360" w:firstLine="1304"/>
        <w:spacing w:after="0" w:line="259" w:lineRule="auto"/>
        <w:tabs>
          <w:tab w:leader="none" w:pos="193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Net Cash Settlement. </w:t>
      </w:r>
      <w:r>
        <w:rPr>
          <w:rFonts w:ascii="Times New Roman" w:cs="Times New Roman" w:eastAsia="Times New Roman" w:hAnsi="Times New Roman"/>
          <w:sz w:val="22"/>
          <w:szCs w:val="22"/>
          <w:color w:val="auto"/>
        </w:rPr>
        <w:t>If the Company elects Net Cash Settlement, it shall pay to the Warrantholder cash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equal to the Per Share Net Cash Settlement Amount multiplied by the number of Warrant Shares as to which the Warrant has been exercised as indicated in the Notice of Exercise (the “</w:t>
      </w:r>
      <w:r>
        <w:rPr>
          <w:rFonts w:ascii="Times New Roman" w:cs="Times New Roman" w:eastAsia="Times New Roman" w:hAnsi="Times New Roman"/>
          <w:sz w:val="22"/>
          <w:szCs w:val="22"/>
          <w:i w:val="1"/>
          <w:iCs w:val="1"/>
          <w:color w:val="auto"/>
        </w:rPr>
        <w:t>Aggregate Net Cash Settlement Amount</w:t>
      </w:r>
      <w:r>
        <w:rPr>
          <w:rFonts w:ascii="Times New Roman" w:cs="Times New Roman" w:eastAsia="Times New Roman" w:hAnsi="Times New Roman"/>
          <w:sz w:val="22"/>
          <w:szCs w:val="22"/>
          <w:color w:val="auto"/>
        </w:rPr>
        <w:t>”).</w:t>
      </w:r>
    </w:p>
    <w:p>
      <w:pPr>
        <w:spacing w:after="0" w:line="166" w:lineRule="exact"/>
        <w:rPr>
          <w:rFonts w:ascii="Times New Roman" w:cs="Times New Roman" w:eastAsia="Times New Roman" w:hAnsi="Times New Roman"/>
          <w:sz w:val="22"/>
          <w:szCs w:val="22"/>
          <w:color w:val="auto"/>
        </w:rPr>
      </w:pPr>
    </w:p>
    <w:p>
      <w:pPr>
        <w:jc w:val="both"/>
        <w:ind w:right="240" w:firstLine="1304"/>
        <w:spacing w:after="0" w:line="253" w:lineRule="auto"/>
        <w:tabs>
          <w:tab w:leader="none" w:pos="193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Net Share Settlement</w:t>
      </w:r>
      <w:r>
        <w:rPr>
          <w:rFonts w:ascii="Times New Roman" w:cs="Times New Roman" w:eastAsia="Times New Roman" w:hAnsi="Times New Roman"/>
          <w:sz w:val="22"/>
          <w:szCs w:val="22"/>
          <w:color w:val="auto"/>
        </w:rPr>
        <w:t>. If the Company elects Net Share Settlement, it shall deliver to the Warrantholder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number of shares of Common Stock equal to the Per Share Net Share Settlement Amount multiplied by the number of Warrant Shares as to which the Warrant has been exercised as indicated in the Notice of Exercise (the “</w:t>
      </w:r>
      <w:r>
        <w:rPr>
          <w:rFonts w:ascii="Times New Roman" w:cs="Times New Roman" w:eastAsia="Times New Roman" w:hAnsi="Times New Roman"/>
          <w:sz w:val="22"/>
          <w:szCs w:val="22"/>
          <w:i w:val="1"/>
          <w:iCs w:val="1"/>
          <w:color w:val="auto"/>
        </w:rPr>
        <w:t>Aggregate Net Share Settlement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Amount</w:t>
      </w:r>
      <w:r>
        <w:rPr>
          <w:rFonts w:ascii="Times New Roman" w:cs="Times New Roman" w:eastAsia="Times New Roman" w:hAnsi="Times New Roman"/>
          <w:sz w:val="22"/>
          <w:szCs w:val="22"/>
          <w:color w:val="auto"/>
        </w:rPr>
        <w:t>”).</w:t>
      </w:r>
    </w:p>
    <w:p>
      <w:pPr>
        <w:sectPr>
          <w:pgSz w:w="11900" w:h="16838" w:orient="portrait"/>
          <w:cols w:equalWidth="0" w:num="1">
            <w:col w:w="11220"/>
          </w:cols>
          <w:pgMar w:left="320" w:top="1422" w:right="359" w:bottom="1440" w:gutter="0" w:footer="0" w:header="0"/>
        </w:sectPr>
      </w:pPr>
    </w:p>
    <w:bookmarkStart w:id="68" w:name="page69"/>
    <w:bookmarkEnd w:id="68"/>
    <w:p>
      <w:pPr>
        <w:ind w:firstLine="656"/>
        <w:spacing w:after="0" w:line="261" w:lineRule="auto"/>
        <w:tabs>
          <w:tab w:leader="none" w:pos="1296"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Method of Exercise</w:t>
      </w:r>
      <w:r>
        <w:rPr>
          <w:rFonts w:ascii="Times New Roman" w:cs="Times New Roman" w:eastAsia="Times New Roman" w:hAnsi="Times New Roman"/>
          <w:sz w:val="21"/>
          <w:szCs w:val="21"/>
          <w:color w:val="auto"/>
        </w:rPr>
        <w:t>. Subject to Section 2, to the extent permitted by applicable laws and regulations, this Warrant is exercisable, in whole or in part by the Warrantholder, at any time or from time to time after the execution and delivery of this Warrant by the Company on the date hereof, but in no event later than 5:00 p.m., New York City time on the fifth anniversary of the Issue Date of this Warrant, by the surrender of this Warrant and delivery of the Notice of Exercise annexed hereto, duly completed and executed on behalf of the Warrantholder, at the principal executive office of the Company located at the address set forth in Item 6 of Schedule A hereto (or such other office or agency of the Company in the United States as it may designate by notice in writing to the Warrantholder at the address of the Warrantholder appearing on the books of the Company).</w:t>
      </w:r>
    </w:p>
    <w:p>
      <w:pPr>
        <w:spacing w:after="0" w:line="173"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21"/>
          <w:szCs w:val="21"/>
          <w:color w:val="auto"/>
        </w:rPr>
        <w:t>If the Warrantholder does not exercise this Warrant in its entirety, the Warrantholder will be entitled to receive from the Company within a reasonable time after the date on which this Warrant has been duly exercised in accordance with the terms of this Warrant, and in any event not exceeding three Business Days after the date thereof, a new warrant in substantially identical form for the purchase of that number of Warrant Shares equal to the difference between the number of Warrant Shares subject to this Warrant and the number of Warrant Shares as to which this Warrant is so exercised. Notwithstanding anything in this Warrant to the contrary, the Warrantholder hereby acknowledges and agrees that its exercise of this Warrant for Warrant Shares is subject to the condition that the Warrantholder will have first received any applicable Regulatory Approvals.</w:t>
      </w:r>
    </w:p>
    <w:p>
      <w:pPr>
        <w:spacing w:after="0" w:line="173" w:lineRule="exact"/>
        <w:rPr>
          <w:sz w:val="20"/>
          <w:szCs w:val="20"/>
          <w:color w:val="auto"/>
        </w:rPr>
      </w:pPr>
    </w:p>
    <w:p>
      <w:pPr>
        <w:ind w:left="1300" w:hanging="644"/>
        <w:spacing w:after="0"/>
        <w:tabs>
          <w:tab w:leader="none" w:pos="130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Settlement.</w:t>
      </w:r>
    </w:p>
    <w:p>
      <w:pPr>
        <w:spacing w:after="0" w:line="215" w:lineRule="exact"/>
        <w:rPr>
          <w:rFonts w:ascii="Times New Roman" w:cs="Times New Roman" w:eastAsia="Times New Roman" w:hAnsi="Times New Roman"/>
          <w:sz w:val="22"/>
          <w:szCs w:val="22"/>
          <w:color w:val="auto"/>
        </w:rPr>
      </w:pPr>
    </w:p>
    <w:p>
      <w:pPr>
        <w:ind w:right="40" w:firstLine="1304"/>
        <w:spacing w:after="0" w:line="259" w:lineRule="auto"/>
        <w:tabs>
          <w:tab w:leader="none" w:pos="1932"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Net Cash Settlement</w:t>
      </w:r>
      <w:r>
        <w:rPr>
          <w:rFonts w:ascii="Times New Roman" w:cs="Times New Roman" w:eastAsia="Times New Roman" w:hAnsi="Times New Roman"/>
          <w:sz w:val="22"/>
          <w:szCs w:val="22"/>
          <w:color w:val="auto"/>
        </w:rPr>
        <w:t>. If the Company elects Net Cash Settlement, the Company shall, within a reasonable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not to exceed five Business Days after the date on which this Warrant has been duly exercised in accordance with the terms of this Warrant, pay to the exercising Warrantholder the Aggregate Net Cash Settlement Amount.</w:t>
      </w:r>
    </w:p>
    <w:p>
      <w:pPr>
        <w:spacing w:after="0" w:line="166" w:lineRule="exact"/>
        <w:rPr>
          <w:rFonts w:ascii="Times New Roman" w:cs="Times New Roman" w:eastAsia="Times New Roman" w:hAnsi="Times New Roman"/>
          <w:sz w:val="22"/>
          <w:szCs w:val="22"/>
          <w:color w:val="auto"/>
        </w:rPr>
      </w:pPr>
    </w:p>
    <w:p>
      <w:pPr>
        <w:ind w:right="180" w:firstLine="1304"/>
        <w:spacing w:after="0" w:line="264" w:lineRule="auto"/>
        <w:tabs>
          <w:tab w:leader="none" w:pos="1938" w:val="left"/>
        </w:tabs>
        <w:numPr>
          <w:ilvl w:val="2"/>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Net Share Settlement</w:t>
      </w:r>
      <w:r>
        <w:rPr>
          <w:rFonts w:ascii="Times New Roman" w:cs="Times New Roman" w:eastAsia="Times New Roman" w:hAnsi="Times New Roman"/>
          <w:sz w:val="21"/>
          <w:szCs w:val="21"/>
          <w:color w:val="auto"/>
        </w:rPr>
        <w:t>. If the Company elects Net Share Settlement, shares of Common Stock equal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Aggregate Net Share Settlement Amount shall be (x) issued in such name or names as the exercising Warrantholder may designate and (y) delivered by the Company or the Company's transfer agent to such Warrantholder or its nominee or nominees</w:t>
      </w:r>
    </w:p>
    <w:p>
      <w:pPr>
        <w:ind w:right="40" w:firstLine="8"/>
        <w:spacing w:after="0" w:line="257" w:lineRule="auto"/>
        <w:tabs>
          <w:tab w:leader="none" w:pos="258"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shares are then able to be so delivered, via book-entry transfer crediting the account of such Warrantholder (or the relevant agent member for the benefit of such Warrantholder) through the Depositary’s DWAC system (if the Company's transfer agent participates in such system), or (ii) otherwise in certificated form by physical delivery to the address specified by the Warrantholder in the Notice of Exercise, within a reasonable time, not to exceed three Business Days after the date on which this Warrant has been duly exercised in accordance with the terms of this Warrant. The Company hereby represents and warrants that any Warrant Shares issued upon the exercise of this Warrant in accordance with the provisions of Section 3 will be duly and validly authorized and issued, fully paid and nonassessable and free from all taxes, liens and charges (other than liens or charges created by the Warrantholder, income and franchise taxes incurred in connection with the exercise of the Warrant or taxes in respect of any transfer occurring contemporaneously therewith). The Company agrees that the Warrant Shares so issued will be</w:t>
      </w:r>
    </w:p>
    <w:p>
      <w:pPr>
        <w:sectPr>
          <w:pgSz w:w="11900" w:h="16838" w:orient="portrait"/>
          <w:cols w:equalWidth="0" w:num="1">
            <w:col w:w="11200"/>
          </w:cols>
          <w:pgMar w:left="320" w:top="1422" w:right="379" w:bottom="1440" w:gutter="0" w:footer="0" w:header="0"/>
        </w:sectPr>
      </w:pPr>
    </w:p>
    <w:bookmarkStart w:id="69" w:name="page70"/>
    <w:bookmarkEnd w:id="69"/>
    <w:p>
      <w:pPr>
        <w:spacing w:after="0" w:line="259" w:lineRule="auto"/>
        <w:rPr>
          <w:sz w:val="20"/>
          <w:szCs w:val="20"/>
          <w:color w:val="auto"/>
        </w:rPr>
      </w:pPr>
      <w:r>
        <w:rPr>
          <w:rFonts w:ascii="Times New Roman" w:cs="Times New Roman" w:eastAsia="Times New Roman" w:hAnsi="Times New Roman"/>
          <w:sz w:val="21"/>
          <w:szCs w:val="21"/>
          <w:color w:val="auto"/>
        </w:rPr>
        <w:t>deemed to have been issued to the Warrantholder as of the close of business on the date on which this Warrant and payment of the Exercise Price are delivered to the Company in accordance with the terms of this Warrant, notwithstanding that the stock transfer books of the Company may then be closed or certificates representing such Warrant Shares may not be actually delivered on such date. The Company will at all times reserve and keep available, out of its authorized but unissued Common Stock, solely for the purpose of providing for the exercise of this Warrant, the aggregate number of shares of Common Stock then issuable upon exercise of this Warrant at any time. The Company will (A) procure, at its sole expense, the listing of the Warrant Shares issuable upon exercise of this Warrant at any time, subject to issuance or notice of issuance, on all principal stock exchanges on which the Common Stock is then listed or traded and (B) maintain such listings of such Warrant Shares at all times after issuance. The Company will use reasonable best efforts to ensure that the Warrant Shares may be issued without violation of any applicable law or regulation or of any requirement of any securities exchange on which the Warrant Shares are listed or traded.</w:t>
      </w:r>
    </w:p>
    <w:p>
      <w:pPr>
        <w:spacing w:after="0" w:line="175" w:lineRule="exact"/>
        <w:rPr>
          <w:sz w:val="20"/>
          <w:szCs w:val="20"/>
          <w:color w:val="auto"/>
        </w:rPr>
      </w:pPr>
    </w:p>
    <w:p>
      <w:pPr>
        <w:ind w:right="340" w:firstLine="656"/>
        <w:spacing w:after="0" w:line="250" w:lineRule="auto"/>
        <w:tabs>
          <w:tab w:leader="none" w:pos="129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Fractional Warrant Shares or Scrip</w:t>
      </w:r>
      <w:r>
        <w:rPr>
          <w:rFonts w:ascii="Times New Roman" w:cs="Times New Roman" w:eastAsia="Times New Roman" w:hAnsi="Times New Roman"/>
          <w:sz w:val="22"/>
          <w:szCs w:val="22"/>
          <w:color w:val="auto"/>
        </w:rPr>
        <w:t>. No fractional Warrant Shares or scrip representing fractional Warrant Shares shall be issued upon any exercise of this Warrant. In lieu of any fractional Share to which the Warrantholder would otherwise be entitled, the Warrantholder shall be entitled to receive a cash payment equal to the Average Market Price of the Common Stock determined as of the Exercise Date multiplied by such fraction of a share, less the pro-rated Exercise Price for such fractional share.</w:t>
      </w:r>
    </w:p>
    <w:p>
      <w:pPr>
        <w:spacing w:after="0" w:line="180" w:lineRule="exact"/>
        <w:rPr>
          <w:rFonts w:ascii="Times New Roman" w:cs="Times New Roman" w:eastAsia="Times New Roman" w:hAnsi="Times New Roman"/>
          <w:sz w:val="22"/>
          <w:szCs w:val="22"/>
          <w:color w:val="auto"/>
        </w:rPr>
      </w:pPr>
    </w:p>
    <w:p>
      <w:pPr>
        <w:ind w:right="220" w:firstLine="656"/>
        <w:spacing w:after="0" w:line="275" w:lineRule="auto"/>
        <w:tabs>
          <w:tab w:leader="none" w:pos="1296"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as Stockholders; Transfer Books</w:t>
      </w:r>
      <w:r>
        <w:rPr>
          <w:rFonts w:ascii="Times New Roman" w:cs="Times New Roman" w:eastAsia="Times New Roman" w:hAnsi="Times New Roman"/>
          <w:sz w:val="21"/>
          <w:szCs w:val="21"/>
          <w:color w:val="auto"/>
        </w:rPr>
        <w:t>. This Warrant does not entitle the Warrantholder to any voting rights or other rights as a stockholder of the Company prior to the date of exercise hereof. The Company will at no time close its transfer books against transfer of this Warrant in any manner which interferes with the timely exercise of this Warrant.</w:t>
      </w:r>
    </w:p>
    <w:p>
      <w:pPr>
        <w:spacing w:after="0" w:line="155" w:lineRule="exact"/>
        <w:rPr>
          <w:rFonts w:ascii="Times New Roman" w:cs="Times New Roman" w:eastAsia="Times New Roman" w:hAnsi="Times New Roman"/>
          <w:sz w:val="21"/>
          <w:szCs w:val="21"/>
          <w:color w:val="auto"/>
        </w:rPr>
      </w:pPr>
    </w:p>
    <w:p>
      <w:pPr>
        <w:ind w:right="100" w:firstLine="656"/>
        <w:spacing w:after="0" w:line="248" w:lineRule="auto"/>
        <w:tabs>
          <w:tab w:leader="none" w:pos="129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Charges, Taxes and Expenses</w:t>
      </w:r>
      <w:r>
        <w:rPr>
          <w:rFonts w:ascii="Times New Roman" w:cs="Times New Roman" w:eastAsia="Times New Roman" w:hAnsi="Times New Roman"/>
          <w:sz w:val="22"/>
          <w:szCs w:val="22"/>
          <w:color w:val="auto"/>
        </w:rPr>
        <w:t xml:space="preserve">. Issuance of certificates for Warrant Shares to the Warrantholder upon the exercise of this Warrant shall be made without charge to the Warrantholder for any issue or transfer tax or other incidental expense in respect of the issuance of such certificates, all of which taxes and expenses shall be paid by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shall not be required to pay any tax that may be payable in respect of any transfer involved in the issuance and delivery of any such certificate, or any certificates or other securities in a name other than that of the registered holder of the Warrant surrendered upon exercise of the Warrant.</w:t>
      </w:r>
    </w:p>
    <w:p>
      <w:pPr>
        <w:spacing w:after="0" w:line="18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Transfer/Assignment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160" w:firstLine="656"/>
        <w:spacing w:after="0" w:line="248" w:lineRule="auto"/>
        <w:tabs>
          <w:tab w:leader="none" w:pos="128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compliance with clause (B) of this Section 8, this Warrant and all rights hereunder are transferable, in whole or in part, upon the books of the Company by the registered holder hereof in person or by duly authorized attorney, and a new warrant shall be made and delivered by the Company, of the same tenor and date as this Warrant but registered in the name of one or more transferees, upon surrender of this Warrant, duly endorsed, to the office or agency of the Company described in Section 3. All expenses (other than stock transfer taxes) and other charges payable in connection with the preparation, execution and delivery of the new warrants pursuant to this Section 8 shall be paid by the Company.</w:t>
      </w:r>
    </w:p>
    <w:p>
      <w:pPr>
        <w:sectPr>
          <w:pgSz w:w="11900" w:h="16838" w:orient="portrait"/>
          <w:cols w:equalWidth="0" w:num="1">
            <w:col w:w="11240"/>
          </w:cols>
          <w:pgMar w:left="320" w:top="1422" w:right="339" w:bottom="1440" w:gutter="0" w:footer="0" w:header="0"/>
        </w:sectPr>
      </w:pPr>
    </w:p>
    <w:bookmarkStart w:id="70" w:name="page71"/>
    <w:bookmarkEnd w:id="70"/>
    <w:p>
      <w:pPr>
        <w:ind w:left="-656" w:right="600" w:firstLine="656"/>
        <w:spacing w:after="0" w:line="271" w:lineRule="auto"/>
        <w:tabs>
          <w:tab w:leader="none" w:pos="63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for so long as required by the Warrant Agreement, this Warrant shall contain the legend as set forth in Sections 4.2(a) of the Warrant Agreement.</w:t>
      </w:r>
    </w:p>
    <w:p>
      <w:pPr>
        <w:spacing w:after="0" w:line="158" w:lineRule="exact"/>
        <w:rPr>
          <w:sz w:val="20"/>
          <w:szCs w:val="20"/>
          <w:color w:val="auto"/>
        </w:rPr>
      </w:pPr>
    </w:p>
    <w:p>
      <w:pPr>
        <w:ind w:left="-656" w:firstLine="656"/>
        <w:spacing w:after="0" w:line="265" w:lineRule="auto"/>
        <w:tabs>
          <w:tab w:leader="none" w:pos="64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Exchange and Registry of Warrant</w:t>
      </w:r>
      <w:r>
        <w:rPr>
          <w:rFonts w:ascii="Times New Roman" w:cs="Times New Roman" w:eastAsia="Times New Roman" w:hAnsi="Times New Roman"/>
          <w:sz w:val="21"/>
          <w:szCs w:val="21"/>
          <w:color w:val="auto"/>
        </w:rPr>
        <w:t>. This Warrant is exchangeable, upon the surrender hereof by the Warrantholder to the Company, for a new warrant or warrants of like tenor and representing the right to purchase the same aggregate number of Warrant Shares. The Company shall maintain a registry showing the name and address of the Warrantholder as the registered holder of this Warrant. This Warrant may be surrendered for exchange or exercise in accordance with its terms, at the office of the Company, and the Company shall be entitled to rely in all respects, prior to written notice to the contrary, upon such registry.</w:t>
      </w:r>
    </w:p>
    <w:p>
      <w:pPr>
        <w:spacing w:after="0" w:line="165" w:lineRule="exact"/>
        <w:rPr>
          <w:rFonts w:ascii="Times New Roman" w:cs="Times New Roman" w:eastAsia="Times New Roman" w:hAnsi="Times New Roman"/>
          <w:sz w:val="21"/>
          <w:szCs w:val="21"/>
          <w:color w:val="auto"/>
        </w:rPr>
      </w:pPr>
    </w:p>
    <w:p>
      <w:pPr>
        <w:ind w:left="-656" w:right="40" w:firstLine="656"/>
        <w:spacing w:after="0" w:line="248" w:lineRule="auto"/>
        <w:tabs>
          <w:tab w:leader="none" w:pos="64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Loss, Theft, Destruction or Mutilation of Warrant</w:t>
      </w:r>
      <w:r>
        <w:rPr>
          <w:rFonts w:ascii="Times New Roman" w:cs="Times New Roman" w:eastAsia="Times New Roman" w:hAnsi="Times New Roman"/>
          <w:sz w:val="22"/>
          <w:szCs w:val="22"/>
          <w:color w:val="auto"/>
        </w:rPr>
        <w:t>. Upon receipt by the Company of evidence reasonably satisfactory to it of the loss, theft, destruction or mutilation of this Warrant, and in the case of any such loss, theft or destruction, upon receipt of a bond, indemnity or security reasonably satisfactory to the Company, or, in the case of any such mutilation, upon surrender and cancellation of this Warrant, the Company shall make and deliver, in lieu of such lost, stolen, destroyed or mutilated Warrant, a new Warrant of like tenor and representing the right to purchase the same aggregate number of Warrant Shares as provided for in such lost, stolen, destroyed or mutilated Warrant.</w:t>
      </w:r>
    </w:p>
    <w:p>
      <w:pPr>
        <w:spacing w:after="0" w:line="186" w:lineRule="exact"/>
        <w:rPr>
          <w:rFonts w:ascii="Times New Roman" w:cs="Times New Roman" w:eastAsia="Times New Roman" w:hAnsi="Times New Roman"/>
          <w:sz w:val="22"/>
          <w:szCs w:val="22"/>
          <w:color w:val="auto"/>
        </w:rPr>
      </w:pPr>
    </w:p>
    <w:p>
      <w:pPr>
        <w:jc w:val="both"/>
        <w:ind w:left="-656" w:right="100" w:firstLine="656"/>
        <w:spacing w:after="0" w:line="257" w:lineRule="auto"/>
        <w:tabs>
          <w:tab w:leader="none" w:pos="63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Saturdays, Sundays, Holidays, etc</w:t>
      </w:r>
      <w:r>
        <w:rPr>
          <w:rFonts w:ascii="Times New Roman" w:cs="Times New Roman" w:eastAsia="Times New Roman" w:hAnsi="Times New Roman"/>
          <w:sz w:val="22"/>
          <w:szCs w:val="22"/>
          <w:color w:val="auto"/>
        </w:rPr>
        <w:t>. If the last or appointed day for the taking of any action or the expiration of any right required or granted herein shall not be a Business Day, then such action may be taken or such right may be exercised on the next succeeding day that is a Business Day.</w:t>
      </w:r>
    </w:p>
    <w:p>
      <w:pPr>
        <w:spacing w:after="0" w:line="172" w:lineRule="exact"/>
        <w:rPr>
          <w:rFonts w:ascii="Times New Roman" w:cs="Times New Roman" w:eastAsia="Times New Roman" w:hAnsi="Times New Roman"/>
          <w:sz w:val="22"/>
          <w:szCs w:val="22"/>
          <w:color w:val="auto"/>
        </w:rPr>
      </w:pPr>
    </w:p>
    <w:p>
      <w:pPr>
        <w:jc w:val="both"/>
        <w:ind w:left="-656" w:right="60" w:firstLine="656"/>
        <w:spacing w:after="0" w:line="257" w:lineRule="auto"/>
        <w:tabs>
          <w:tab w:leader="none" w:pos="64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With a view to making available to Warrantholders the benefits of certain rules and regulations of the SEC which may permit the sale of the Warrants and Warrant Shares to the public without registration, the Company agrees to use its reasonable best efforts to:</w:t>
      </w:r>
    </w:p>
    <w:p>
      <w:pPr>
        <w:spacing w:after="0" w:line="173" w:lineRule="exact"/>
        <w:rPr>
          <w:sz w:val="20"/>
          <w:szCs w:val="20"/>
          <w:color w:val="auto"/>
        </w:rPr>
      </w:pPr>
    </w:p>
    <w:p>
      <w:pPr>
        <w:ind w:left="-656" w:right="60" w:firstLine="656"/>
        <w:spacing w:after="0" w:line="271" w:lineRule="auto"/>
        <w:tabs>
          <w:tab w:leader="none" w:pos="62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and keep adequate public information available, as those terms are understood and defined in Rule 144(c) or any similar or analogous rule promulgated under the Securities Act, at all times after the date hereof;</w:t>
      </w:r>
    </w:p>
    <w:p>
      <w:pPr>
        <w:spacing w:after="0" w:line="157" w:lineRule="exact"/>
        <w:rPr>
          <w:rFonts w:ascii="Times New Roman" w:cs="Times New Roman" w:eastAsia="Times New Roman" w:hAnsi="Times New Roman"/>
          <w:sz w:val="22"/>
          <w:szCs w:val="22"/>
          <w:color w:val="auto"/>
        </w:rPr>
      </w:pPr>
    </w:p>
    <w:p>
      <w:pPr>
        <w:ind w:left="-656" w:firstLine="656"/>
        <w:spacing w:after="0" w:line="252" w:lineRule="auto"/>
        <w:tabs>
          <w:tab w:leader="none" w:pos="63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file with the SEC, in a timely manner, all reports and other documents required of the Company under the Securities Act and the Exchange Act, and (y) if at any time the Company is not required to file such reports, make available, upon the request of any Warrantholder, such information necessary to permit sales pursuant to Rule 144A (including the information required by Rule 144A(d)(4) under the Securities Act);</w:t>
      </w:r>
    </w:p>
    <w:p>
      <w:pPr>
        <w:spacing w:after="0" w:line="179" w:lineRule="exact"/>
        <w:rPr>
          <w:rFonts w:ascii="Times New Roman" w:cs="Times New Roman" w:eastAsia="Times New Roman" w:hAnsi="Times New Roman"/>
          <w:sz w:val="22"/>
          <w:szCs w:val="22"/>
          <w:color w:val="auto"/>
        </w:rPr>
      </w:pPr>
    </w:p>
    <w:p>
      <w:pPr>
        <w:ind w:left="-656" w:right="60" w:firstLine="656"/>
        <w:spacing w:after="0" w:line="268" w:lineRule="auto"/>
        <w:tabs>
          <w:tab w:leader="none" w:pos="631"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furnish to any holder of Warrants or Warrant Shares forthwith upon request: a written statement by the Company as to its compliance with the reporting requirements of the Exchange Act and Rule 144(c)(1); a copy of the most recent annual or quarterly report of the Company; and such other reports and documents as the Warrantholder may reasonably request in availing itself of any rule or regulation of the SEC allowing it to sell any such securities to the public without registration; and</w:t>
      </w:r>
    </w:p>
    <w:p>
      <w:pPr>
        <w:sectPr>
          <w:pgSz w:w="11900" w:h="16838" w:orient="portrait"/>
          <w:cols w:equalWidth="0" w:num="1">
            <w:col w:w="10584"/>
          </w:cols>
          <w:pgMar w:left="976" w:top="1422" w:right="339" w:bottom="1440" w:gutter="0" w:footer="0" w:header="0"/>
        </w:sectPr>
      </w:pPr>
    </w:p>
    <w:bookmarkStart w:id="71" w:name="page72"/>
    <w:bookmarkEnd w:id="71"/>
    <w:p>
      <w:pPr>
        <w:ind w:left="-656" w:right="140" w:firstLine="656"/>
        <w:spacing w:after="0" w:line="271" w:lineRule="auto"/>
        <w:tabs>
          <w:tab w:leader="none" w:pos="62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such further action as any Warrantholder may reasonably request, all to the extent required from time to time to enable such Warantholder to sell Warrants or Warrant Shares without registration under the Securities Act.</w:t>
      </w:r>
    </w:p>
    <w:p>
      <w:pPr>
        <w:spacing w:after="0" w:line="158" w:lineRule="exact"/>
        <w:rPr>
          <w:sz w:val="20"/>
          <w:szCs w:val="20"/>
          <w:color w:val="auto"/>
        </w:rPr>
      </w:pPr>
    </w:p>
    <w:p>
      <w:pPr>
        <w:ind w:left="-656" w:right="20" w:firstLine="656"/>
        <w:spacing w:after="0" w:line="252" w:lineRule="auto"/>
        <w:tabs>
          <w:tab w:leader="none" w:pos="64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and Other Rights</w:t>
      </w:r>
      <w:r>
        <w:rPr>
          <w:rFonts w:ascii="Times New Roman" w:cs="Times New Roman" w:eastAsia="Times New Roman" w:hAnsi="Times New Roman"/>
          <w:sz w:val="22"/>
          <w:szCs w:val="22"/>
          <w:color w:val="auto"/>
        </w:rPr>
        <w:t xml:space="preserve">. The Exercise Price and the number of Warrant Shares issuable upon exercise of the Warrant shall be subject to adjustment from time to time as follows;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more than one subsection of this Section 13 is applicable to a single event, the subsection shall be applied that produces the largest adjustment and no single event shall cause an adjustment under more than one subsection of this Section 13 so as to result in duplication:</w:t>
      </w:r>
    </w:p>
    <w:p>
      <w:pPr>
        <w:spacing w:after="0" w:line="179" w:lineRule="exact"/>
        <w:rPr>
          <w:sz w:val="20"/>
          <w:szCs w:val="20"/>
          <w:color w:val="auto"/>
        </w:rPr>
      </w:pPr>
    </w:p>
    <w:p>
      <w:pPr>
        <w:ind w:left="-656" w:firstLine="656"/>
        <w:spacing w:after="0" w:line="258" w:lineRule="auto"/>
        <w:tabs>
          <w:tab w:leader="none" w:pos="629"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Splits, Subdivisions, Reclassifications or Combinations</w:t>
      </w:r>
      <w:r>
        <w:rPr>
          <w:rFonts w:ascii="Times New Roman" w:cs="Times New Roman" w:eastAsia="Times New Roman" w:hAnsi="Times New Roman"/>
          <w:sz w:val="21"/>
          <w:szCs w:val="21"/>
          <w:color w:val="auto"/>
        </w:rPr>
        <w:t>. If the Company shall (i) declare and pay a dividend or make a distribution on its Common Stock in shares of Common Stock, (ii) subdivide or reclassify the outstanding shares of Common Stock into a greater number of shares, or (iii) combine or reclassify the outstanding shares of Common Stock into a smaller number of shares, the number of Warrant Shares issuable upon exercise of this Warrant at the time of the record date for such dividend or distribution or the effective date of such subdivision, combination or reclassification shall be proportionately adjusted so that the Warrantholder after such date shall be entitled to acquire the number of shares of Common Stock which such holder would have owned or been entitled to receive in respect of the shares of Common Stock subject to this Warrant after such date had this Warrant been exercised immediately prior to such date. In such event, the Exercise Price in effect at the time of the record date for such dividend or distribution or the effective date of such subdivision, combination or reclassification shall be adjusted to the number obtained by dividing (x) the product of (1) the number of Warrant Shares issuable upon the exercise of this Warrant before such adjustment and (2) the Exercise Price in effect immediately prior to the record or effective date, as the case may be, for the dividend, distribution, subdivision, combination or reclassification giving rise to this adjustment by (y) the new number of Warrant Shares issuable upon exercise of the Warrant determined pursuant to the immediately preceding sentence.</w:t>
      </w:r>
    </w:p>
    <w:p>
      <w:pPr>
        <w:spacing w:after="0" w:line="175" w:lineRule="exact"/>
        <w:rPr>
          <w:rFonts w:ascii="Times New Roman" w:cs="Times New Roman" w:eastAsia="Times New Roman" w:hAnsi="Times New Roman"/>
          <w:sz w:val="21"/>
          <w:szCs w:val="21"/>
          <w:color w:val="auto"/>
        </w:rPr>
      </w:pPr>
    </w:p>
    <w:p>
      <w:pPr>
        <w:ind w:left="-656" w:right="40" w:firstLine="656"/>
        <w:spacing w:after="0" w:line="248" w:lineRule="auto"/>
        <w:tabs>
          <w:tab w:leader="none" w:pos="63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Issuances of Common Stock or Convertible Securities</w:t>
      </w:r>
      <w:r>
        <w:rPr>
          <w:rFonts w:ascii="Times New Roman" w:cs="Times New Roman" w:eastAsia="Times New Roman" w:hAnsi="Times New Roman"/>
          <w:sz w:val="22"/>
          <w:szCs w:val="22"/>
          <w:color w:val="auto"/>
        </w:rPr>
        <w:t>. If the Company shall issue shares of Common Stock (or rights or warrants or other securities exercisable or convertible into or exchangeable (collectively, a “</w:t>
      </w:r>
      <w:r>
        <w:rPr>
          <w:rFonts w:ascii="Times New Roman" w:cs="Times New Roman" w:eastAsia="Times New Roman" w:hAnsi="Times New Roman"/>
          <w:sz w:val="22"/>
          <w:szCs w:val="22"/>
          <w:i w:val="1"/>
          <w:iCs w:val="1"/>
          <w:color w:val="auto"/>
        </w:rPr>
        <w:t>conversion</w:t>
      </w:r>
      <w:r>
        <w:rPr>
          <w:rFonts w:ascii="Times New Roman" w:cs="Times New Roman" w:eastAsia="Times New Roman" w:hAnsi="Times New Roman"/>
          <w:sz w:val="22"/>
          <w:szCs w:val="22"/>
          <w:color w:val="auto"/>
        </w:rPr>
        <w:t>”) for shares of Common Stock) (collectively, “</w:t>
      </w:r>
      <w:r>
        <w:rPr>
          <w:rFonts w:ascii="Times New Roman" w:cs="Times New Roman" w:eastAsia="Times New Roman" w:hAnsi="Times New Roman"/>
          <w:sz w:val="22"/>
          <w:szCs w:val="22"/>
          <w:i w:val="1"/>
          <w:iCs w:val="1"/>
          <w:color w:val="auto"/>
        </w:rPr>
        <w:t>convertible securities</w:t>
      </w:r>
      <w:r>
        <w:rPr>
          <w:rFonts w:ascii="Times New Roman" w:cs="Times New Roman" w:eastAsia="Times New Roman" w:hAnsi="Times New Roman"/>
          <w:sz w:val="22"/>
          <w:szCs w:val="22"/>
          <w:color w:val="auto"/>
        </w:rPr>
        <w:t>”) (other than in Permitted Transactions (as defined below) or a transaction to which subsection (A) of this Section 13 is applicable) without consideration or at a consideration per share (or having a conversion price per share) that is less than 90% of the Average Market Price determined as of the date of the agreement on pricing such shares (or such convertible securities) then, in such event:</w:t>
      </w:r>
    </w:p>
    <w:p>
      <w:pPr>
        <w:spacing w:after="0" w:line="186" w:lineRule="exact"/>
        <w:rPr>
          <w:rFonts w:ascii="Times New Roman" w:cs="Times New Roman" w:eastAsia="Times New Roman" w:hAnsi="Times New Roman"/>
          <w:sz w:val="22"/>
          <w:szCs w:val="22"/>
          <w:color w:val="auto"/>
        </w:rPr>
      </w:pPr>
    </w:p>
    <w:p>
      <w:pPr>
        <w:ind w:left="644" w:right="40" w:firstLine="4"/>
        <w:spacing w:after="0" w:line="250" w:lineRule="auto"/>
        <w:tabs>
          <w:tab w:leader="none" w:pos="1281"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Warrant Shares issuable upon the exercise of this Warrant immediately prior to the date of the agreement on pricing of such shares (or of such convertible securities) (the “</w:t>
      </w:r>
      <w:r>
        <w:rPr>
          <w:rFonts w:ascii="Times New Roman" w:cs="Times New Roman" w:eastAsia="Times New Roman" w:hAnsi="Times New Roman"/>
          <w:sz w:val="22"/>
          <w:szCs w:val="22"/>
          <w:i w:val="1"/>
          <w:iCs w:val="1"/>
          <w:color w:val="auto"/>
        </w:rPr>
        <w:t>Initial Number</w:t>
      </w:r>
      <w:r>
        <w:rPr>
          <w:rFonts w:ascii="Times New Roman" w:cs="Times New Roman" w:eastAsia="Times New Roman" w:hAnsi="Times New Roman"/>
          <w:sz w:val="22"/>
          <w:szCs w:val="22"/>
          <w:color w:val="auto"/>
        </w:rPr>
        <w:t>”) shall be increased to the number obtained by multiplying the Initial Number by a fraction (A) the numerator of which shall be the sum of (x) the number of shares of Common Stock of the Company outstanding on such date and (y) the number of additional</w:t>
      </w:r>
    </w:p>
    <w:p>
      <w:pPr>
        <w:sectPr>
          <w:pgSz w:w="11900" w:h="16838" w:orient="portrait"/>
          <w:cols w:equalWidth="0" w:num="1">
            <w:col w:w="10584"/>
          </w:cols>
          <w:pgMar w:left="976" w:top="1422" w:right="339" w:bottom="1440" w:gutter="0" w:footer="0" w:header="0"/>
        </w:sectPr>
      </w:pPr>
    </w:p>
    <w:bookmarkStart w:id="72" w:name="page73"/>
    <w:bookmarkEnd w:id="72"/>
    <w:p>
      <w:pPr>
        <w:ind w:left="1300" w:right="20"/>
        <w:spacing w:after="0" w:line="266" w:lineRule="auto"/>
        <w:rPr>
          <w:sz w:val="20"/>
          <w:szCs w:val="20"/>
          <w:color w:val="auto"/>
        </w:rPr>
      </w:pPr>
      <w:r>
        <w:rPr>
          <w:rFonts w:ascii="Times New Roman" w:cs="Times New Roman" w:eastAsia="Times New Roman" w:hAnsi="Times New Roman"/>
          <w:sz w:val="21"/>
          <w:szCs w:val="21"/>
          <w:color w:val="auto"/>
        </w:rPr>
        <w:t>shares of Common Stock issued (or into which convertible securities may be exercised or convert) and (B) the denominator of which shall be the sum of (I) the number of shares of Common Stock outstanding on such date and</w:t>
      </w:r>
    </w:p>
    <w:p>
      <w:pPr>
        <w:spacing w:after="0" w:line="2" w:lineRule="exact"/>
        <w:rPr>
          <w:sz w:val="20"/>
          <w:szCs w:val="20"/>
          <w:color w:val="auto"/>
        </w:rPr>
      </w:pPr>
    </w:p>
    <w:p>
      <w:pPr>
        <w:ind w:left="1300" w:right="100" w:firstLine="4"/>
        <w:spacing w:after="0" w:line="245" w:lineRule="auto"/>
        <w:tabs>
          <w:tab w:leader="none" w:pos="164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of Common Stock which the aggregate consideration receivable by the Company for the total number of shares of Common Stock so issued (or into which convertible securities may be exercised or convert) would purchase at the Average Market Price determined as of the date of the agreement on pricing such shares (or such convertible securities); and</w:t>
      </w:r>
    </w:p>
    <w:p>
      <w:pPr>
        <w:spacing w:after="0" w:line="185" w:lineRule="exact"/>
        <w:rPr>
          <w:sz w:val="20"/>
          <w:szCs w:val="20"/>
          <w:color w:val="auto"/>
        </w:rPr>
      </w:pPr>
    </w:p>
    <w:p>
      <w:pPr>
        <w:ind w:left="1300" w:firstLine="4"/>
        <w:spacing w:after="0" w:line="265" w:lineRule="auto"/>
        <w:tabs>
          <w:tab w:leader="none" w:pos="1939"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Exercise Price payable upon exercise of the Warrant shall be adjusted by multiplying such Exercise Price in effect immediately prior to the date of the agreement on pricing of such shares (or of such convertible securities) by a fraction, the numerator of which shall be the number of shares of Common Stock issuable upon exercise of this Warrant prior to such date and the denominator of which shall be the number of shares of Common Stock issuable upon exercise of this Warrant immediately after the adjustment described in clause (A) above.</w:t>
      </w:r>
    </w:p>
    <w:p>
      <w:pPr>
        <w:spacing w:after="0" w:line="16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2"/>
          <w:szCs w:val="22"/>
          <w:color w:val="auto"/>
        </w:rPr>
        <w:t>For purposes of the foregoing, the aggregate consideration receivable by the Company in connection with the issuance of such shares of Common Stock or convertible securities shall be deemed to be equal to the sum of the net offering price (including the Fair Market Value of any non-cash consideration and after deduction of any related expenses payable to third parties) of all such securities plus the minimum aggregate amount, if any, payable upon exercise or conversion of any such convertible securities into shares of Common Stock; and “</w:t>
      </w:r>
      <w:r>
        <w:rPr>
          <w:rFonts w:ascii="Times New Roman" w:cs="Times New Roman" w:eastAsia="Times New Roman" w:hAnsi="Times New Roman"/>
          <w:sz w:val="22"/>
          <w:szCs w:val="22"/>
          <w:i w:val="1"/>
          <w:iCs w:val="1"/>
          <w:color w:val="auto"/>
        </w:rPr>
        <w:t>Permitted Transactions</w:t>
      </w:r>
      <w:r>
        <w:rPr>
          <w:rFonts w:ascii="Times New Roman" w:cs="Times New Roman" w:eastAsia="Times New Roman" w:hAnsi="Times New Roman"/>
          <w:sz w:val="22"/>
          <w:szCs w:val="22"/>
          <w:color w:val="auto"/>
        </w:rPr>
        <w:t>” shall mean issuances (i) as consideration for or to fund the acquisition of businesses and/or related assets, (ii) in connection with employee benefit plans and compensation related arrangements in the ordinary course and consistent with past practice approved by the Board of Directors, (iii) in connection with a public or broadly marketed offering and sale of Common Stock or convertible securities for cash conducted by the Company or its affiliates pursuant to registration under the Securities Act or Rule 144A thereunder on a basis consistent with capital raising transactions by comparable institutions and (iv) in connection with the exercise of preemptive rights on terms existing as of the Issue Date. Any adjustment made pursuant to this Section 13(B) shall become effective immediately upon the date of such issuance.</w:t>
      </w:r>
    </w:p>
    <w:p>
      <w:pPr>
        <w:spacing w:after="0" w:line="195" w:lineRule="exact"/>
        <w:rPr>
          <w:sz w:val="20"/>
          <w:szCs w:val="20"/>
          <w:color w:val="auto"/>
        </w:rPr>
      </w:pPr>
    </w:p>
    <w:p>
      <w:pPr>
        <w:ind w:firstLine="656"/>
        <w:spacing w:after="0" w:line="260" w:lineRule="auto"/>
        <w:tabs>
          <w:tab w:leader="none" w:pos="1287"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Distributions</w:t>
      </w:r>
      <w:r>
        <w:rPr>
          <w:rFonts w:ascii="Times New Roman" w:cs="Times New Roman" w:eastAsia="Times New Roman" w:hAnsi="Times New Roman"/>
          <w:sz w:val="21"/>
          <w:szCs w:val="21"/>
          <w:color w:val="auto"/>
        </w:rPr>
        <w:t>. In case the Company shall fix a record date for the making of a distribution to all holders of shares of its Common Stock of securities, evidences of indebtedness, assets, cash, rights or warrants (excluding dividends of its Common Stock and other dividends or distributions referred to in Section 13(A)), in each such case, the Exercise Price in effect prior to such record date shall be reduced immediately thereafter to the price determined by multiplying the Exercise Price in effect immediately prior to the reduction by the quotient of (x) the Average Market Price of the Common Stock determined as of the first date on which the Common Stock trades regular way on the principal national securities exchange on which the Common Stock is listed or admitted to trading without the right to receive such distribution, minus the amount of cash and/or the Fair Market Value of the securities, evidences of indebtedness, assets, rights or warrants to be so distributed in respect of one share of Common Stock (such amount and/or Fair Market Value, the “</w:t>
      </w:r>
      <w:r>
        <w:rPr>
          <w:rFonts w:ascii="Times New Roman" w:cs="Times New Roman" w:eastAsia="Times New Roman" w:hAnsi="Times New Roman"/>
          <w:sz w:val="21"/>
          <w:szCs w:val="21"/>
          <w:i w:val="1"/>
          <w:iCs w:val="1"/>
          <w:color w:val="auto"/>
        </w:rPr>
        <w:t>Per Share Fair Market Value</w:t>
      </w:r>
      <w:r>
        <w:rPr>
          <w:rFonts w:ascii="Times New Roman" w:cs="Times New Roman" w:eastAsia="Times New Roman" w:hAnsi="Times New Roman"/>
          <w:sz w:val="21"/>
          <w:szCs w:val="21"/>
          <w:color w:val="auto"/>
        </w:rPr>
        <w:t>”) divided by</w:t>
      </w:r>
    </w:p>
    <w:p>
      <w:pPr>
        <w:sectPr>
          <w:pgSz w:w="11900" w:h="16838" w:orient="portrait"/>
          <w:cols w:equalWidth="0" w:num="1">
            <w:col w:w="11240"/>
          </w:cols>
          <w:pgMar w:left="320" w:top="1422" w:right="339" w:bottom="1440" w:gutter="0" w:footer="0" w:header="0"/>
        </w:sectPr>
      </w:pPr>
    </w:p>
    <w:bookmarkStart w:id="73" w:name="page74"/>
    <w:bookmarkEnd w:id="73"/>
    <w:p>
      <w:pPr>
        <w:ind w:left="-8" w:right="100" w:firstLine="8"/>
        <w:spacing w:after="0" w:line="260" w:lineRule="auto"/>
        <w:tabs>
          <w:tab w:leader="none" w:pos="298"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Average Market Price specified in clause (x); such adjustment shall be made successively whenever such a record date is fixed. In such event, the number of Warrant Shares issuable upon the exercise of this Warrant shall be increased to the number obtained by dividing (x) the product of (1) the number of Warrant Shares issuable upon the exercise of this Warrant before such adjustment, and (2) the Exercise Price in effect immediately prior to the distribution giving rise to this adjustment by (y) the new Exercise Price determined in accordance with the immediately preceding sentence. In the event that such distribution is not so made, the Exercise Price and the number of Warrant Shares issuable upon exercise of this Warrant then in effect shall be readjusted, effective as of the date when the Board of Directors determines not to distribute such shares, evidences of indebtedness, assets, rights, cash or warrants, as the case may be, to the Exercise Price that would then be in effect and the number of Warrant Shares that would then be issuable upon exercise of this Warrant if such record date had not been fixed.</w:t>
      </w:r>
    </w:p>
    <w:p>
      <w:pPr>
        <w:spacing w:after="0" w:line="170" w:lineRule="exact"/>
        <w:rPr>
          <w:rFonts w:ascii="Times New Roman" w:cs="Times New Roman" w:eastAsia="Times New Roman" w:hAnsi="Times New Roman"/>
          <w:sz w:val="21"/>
          <w:szCs w:val="21"/>
          <w:color w:val="auto"/>
        </w:rPr>
      </w:pPr>
    </w:p>
    <w:p>
      <w:pPr>
        <w:ind w:left="-8" w:firstLine="656"/>
        <w:spacing w:after="0" w:line="245" w:lineRule="auto"/>
        <w:tabs>
          <w:tab w:leader="none" w:pos="1277"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Repurchases of Common Stock</w:t>
      </w:r>
      <w:r>
        <w:rPr>
          <w:rFonts w:ascii="Times New Roman" w:cs="Times New Roman" w:eastAsia="Times New Roman" w:hAnsi="Times New Roman"/>
          <w:sz w:val="22"/>
          <w:szCs w:val="22"/>
          <w:color w:val="auto"/>
        </w:rPr>
        <w:t>. In case the Company effects a Pro Rata Repurchase of Common Stock, then the Exercise Price shall be reduced to the price determined by multiplying the Exercise Price in effect immediately prior to the Effective Date of such Pro Rata Repurchase by a fraction of which the numerator shall be (i) the product of (x) the number of shares of Common Stock outstanding immediately before such Pro Rata Repurchase and (y) the Average Market Price of a share of Common Stock determined as of the date of the first public announcement by the Company or any of its Affiliates of the intent to effect such Pro Rata Repurchase, minus (ii) the aggregate purchase price of the Pro Rata Repurchase, and of which the denominator shall be the product of (i) the number of shares of Common Stock outstanding immediately prior to such Pro Rata Repurchase minus the number of shares of Common Stock so repurchased and (ii) the Average Market Price per share of Common Stock determined as of the date of the first public announcement by the Company or any of its Affiliates of the intent to effect such Pro Rata Repurchase. In such event, the number of shares of Common Stock issuable upon the exercise of this Warrant shall be increased to the number obtained by dividing (x) the product of (1) the number of Warrant Shares issuable upon the exercise of this Warrant before such adjustment, and (2) the Exercise Price in effect immediately prior to the Pro Rata Repurchase giving rise to this adjustment by (y) the new Exercise Price determined in accordance with the immediately preceding sentence. For the avoidance of doubt, no increase to the Exercise Price or decrease in the number of Warrant Shares issuable upon exercise of this Warrant shall be made pursuant to this Section 13(D).</w:t>
      </w:r>
    </w:p>
    <w:p>
      <w:pPr>
        <w:spacing w:after="0" w:line="189" w:lineRule="exact"/>
        <w:rPr>
          <w:rFonts w:ascii="Times New Roman" w:cs="Times New Roman" w:eastAsia="Times New Roman" w:hAnsi="Times New Roman"/>
          <w:sz w:val="22"/>
          <w:szCs w:val="22"/>
          <w:color w:val="auto"/>
        </w:rPr>
      </w:pPr>
    </w:p>
    <w:p>
      <w:pPr>
        <w:ind w:left="-8" w:right="20" w:firstLine="656"/>
        <w:spacing w:after="0" w:line="246" w:lineRule="auto"/>
        <w:tabs>
          <w:tab w:leader="none" w:pos="128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Combinations</w:t>
      </w:r>
      <w:r>
        <w:rPr>
          <w:rFonts w:ascii="Times New Roman" w:cs="Times New Roman" w:eastAsia="Times New Roman" w:hAnsi="Times New Roman"/>
          <w:sz w:val="22"/>
          <w:szCs w:val="22"/>
          <w:color w:val="auto"/>
        </w:rPr>
        <w:t>. In case of any Business Combination or reclassification of Common Stock (other than a reclassification of Common Stock referred to in Section 13(A)), the Warrantholder’s right to receive Warrant Shares upon exercise of this Warrant shall be converted into the right to exercise this Warrant to acquire the number of shares of stock or other securities or property (including cash) which the Common Stock issuable (at the time of such Business Combination or reclassification) upon exercise of this Warrant immediately prior to such Business Combination or reclassification would have been entitled to receive upon consummation of such Business Combination or reclassification; and in any such case, if necessary, the provisions set forth herein with respect to the rights and interests thereafter of the Warrantholder shall be appropriately adjusted so as to be applicable, as nearly as may reasonably be, to the Warrantholder’s right to exercise this Warrant in exchange for any shares of stock or</w:t>
      </w:r>
    </w:p>
    <w:p>
      <w:pPr>
        <w:sectPr>
          <w:pgSz w:w="11900" w:h="16838" w:orient="portrait"/>
          <w:cols w:equalWidth="0" w:num="1">
            <w:col w:w="11212"/>
          </w:cols>
          <w:pgMar w:left="328" w:top="1422" w:right="359" w:bottom="1440" w:gutter="0" w:footer="0" w:header="0"/>
        </w:sectPr>
      </w:pPr>
    </w:p>
    <w:bookmarkStart w:id="74" w:name="page75"/>
    <w:bookmarkEnd w:id="74"/>
    <w:p>
      <w:pPr>
        <w:ind w:right="180"/>
        <w:spacing w:after="0" w:line="248" w:lineRule="auto"/>
        <w:rPr>
          <w:sz w:val="20"/>
          <w:szCs w:val="20"/>
          <w:color w:val="auto"/>
        </w:rPr>
      </w:pPr>
      <w:r>
        <w:rPr>
          <w:rFonts w:ascii="Times New Roman" w:cs="Times New Roman" w:eastAsia="Times New Roman" w:hAnsi="Times New Roman"/>
          <w:sz w:val="22"/>
          <w:szCs w:val="22"/>
          <w:color w:val="auto"/>
        </w:rPr>
        <w:t>other securities or property pursuant to this paragraph. In determining the kind and amount of stock, securities or the property receivable upon exercise of this Warrant following the consummation of such Business Combination, if the holders of Common Stock have the right to elect the kind or amount of consideration receivable upon consummation of such Business Combination, then the consideration that the Warrantholder shall be entitled to receive upon exercise shall be deemed to be the types and amounts of consideration received by the majority of all holders of the shares of common stock that affirmatively make an election (or of all such holders if none make an election).</w:t>
      </w:r>
    </w:p>
    <w:p>
      <w:pPr>
        <w:spacing w:after="0" w:line="187" w:lineRule="exact"/>
        <w:rPr>
          <w:sz w:val="20"/>
          <w:szCs w:val="20"/>
          <w:color w:val="auto"/>
        </w:rPr>
      </w:pPr>
    </w:p>
    <w:p>
      <w:pPr>
        <w:ind w:right="100" w:firstLine="656"/>
        <w:spacing w:after="0" w:line="248" w:lineRule="auto"/>
        <w:tabs>
          <w:tab w:leader="none" w:pos="129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Rounding of Calculations; Minimum Adjustments</w:t>
      </w:r>
      <w:r>
        <w:rPr>
          <w:rFonts w:ascii="Times New Roman" w:cs="Times New Roman" w:eastAsia="Times New Roman" w:hAnsi="Times New Roman"/>
          <w:sz w:val="22"/>
          <w:szCs w:val="22"/>
          <w:color w:val="auto"/>
        </w:rPr>
        <w:t>. All calculations under this Section 13 shall be made to the nearest one-tenth (1/10th) of a cent or to the nearest one- hundredth (1/100th) of a share, as the case may be. Any provision of this Section 13 to the contrary notwithstanding, no adjustment in the Exercise Price or the number of Warrant Shares shall be made if the amount of such adjustment would be less than $0.01 or one-tenth (1/10th) of a share of Common Stock, but any such amount shall be carried forward and an adjustment with respect thereto shall be made at the time of and together with any subsequent adjustment which, together with such amount and any other amount or amounts so carried forward, shall aggregate $0.01 or 1/10th of a share of Common Stock, or more.</w:t>
      </w:r>
    </w:p>
    <w:p>
      <w:pPr>
        <w:spacing w:after="0" w:line="181" w:lineRule="exact"/>
        <w:rPr>
          <w:rFonts w:ascii="Times New Roman" w:cs="Times New Roman" w:eastAsia="Times New Roman" w:hAnsi="Times New Roman"/>
          <w:sz w:val="22"/>
          <w:szCs w:val="22"/>
          <w:color w:val="auto"/>
        </w:rPr>
      </w:pPr>
    </w:p>
    <w:p>
      <w:pPr>
        <w:ind w:right="20" w:firstLine="656"/>
        <w:spacing w:after="0" w:line="246" w:lineRule="auto"/>
        <w:tabs>
          <w:tab w:leader="none" w:pos="128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of Issuance of Additional Common Stock Upon Certain Adjustments</w:t>
      </w:r>
      <w:r>
        <w:rPr>
          <w:rFonts w:ascii="Times New Roman" w:cs="Times New Roman" w:eastAsia="Times New Roman" w:hAnsi="Times New Roman"/>
          <w:sz w:val="22"/>
          <w:szCs w:val="22"/>
          <w:color w:val="auto"/>
        </w:rPr>
        <w:t xml:space="preserve">. In any case in which the provisions of this Section 13 shall require that an adjustment shall become effective immediately after a record date for an event, the Company may defer until the occurrence of such event (i) issuing to the Warrantholder of this Warrant exercised after such record date and before the occurrence of such event the additional shares of Common Stock issuable upon such exercise by reason of the adjustment required by such event over and above the shares of Common Stock issuable upon such exercise before giving effect to such adjustment and (ii) paying to such Warrantholder any amount of cash in lieu of a fractional share of Common Stock;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Company upon request shall deliver to such Warrantholder a due bill or other appropriate instrument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evidencing such Warrantholder’s right to receive such additional shares, and such cash, upon the occurrence of the event requiring such adjustment.</w:t>
      </w:r>
    </w:p>
    <w:p>
      <w:pPr>
        <w:spacing w:after="0" w:line="190" w:lineRule="exact"/>
        <w:rPr>
          <w:rFonts w:ascii="Times New Roman" w:cs="Times New Roman" w:eastAsia="Times New Roman" w:hAnsi="Times New Roman"/>
          <w:sz w:val="22"/>
          <w:szCs w:val="22"/>
          <w:color w:val="auto"/>
        </w:rPr>
      </w:pPr>
    </w:p>
    <w:p>
      <w:pPr>
        <w:ind w:firstLine="656"/>
        <w:spacing w:after="0" w:line="247" w:lineRule="auto"/>
        <w:tabs>
          <w:tab w:leader="none" w:pos="128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Events</w:t>
      </w:r>
      <w:r>
        <w:rPr>
          <w:rFonts w:ascii="Times New Roman" w:cs="Times New Roman" w:eastAsia="Times New Roman" w:hAnsi="Times New Roman"/>
          <w:sz w:val="22"/>
          <w:szCs w:val="22"/>
          <w:color w:val="auto"/>
        </w:rPr>
        <w:t>. For so long as the Original Warrantholder holds this Warrant or any portion thereof, if any event occurs as to which the provisions of this Section 13 are not strictly applicable or, if strictly applicable, would not, in the good faith judgment of the Board of Directors of the Company, fairly and adequately protect the purchase rights of the Warrants in accordance with the essential intent and principles of such provisions, then the Board of Directors shall make such adjustments in the application of such provisions, in accordance with such essential intent and principles, as shall be reasonably necessary, in the good faith opinion of the Board of Directors, to protect such purchase rights as aforesaid. The Exercise Price or the number of Warrant Shares shall not be adjusted in the event of a change in the par value of the Common Stock or a change in the jurisdiction of incorporation of the Company.</w:t>
      </w:r>
    </w:p>
    <w:p>
      <w:pPr>
        <w:spacing w:after="0" w:line="185" w:lineRule="exact"/>
        <w:rPr>
          <w:rFonts w:ascii="Times New Roman" w:cs="Times New Roman" w:eastAsia="Times New Roman" w:hAnsi="Times New Roman"/>
          <w:sz w:val="22"/>
          <w:szCs w:val="22"/>
          <w:color w:val="auto"/>
        </w:rPr>
      </w:pPr>
    </w:p>
    <w:p>
      <w:pPr>
        <w:ind w:right="780" w:firstLine="656"/>
        <w:spacing w:after="0" w:line="271" w:lineRule="auto"/>
        <w:tabs>
          <w:tab w:leader="none" w:pos="129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Statement Regarding Adjustments</w:t>
      </w:r>
      <w:r>
        <w:rPr>
          <w:rFonts w:ascii="Times New Roman" w:cs="Times New Roman" w:eastAsia="Times New Roman" w:hAnsi="Times New Roman"/>
          <w:sz w:val="22"/>
          <w:szCs w:val="22"/>
          <w:color w:val="auto"/>
        </w:rPr>
        <w:t>. Whenever the Exercise Price or the number of Warrant Shares shall be adjusted as provided in Section 13, the Company shall forthwith file at</w:t>
      </w:r>
    </w:p>
    <w:p>
      <w:pPr>
        <w:sectPr>
          <w:pgSz w:w="11900" w:h="16838" w:orient="portrait"/>
          <w:cols w:equalWidth="0" w:num="1">
            <w:col w:w="11240"/>
          </w:cols>
          <w:pgMar w:left="320" w:top="1422" w:right="339" w:bottom="1440" w:gutter="0" w:footer="0" w:header="0"/>
        </w:sectPr>
      </w:pPr>
    </w:p>
    <w:bookmarkStart w:id="75" w:name="page76"/>
    <w:bookmarkEnd w:id="75"/>
    <w:p>
      <w:pPr>
        <w:ind w:right="40"/>
        <w:spacing w:after="0" w:line="252" w:lineRule="auto"/>
        <w:rPr>
          <w:sz w:val="20"/>
          <w:szCs w:val="20"/>
          <w:color w:val="auto"/>
        </w:rPr>
      </w:pPr>
      <w:r>
        <w:rPr>
          <w:rFonts w:ascii="Times New Roman" w:cs="Times New Roman" w:eastAsia="Times New Roman" w:hAnsi="Times New Roman"/>
          <w:sz w:val="22"/>
          <w:szCs w:val="22"/>
          <w:color w:val="auto"/>
        </w:rPr>
        <w:t>the principal office of the Company a statement showing in reasonable detail the facts requiring such adjustment and the Exercise Price that shall be in effect and the number of Warrant Shares after such adjustment, and the Company shall also cause a copy of such statement to be sent by mail, first class postage prepaid, to each Warrantholder at the address appearing in the Company’s records.</w:t>
      </w:r>
    </w:p>
    <w:p>
      <w:pPr>
        <w:spacing w:after="0" w:line="179" w:lineRule="exact"/>
        <w:rPr>
          <w:sz w:val="20"/>
          <w:szCs w:val="20"/>
          <w:color w:val="auto"/>
        </w:rPr>
      </w:pPr>
    </w:p>
    <w:p>
      <w:pPr>
        <w:ind w:firstLine="656"/>
        <w:spacing w:after="0" w:line="259" w:lineRule="auto"/>
        <w:tabs>
          <w:tab w:leader="none" w:pos="1294"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Adjustment Event</w:t>
      </w:r>
      <w:r>
        <w:rPr>
          <w:rFonts w:ascii="Times New Roman" w:cs="Times New Roman" w:eastAsia="Times New Roman" w:hAnsi="Times New Roman"/>
          <w:sz w:val="21"/>
          <w:szCs w:val="21"/>
          <w:color w:val="auto"/>
        </w:rPr>
        <w:t>. In the event that the Company shall propose to take any action of the type described in this Section 13 (but only if the action of the type described in this Section 13 would result in an adjustment in the Exercise Price or the number of Warrant Shares or a change in the type of securities or property to be delivered upon exercise of this Warrant), the Company shall give notice to the Warrantholder, in the manner set forth in Section 13(J), which notice shall specify the record date, if any, with respect to any such action and the approximate date on which such action is to take place. Such notice shall also set forth the facts with respect thereto as shall be reasonably necessary to indicate the effect on the Exercise Price and the number, kind or class of shares or other securities or property which shall be deliverable upon exercise of this Warrant. In the case of any action which would require the fixing of a record date, such notice shall be given at least 10 days prior to the date so fixed, and in case of all other action, such notice shall be given at least 15 days prior to the taking of such proposed action. Failure to give such notice, or any defect therein, shall not affect the legality or validity of any such action.</w:t>
      </w:r>
    </w:p>
    <w:p>
      <w:pPr>
        <w:spacing w:after="0" w:line="175" w:lineRule="exact"/>
        <w:rPr>
          <w:rFonts w:ascii="Times New Roman" w:cs="Times New Roman" w:eastAsia="Times New Roman" w:hAnsi="Times New Roman"/>
          <w:sz w:val="21"/>
          <w:szCs w:val="21"/>
          <w:color w:val="auto"/>
        </w:rPr>
      </w:pPr>
    </w:p>
    <w:p>
      <w:pPr>
        <w:ind w:right="280" w:firstLine="656"/>
        <w:spacing w:after="0" w:line="248" w:lineRule="auto"/>
        <w:tabs>
          <w:tab w:leader="none" w:pos="128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Proceedings Prior to Any Action Requiring Adjustment</w:t>
      </w:r>
      <w:r>
        <w:rPr>
          <w:rFonts w:ascii="Times New Roman" w:cs="Times New Roman" w:eastAsia="Times New Roman" w:hAnsi="Times New Roman"/>
          <w:sz w:val="22"/>
          <w:szCs w:val="22"/>
          <w:color w:val="auto"/>
        </w:rPr>
        <w:t>. As a condition precedent to the taking of any action which would require an adjustment pursuant to this Section 13, the Company shall take any action which may be necessary, including obtaining regulatory, New York Stock Exchange, NASDAQ Stock Market or other applicable national securities exchange or stockholder approvals or exemptions, as applicable, in order that the Company may thereafter validly and legally issue as fully paid and nonassessable all shares of Common Stock that the Warrantholder is entitled to receive upon exercise of this Warrant pursuant to this Section 13.</w:t>
      </w:r>
    </w:p>
    <w:p>
      <w:pPr>
        <w:spacing w:after="0" w:line="186" w:lineRule="exact"/>
        <w:rPr>
          <w:rFonts w:ascii="Times New Roman" w:cs="Times New Roman" w:eastAsia="Times New Roman" w:hAnsi="Times New Roman"/>
          <w:sz w:val="22"/>
          <w:szCs w:val="22"/>
          <w:color w:val="auto"/>
        </w:rPr>
      </w:pPr>
    </w:p>
    <w:p>
      <w:pPr>
        <w:ind w:right="80" w:firstLine="656"/>
        <w:spacing w:after="0" w:line="252" w:lineRule="auto"/>
        <w:tabs>
          <w:tab w:leader="none" w:pos="128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Rules</w:t>
      </w:r>
      <w:r>
        <w:rPr>
          <w:rFonts w:ascii="Times New Roman" w:cs="Times New Roman" w:eastAsia="Times New Roman" w:hAnsi="Times New Roman"/>
          <w:sz w:val="22"/>
          <w:szCs w:val="22"/>
          <w:color w:val="auto"/>
        </w:rPr>
        <w:t>. Any adjustments pursuant to this Section 13 shall be made successively whenever an event referred to herein shall occur. If an adjustment in Exercise Price made hereunder would reduce the Exercise Price to an amount below par value of the Common Stock, then such adjustment in Exercise Price made hereunder shall reduce the Exercise Price to the par value of the Common Stock.</w:t>
      </w:r>
    </w:p>
    <w:p>
      <w:pPr>
        <w:spacing w:after="0" w:line="179" w:lineRule="exact"/>
        <w:rPr>
          <w:sz w:val="20"/>
          <w:szCs w:val="20"/>
          <w:color w:val="auto"/>
        </w:rPr>
      </w:pPr>
    </w:p>
    <w:p>
      <w:pPr>
        <w:ind w:right="300" w:firstLine="656"/>
        <w:spacing w:after="0" w:line="250" w:lineRule="auto"/>
        <w:tabs>
          <w:tab w:leader="none" w:pos="129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Impairment</w:t>
      </w:r>
      <w:r>
        <w:rPr>
          <w:rFonts w:ascii="Times New Roman" w:cs="Times New Roman" w:eastAsia="Times New Roman" w:hAnsi="Times New Roman"/>
          <w:sz w:val="22"/>
          <w:szCs w:val="22"/>
          <w:color w:val="auto"/>
        </w:rPr>
        <w:t>. The Company will not, by amendment of its Charter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taking of all such action as may be necessary or appropriate in order to protect the rights of the Warrantholder.</w:t>
      </w:r>
    </w:p>
    <w:p>
      <w:pPr>
        <w:spacing w:after="0" w:line="17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This Warrant will be governed by and construed in accordance with the federal law of the</w:t>
      </w:r>
    </w:p>
    <w:p>
      <w:pPr>
        <w:spacing w:after="0" w:line="31" w:lineRule="exact"/>
        <w:rPr>
          <w:rFonts w:ascii="Times New Roman" w:cs="Times New Roman" w:eastAsia="Times New Roman" w:hAnsi="Times New Roman"/>
          <w:sz w:val="22"/>
          <w:szCs w:val="22"/>
          <w:color w:val="auto"/>
        </w:rPr>
      </w:pPr>
    </w:p>
    <w:p>
      <w:pPr>
        <w:ind w:right="38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United States if and to the extent such law is applicable, and otherwise in accordance with the laws of the State of New York applicable to contracts made and to be performed entirely within such State. Each of the Company</w:t>
      </w:r>
    </w:p>
    <w:p>
      <w:pPr>
        <w:sectPr>
          <w:pgSz w:w="11900" w:h="16838" w:orient="portrait"/>
          <w:cols w:equalWidth="0" w:num="1">
            <w:col w:w="11240"/>
          </w:cols>
          <w:pgMar w:left="320" w:top="1422" w:right="339" w:bottom="1440" w:gutter="0" w:footer="0" w:header="0"/>
        </w:sectPr>
      </w:pPr>
    </w:p>
    <w:bookmarkStart w:id="76" w:name="page77"/>
    <w:bookmarkEnd w:id="76"/>
    <w:p>
      <w:pPr>
        <w:ind w:right="40"/>
        <w:spacing w:after="0" w:line="248" w:lineRule="auto"/>
        <w:rPr>
          <w:sz w:val="20"/>
          <w:szCs w:val="20"/>
          <w:color w:val="auto"/>
        </w:rPr>
      </w:pPr>
      <w:r>
        <w:rPr>
          <w:rFonts w:ascii="Times New Roman" w:cs="Times New Roman" w:eastAsia="Times New Roman" w:hAnsi="Times New Roman"/>
          <w:sz w:val="22"/>
          <w:szCs w:val="22"/>
          <w:b w:val="1"/>
          <w:bCs w:val="1"/>
          <w:color w:val="auto"/>
        </w:rPr>
        <w:t>and the Warrantholder agrees (a) to submit to the exclusive jurisdiction and venue of the United States District Court for the District of Columbia for any civil action, suit or proceeding arising out of or relating to this Warrant or the transactions contemplated hereby, and (b) that notice may be served upon the Company at the address in Section 19 below and upon the Warrantholder at the address for the Warrantholder set forth in the registry maintained by the Company pursuant to Section 9 hereof. To the extent permitted by applicable law, each of the Company and the Warrantholder hereby unconditionally waives trial by jury in any civil legal action or proceeding relating to the Warrant or the transactions contemplated hereby or thereby.</w:t>
      </w:r>
    </w:p>
    <w:p>
      <w:pPr>
        <w:spacing w:after="0" w:line="186" w:lineRule="exact"/>
        <w:rPr>
          <w:sz w:val="20"/>
          <w:szCs w:val="20"/>
          <w:color w:val="auto"/>
        </w:rPr>
      </w:pPr>
    </w:p>
    <w:p>
      <w:pPr>
        <w:ind w:left="1300" w:hanging="644"/>
        <w:spacing w:after="0"/>
        <w:tabs>
          <w:tab w:leader="none" w:pos="13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Warrant shall be binding upon any successors or assigns of the Company.</w:t>
      </w:r>
    </w:p>
    <w:p>
      <w:pPr>
        <w:spacing w:after="0" w:line="219" w:lineRule="exact"/>
        <w:rPr>
          <w:rFonts w:ascii="Times New Roman" w:cs="Times New Roman" w:eastAsia="Times New Roman" w:hAnsi="Times New Roman"/>
          <w:sz w:val="22"/>
          <w:szCs w:val="22"/>
          <w:color w:val="auto"/>
        </w:rPr>
      </w:pPr>
    </w:p>
    <w:p>
      <w:pPr>
        <w:ind w:right="60" w:firstLine="656"/>
        <w:spacing w:after="0" w:line="271" w:lineRule="auto"/>
        <w:tabs>
          <w:tab w:leader="none" w:pos="129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This Warrant may be amended and the observance of any term of this Warrant may be waived only with the written consent of the Company and the Warrantholder.</w:t>
      </w:r>
    </w:p>
    <w:p>
      <w:pPr>
        <w:spacing w:after="0" w:line="157" w:lineRule="exact"/>
        <w:rPr>
          <w:rFonts w:ascii="Times New Roman" w:cs="Times New Roman" w:eastAsia="Times New Roman" w:hAnsi="Times New Roman"/>
          <w:sz w:val="22"/>
          <w:szCs w:val="22"/>
          <w:color w:val="auto"/>
        </w:rPr>
      </w:pPr>
    </w:p>
    <w:p>
      <w:pPr>
        <w:ind w:right="20" w:firstLine="656"/>
        <w:spacing w:after="0" w:line="250" w:lineRule="auto"/>
        <w:tabs>
          <w:tab w:leader="none" w:pos="129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Prohibited Actions</w:t>
      </w:r>
      <w:r>
        <w:rPr>
          <w:rFonts w:ascii="Times New Roman" w:cs="Times New Roman" w:eastAsia="Times New Roman" w:hAnsi="Times New Roman"/>
          <w:sz w:val="22"/>
          <w:szCs w:val="22"/>
          <w:color w:val="auto"/>
        </w:rPr>
        <w:t>. The Company agrees that it will not take any action which would entitle the Warrantholder to an adjustment of the Exercise Price if the total number of shares of Common Stock issuable after such action upon exercise of this Warrant, together with all shares of Common Stock then outstanding and all shares of Common Stock then issuable upon the exercise of all outstanding options, warrants, conversion and other rights, would exceed the total number of shares of Common Stock then authorized by its Charter.</w:t>
      </w:r>
    </w:p>
    <w:p>
      <w:pPr>
        <w:spacing w:after="0" w:line="180" w:lineRule="exact"/>
        <w:rPr>
          <w:rFonts w:ascii="Times New Roman" w:cs="Times New Roman" w:eastAsia="Times New Roman" w:hAnsi="Times New Roman"/>
          <w:sz w:val="22"/>
          <w:szCs w:val="22"/>
          <w:color w:val="auto"/>
        </w:rPr>
      </w:pPr>
    </w:p>
    <w:p>
      <w:pPr>
        <w:ind w:firstLine="656"/>
        <w:spacing w:after="0" w:line="250" w:lineRule="auto"/>
        <w:tabs>
          <w:tab w:leader="none" w:pos="129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request, instruction or other document to be given hereunder by any party to the other will be in writing and will be deemed to have been duly given (a) on the date of delivery if delivered personally, or by facsimile, upon confirmation of receipt, or (b) on the second Business Day following the date of dispatch if delivered by a recognized next day courier service. All notices hereunder shall be delivered as set forth in Item 7 of Schedule A hereto, or pursuant to such other instructions as may be designated in writing by the party to receive such notice.</w:t>
      </w:r>
    </w:p>
    <w:p>
      <w:pPr>
        <w:spacing w:after="0" w:line="180" w:lineRule="exact"/>
        <w:rPr>
          <w:rFonts w:ascii="Times New Roman" w:cs="Times New Roman" w:eastAsia="Times New Roman" w:hAnsi="Times New Roman"/>
          <w:sz w:val="22"/>
          <w:szCs w:val="22"/>
          <w:color w:val="auto"/>
        </w:rPr>
      </w:pPr>
    </w:p>
    <w:p>
      <w:pPr>
        <w:ind w:right="120" w:firstLine="656"/>
        <w:spacing w:after="0" w:line="252" w:lineRule="auto"/>
        <w:tabs>
          <w:tab w:leader="none" w:pos="129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Warrant, the forms attached hereto and Schedule A hereto (the terms of which are incorporated by reference herein), and the Warrant Agreement (including all documents incorporated therein), contain the entire agreement between the parties with respect to the subject matter hereof and supersede all prior and contemporaneous arrangements or undertakings with respect thereto.</w:t>
      </w:r>
    </w:p>
    <w:p>
      <w:pPr>
        <w:spacing w:after="0" w:line="1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ectPr>
          <w:pgSz w:w="11900" w:h="16838" w:orient="portrait"/>
          <w:cols w:equalWidth="0" w:num="1">
            <w:col w:w="11180"/>
          </w:cols>
          <w:pgMar w:left="320" w:top="1418" w:right="399" w:bottom="1440" w:gutter="0" w:footer="0" w:header="0"/>
        </w:sectPr>
      </w:pPr>
    </w:p>
    <w:bookmarkStart w:id="77" w:name="page78"/>
    <w:bookmarkEnd w:id="77"/>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[Form of Notice of Exercise]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-29210</wp:posOffset>
            </wp:positionV>
            <wp:extent cx="137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0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1"/>
          <w:szCs w:val="21"/>
          <w:b w:val="1"/>
          <w:bCs w:val="1"/>
          <w:color w:val="auto"/>
        </w:rPr>
        <w:t>[Company]</w:t>
      </w:r>
    </w:p>
    <w:p>
      <w:pPr>
        <w:spacing w:after="0" w:line="22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Exercise of Warrant</w:t>
      </w:r>
    </w:p>
    <w:p>
      <w:pPr>
        <w:spacing w:after="0" w:line="220"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The undersigned, pursuant to the provisions set forth in the attached Warrant, hereby notifies the Company of its intention to exercise its option with respect to the number of shares of the Common Stock set forth below covered by such Warrant. Pursuant to Section 4 of the Warrant, the undersigned acknowledges that the Company may settle this exercise in net cash or shares. Cash to be paid pursuant to a Net Cash Settlement or payment of fractional shares in connection with a Net Share Settlement should be deposited to the account of the Warrantholder set forth below. Common Stock to be delivered pursuant to a Net Share Settlement shall be delivered to the Warrantholder as indicated below. A new warrant evidencing the remaining shares of Common Stock covered by such Warrant, but not yet subscribed for and purchased, if any, should be issued in the name set forth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-13970</wp:posOffset>
            </wp:positionV>
            <wp:extent cx="137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-13970</wp:posOffset>
            </wp:positionV>
            <wp:extent cx="137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for Delivery of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2256155</wp:posOffset>
            </wp:positionH>
            <wp:positionV relativeFrom="paragraph">
              <wp:posOffset>-13970</wp:posOffset>
            </wp:positionV>
            <wp:extent cx="137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Wire Instructions:</w:t>
      </w:r>
    </w:p>
    <w:p>
      <w:pPr>
        <w:sectPr>
          <w:pgSz w:w="11900" w:h="16838" w:orient="portrait"/>
          <w:cols w:equalWidth="0" w:num="1">
            <w:col w:w="11200"/>
          </w:cols>
          <w:pgMar w:left="320" w:top="1418" w:right="379" w:bottom="1440" w:gutter="0" w:footer="0" w:header="0"/>
        </w:sectPr>
      </w:pP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Proceeds to be delivered:</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of Bank:</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City/ State of Bank:</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ABA Number of Bank</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SWIFT #</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of Account: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 Number at Bank:</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t>
      </w:r>
    </w:p>
    <w:p>
      <w:pPr>
        <w:spacing w:after="0" w:line="1801" w:lineRule="exact"/>
        <w:rPr>
          <w:sz w:val="20"/>
          <w:szCs w:val="20"/>
          <w:color w:val="auto"/>
        </w:rPr>
      </w:pPr>
    </w:p>
    <w:p>
      <w:pPr>
        <w:sectPr>
          <w:pgSz w:w="11900" w:h="16838" w:orient="portrait"/>
          <w:cols w:equalWidth="0" w:num="2">
            <w:col w:w="2840" w:space="640"/>
            <w:col w:w="7720"/>
          </w:cols>
          <w:pgMar w:left="320" w:top="1418" w:right="379" w:bottom="1440" w:gutter="0" w:footer="0" w:header="0"/>
          <w:type w:val="continuous"/>
        </w:sect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Securities to be issued to:</w:t>
      </w:r>
    </w:p>
    <w:p>
      <w:pPr>
        <w:sectPr>
          <w:pgSz w:w="11900" w:h="16838" w:orient="portrait"/>
          <w:cols w:equalWidth="0" w:num="1">
            <w:col w:w="11200"/>
          </w:cols>
          <w:pgMar w:left="320" w:top="1418" w:right="379" w:bottom="1440" w:gutter="0" w:footer="0" w:header="0"/>
          <w:type w:val="continuous"/>
        </w:sectPr>
      </w:pPr>
    </w:p>
    <w:bookmarkStart w:id="78" w:name="page79"/>
    <w:bookmarkEnd w:id="78"/>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in book-entry form through the Depositary: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60325</wp:posOffset>
            </wp:positionV>
            <wp:extent cx="34201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Agent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60325</wp:posOffset>
            </wp:positionV>
            <wp:extent cx="34201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in certificated form:</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Number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60325</wp:posOffset>
            </wp:positionV>
            <wp:extent cx="34201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60325</wp:posOffset>
            </wp:positionV>
            <wp:extent cx="34201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60325</wp:posOffset>
            </wp:positionV>
            <wp:extent cx="34201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60325</wp:posOffset>
            </wp:positionV>
            <wp:extent cx="34201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unexercised Warrants evidenced by the exercising Warrantholder’s interest in the Warrant:</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Number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60325</wp:posOffset>
            </wp:positionV>
            <wp:extent cx="34201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60325</wp:posOffset>
            </wp:positionV>
            <wp:extent cx="34201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60325</wp:posOffset>
            </wp:positionV>
            <wp:extent cx="34201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60325</wp:posOffset>
            </wp:positionV>
            <wp:extent cx="34201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-13970</wp:posOffset>
            </wp:positionV>
            <wp:extent cx="274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2796540</wp:posOffset>
            </wp:positionH>
            <wp:positionV relativeFrom="paragraph">
              <wp:posOffset>-13970</wp:posOffset>
            </wp:positionV>
            <wp:extent cx="13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2964180</wp:posOffset>
            </wp:positionH>
            <wp:positionV relativeFrom="paragraph">
              <wp:posOffset>-29210</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38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2890520</wp:posOffset>
            </wp:positionH>
            <wp:positionV relativeFrom="paragraph">
              <wp:posOffset>-29210</wp:posOffset>
            </wp:positionV>
            <wp:extent cx="137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21"/>
          <w:szCs w:val="21"/>
          <w:color w:val="auto"/>
        </w:rPr>
        <w:t>IN WITNESS WHEREOF, the Company has caused this Warrant to be duly executed by a duly authorized officer.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137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COMPANY: UNITED AIRLINES HOLDINGS, INC.</w:t>
      </w:r>
    </w:p>
    <w:p>
      <w:pPr>
        <w:spacing w:after="0" w:line="200" w:lineRule="exact"/>
        <w:rPr>
          <w:sz w:val="20"/>
          <w:szCs w:val="20"/>
          <w:color w:val="auto"/>
        </w:rPr>
      </w:pPr>
    </w:p>
    <w:p>
      <w:pPr>
        <w:spacing w:after="0" w:line="24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-13970</wp:posOffset>
            </wp:positionV>
            <wp:extent cx="1143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Attest:</w:t>
      </w:r>
    </w:p>
    <w:p>
      <w:pPr>
        <w:spacing w:after="0" w:line="200" w:lineRule="exact"/>
        <w:rPr>
          <w:sz w:val="20"/>
          <w:szCs w:val="20"/>
          <w:color w:val="auto"/>
        </w:rPr>
      </w:pPr>
    </w:p>
    <w:p>
      <w:pPr>
        <w:spacing w:after="0" w:line="24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-13970</wp:posOffset>
            </wp:positionV>
            <wp:extent cx="1143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[Signature Page to Warrant]</w:t>
      </w:r>
    </w:p>
    <w:p>
      <w:pPr>
        <w:sectPr>
          <w:pgSz w:w="11900" w:h="16838" w:orient="portrait"/>
          <w:cols w:equalWidth="0" w:num="1">
            <w:col w:w="10540"/>
          </w:cols>
          <w:pgMar w:left="320" w:top="1422" w:right="10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2"/>
          <w:szCs w:val="22"/>
          <w:u w:val="single" w:color="auto"/>
          <w:color w:val="auto"/>
        </w:rPr>
        <w:t>Item 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United Airlines Holdings,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Corporate or other organizational form: Corporation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Jurisdiction of organization: Delaware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Item 2</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Exercise Price: $43.26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Item 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 Date: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Item 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of Warrant Agreement between the Company and the United States Department of the Treasury: January 15, 2021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Item 5</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shares of Common Stock: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Item 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Company’s address: 233 S. Wacker Dr., Chicago, IL 60606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Item 7</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information: 233 S. Wacker Dr., Chicago, IL 60606, Attention of Treasurer, Facsimile: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Telephone No. [ ]</w:t>
      </w:r>
    </w:p>
    <w:p>
      <w:pPr>
        <w:sectPr>
          <w:pgSz w:w="11900" w:h="16838" w:orient="portrait"/>
          <w:cols w:equalWidth="0" w:num="1">
            <w:col w:w="10320"/>
          </w:cols>
          <w:pgMar w:left="320" w:top="1422" w:right="125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2"/>
          <w:szCs w:val="22"/>
          <w:b w:val="1"/>
          <w:bCs w:val="1"/>
          <w:color w:val="auto"/>
        </w:rPr>
        <w:t>SCHEDULE 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WARRANT SHARES FORMULA</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number of Warrant Shares for which Warrants issued on each Warrant Closing Date shall be exercisable shall equal:</w:t>
      </w:r>
    </w:p>
    <w:p>
      <w:pPr>
        <w:spacing w:after="0" w:line="243" w:lineRule="exact"/>
        <w:rPr>
          <w:sz w:val="20"/>
          <w:szCs w:val="20"/>
          <w:color w:val="auto"/>
        </w:rPr>
      </w:pPr>
    </w:p>
    <w:p>
      <w:pPr>
        <w:ind w:left="980" w:right="140" w:hanging="648"/>
        <w:spacing w:after="0" w:line="275" w:lineRule="auto"/>
        <w:tabs>
          <w:tab w:leader="none" w:pos="96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Closing Date, the quotient of (x) the product of the principal amount of the Promissory Note multiplied </w:t>
      </w:r>
      <w:r>
        <w:rPr>
          <w:rFonts w:ascii="Times New Roman" w:cs="Times New Roman" w:eastAsia="Times New Roman" w:hAnsi="Times New Roman"/>
          <w:sz w:val="22"/>
          <w:szCs w:val="22"/>
          <w:i w:val="1"/>
          <w:iCs w:val="1"/>
          <w:color w:val="auto"/>
        </w:rPr>
        <w:t>by</w:t>
      </w:r>
      <w:r>
        <w:rPr>
          <w:rFonts w:ascii="Times New Roman" w:cs="Times New Roman" w:eastAsia="Times New Roman" w:hAnsi="Times New Roman"/>
          <w:sz w:val="22"/>
          <w:szCs w:val="22"/>
          <w:color w:val="auto"/>
        </w:rPr>
        <w:t xml:space="preserve"> 0.1 </w:t>
      </w:r>
      <w:r>
        <w:rPr>
          <w:rFonts w:ascii="Times New Roman" w:cs="Times New Roman" w:eastAsia="Times New Roman" w:hAnsi="Times New Roman"/>
          <w:sz w:val="22"/>
          <w:szCs w:val="22"/>
          <w:i w:val="1"/>
          <w:iCs w:val="1"/>
          <w:color w:val="auto"/>
        </w:rPr>
        <w:t xml:space="preserve">divided by </w:t>
      </w:r>
      <w:r>
        <w:rPr>
          <w:rFonts w:ascii="Times New Roman" w:cs="Times New Roman" w:eastAsia="Times New Roman" w:hAnsi="Times New Roman"/>
          <w:sz w:val="22"/>
          <w:szCs w:val="22"/>
          <w:color w:val="auto"/>
        </w:rPr>
        <w:t>(y) the Exercise Price (as defined in Annex B); and</w:t>
      </w:r>
    </w:p>
    <w:p>
      <w:pPr>
        <w:spacing w:after="0" w:line="180" w:lineRule="exact"/>
        <w:rPr>
          <w:rFonts w:ascii="Times New Roman" w:cs="Times New Roman" w:eastAsia="Times New Roman" w:hAnsi="Times New Roman"/>
          <w:sz w:val="22"/>
          <w:szCs w:val="22"/>
          <w:color w:val="auto"/>
        </w:rPr>
      </w:pPr>
    </w:p>
    <w:p>
      <w:pPr>
        <w:ind w:left="980" w:right="660" w:hanging="648"/>
        <w:spacing w:after="0" w:line="257" w:lineRule="auto"/>
        <w:tabs>
          <w:tab w:leader="none" w:pos="97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each subsequent Warrant Closing Date, the quotient of (x) the product of the amount by which the principal amount of the Promissory Note is increased on such Warrant Closing Date multiplied </w:t>
      </w:r>
      <w:r>
        <w:rPr>
          <w:rFonts w:ascii="Times New Roman" w:cs="Times New Roman" w:eastAsia="Times New Roman" w:hAnsi="Times New Roman"/>
          <w:sz w:val="22"/>
          <w:szCs w:val="22"/>
          <w:i w:val="1"/>
          <w:iCs w:val="1"/>
          <w:color w:val="auto"/>
        </w:rPr>
        <w:t>by</w:t>
      </w:r>
      <w:r>
        <w:rPr>
          <w:rFonts w:ascii="Times New Roman" w:cs="Times New Roman" w:eastAsia="Times New Roman" w:hAnsi="Times New Roman"/>
          <w:sz w:val="22"/>
          <w:szCs w:val="22"/>
          <w:color w:val="auto"/>
        </w:rPr>
        <w:t xml:space="preserve"> 0.1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(y) the Exercise Price.</w:t>
      </w:r>
    </w:p>
    <w:p>
      <w:pPr>
        <w:sectPr>
          <w:pgSz w:w="11900" w:h="16838" w:orient="portrait"/>
          <w:cols w:equalWidth="0" w:num="1">
            <w:col w:w="11240"/>
          </w:cols>
          <w:pgMar w:left="320" w:top="1418"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2"/>
          <w:szCs w:val="22"/>
          <w:b w:val="1"/>
          <w:bCs w:val="1"/>
          <w:color w:val="auto"/>
        </w:rPr>
        <w:t>SCHEDULE 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CAPITALIZATION</w:t>
      </w:r>
    </w:p>
    <w:p>
      <w:pPr>
        <w:spacing w:after="0" w:line="200" w:lineRule="exact"/>
        <w:rPr>
          <w:sz w:val="20"/>
          <w:szCs w:val="20"/>
          <w:color w:val="auto"/>
        </w:rPr>
      </w:pPr>
    </w:p>
    <w:p>
      <w:pPr>
        <w:spacing w:after="0" w:line="23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As of December 31, 2020, the Company had (i) 1,000,000,000 shares of common stock authorized and (ii) approximately 311,845,232 shares of common stock outstanding, (iii) options to purchase approximately 689,200 shares of common stock, at a weighted-average exercise price of $82.12 per share (of which approximately 252,207 were exercisable as of that date) outstanding, (iv) warrants exercisable for 6,414,635 shares of common stock outstanding, (v) 3,228,106 shares of common stock issuable upon the vesting of outstanding restricted stock units and other outstanding equity awards (other than options), and (vi) 6,298,671 shares of common stock available for future issuance under our equity incentive plans.</w:t>
      </w:r>
    </w:p>
    <w:p>
      <w:pPr>
        <w:sectPr>
          <w:pgSz w:w="11900" w:h="16838" w:orient="portrait"/>
          <w:cols w:equalWidth="0" w:num="1">
            <w:col w:w="11240"/>
          </w:cols>
          <w:pgMar w:left="320" w:top="1418"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2"/>
          <w:szCs w:val="22"/>
          <w:b w:val="1"/>
          <w:bCs w:val="1"/>
          <w:color w:val="auto"/>
        </w:rPr>
        <w:t>SCHEDULE 3</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REQUIRED STOCKHOLDER APPROVALS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ectPr>
          <w:pgSz w:w="11900" w:h="16838" w:orient="portrait"/>
          <w:cols w:equalWidth="0" w:num="1">
            <w:col w:w="11240"/>
          </w:cols>
          <w:pgMar w:left="320" w:top="1418"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PAYROLL SUPPORT PROGRAM EXTENSION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40575" cy="5126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40575" cy="51263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40" w:right="1520"/>
        <w:spacing w:after="0" w:line="297" w:lineRule="auto"/>
        <w:rPr>
          <w:sz w:val="20"/>
          <w:szCs w:val="20"/>
          <w:color w:val="auto"/>
        </w:rPr>
      </w:pPr>
      <w:r>
        <w:rPr>
          <w:rFonts w:ascii="Times New Roman" w:cs="Times New Roman" w:eastAsia="Times New Roman" w:hAnsi="Times New Roman"/>
          <w:sz w:val="22"/>
          <w:szCs w:val="22"/>
          <w:b w:val="1"/>
          <w:bCs w:val="1"/>
          <w:color w:val="auto"/>
        </w:rPr>
        <w:t xml:space="preserve">Recipient: </w:t>
      </w:r>
      <w:r>
        <w:rPr>
          <w:rFonts w:ascii="Times New Roman" w:cs="Times New Roman" w:eastAsia="Times New Roman" w:hAnsi="Times New Roman"/>
          <w:sz w:val="22"/>
          <w:szCs w:val="22"/>
          <w:color w:val="auto"/>
        </w:rPr>
        <w:t>United Airlines, Inc.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233 S. Wacker Dr. Chicago, IL 60606</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PSP Participant Number: </w:t>
      </w:r>
      <w:r>
        <w:rPr>
          <w:rFonts w:ascii="Times New Roman" w:cs="Times New Roman" w:eastAsia="Times New Roman" w:hAnsi="Times New Roman"/>
          <w:sz w:val="22"/>
          <w:szCs w:val="22"/>
          <w:color w:val="auto"/>
        </w:rPr>
        <w:t>PSA-2004062481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Employer Identification Number: </w:t>
      </w:r>
      <w:r>
        <w:rPr>
          <w:rFonts w:ascii="Times New Roman" w:cs="Times New Roman" w:eastAsia="Times New Roman" w:hAnsi="Times New Roman"/>
          <w:sz w:val="21"/>
          <w:szCs w:val="21"/>
          <w:color w:val="auto"/>
        </w:rPr>
        <w:t>74-2099724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DUNS Number: </w:t>
      </w:r>
      <w:r>
        <w:rPr>
          <w:rFonts w:ascii="Times New Roman" w:cs="Times New Roman" w:eastAsia="Times New Roman" w:hAnsi="Times New Roman"/>
          <w:sz w:val="22"/>
          <w:szCs w:val="22"/>
          <w:color w:val="auto"/>
        </w:rPr>
        <w:t>09-944-7401</w:t>
      </w:r>
    </w:p>
    <w:p>
      <w:pPr>
        <w:spacing w:after="0" w:line="292" w:lineRule="exact"/>
        <w:rPr>
          <w:sz w:val="20"/>
          <w:szCs w:val="20"/>
          <w:color w:val="auto"/>
        </w:rPr>
      </w:pPr>
    </w:p>
    <w:p>
      <w:pPr>
        <w:sectPr>
          <w:pgSz w:w="11900" w:h="16838" w:orient="portrait"/>
          <w:cols w:equalWidth="0" w:num="2">
            <w:col w:w="4340" w:space="720"/>
            <w:col w:w="6180"/>
          </w:cols>
          <w:pgMar w:left="320" w:top="122" w:right="339" w:bottom="1440" w:gutter="0" w:footer="0" w:header="0"/>
          <w:type w:val="continuous"/>
        </w:sectPr>
      </w:pPr>
    </w:p>
    <w:p>
      <w:pPr>
        <w:spacing w:after="0" w:line="121" w:lineRule="exact"/>
        <w:rPr>
          <w:sz w:val="20"/>
          <w:szCs w:val="20"/>
          <w:color w:val="auto"/>
        </w:rPr>
      </w:pPr>
    </w:p>
    <w:p>
      <w:pPr>
        <w:ind w:left="260" w:hanging="221"/>
        <w:spacing w:after="0"/>
        <w:tabs>
          <w:tab w:leader="none" w:pos="260" w:val="left"/>
        </w:tabs>
        <w:numPr>
          <w:ilvl w:val="0"/>
          <w:numId w:val="94"/>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Additional Recipients: N/A</w:t>
      </w:r>
    </w:p>
    <w:p>
      <w:pPr>
        <w:spacing w:after="0" w:line="107" w:lineRule="exact"/>
        <w:rPr>
          <w:rFonts w:ascii="MS PGothic" w:cs="MS PGothic" w:eastAsia="MS PGothic" w:hAnsi="MS PGothic"/>
          <w:sz w:val="20"/>
          <w:szCs w:val="20"/>
          <w:color w:val="auto"/>
        </w:rPr>
      </w:pPr>
    </w:p>
    <w:p>
      <w:pPr>
        <w:ind w:left="260" w:hanging="221"/>
        <w:spacing w:after="0"/>
        <w:tabs>
          <w:tab w:leader="none" w:pos="260" w:val="left"/>
        </w:tabs>
        <w:numPr>
          <w:ilvl w:val="0"/>
          <w:numId w:val="94"/>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Amount of Initial Payroll Support Payment: $1,304,868,000</w:t>
      </w:r>
    </w:p>
    <w:p>
      <w:pPr>
        <w:spacing w:after="0" w:line="134" w:lineRule="exact"/>
        <w:rPr>
          <w:sz w:val="20"/>
          <w:szCs w:val="20"/>
          <w:color w:val="auto"/>
        </w:rPr>
      </w:pPr>
    </w:p>
    <w:p>
      <w:pPr>
        <w:ind w:left="40" w:right="200"/>
        <w:spacing w:after="0" w:line="261" w:lineRule="auto"/>
        <w:rPr>
          <w:sz w:val="20"/>
          <w:szCs w:val="20"/>
          <w:color w:val="auto"/>
        </w:rPr>
      </w:pPr>
      <w:r>
        <w:rPr>
          <w:rFonts w:ascii="Times New Roman" w:cs="Times New Roman" w:eastAsia="Times New Roman" w:hAnsi="Times New Roman"/>
          <w:sz w:val="22"/>
          <w:szCs w:val="22"/>
          <w:color w:val="auto"/>
        </w:rPr>
        <w:t>The Department of the Treasury (Treasury) hereby provides Payroll Support (as defined herein) under Subtitle A of Title IV of Division N of the Consolidated Appropriations Act, 2021. The Signatory Entity named above, on behalf of itself and its Affiliates (as defined herein), agrees to comply with this Agreement and applicable Federal law as a condition of receiving Payroll Support. The Signatory Entity and its undersigned authorized representatives acknowledge that a materially false, fictitious, or fraudulent statement (or concealment or omission of a material fact) in connection with this Agreement may result in administrative remedies as well as civil and/or criminal penalties.</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The undersigned hereby agree to the attached Payroll Support Program Extension Agreement.</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80"/>
        </w:trPr>
        <w:tc>
          <w:tcPr>
            <w:tcW w:w="50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/s/ Steven Mnuchin</w:t>
            </w:r>
          </w:p>
        </w:tc>
        <w:tc>
          <w:tcPr>
            <w:tcW w:w="19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w w:val="97"/>
              </w:rPr>
              <w:t>/s/ Gerald Laderman</w:t>
            </w:r>
          </w:p>
        </w:tc>
        <w:tc>
          <w:tcPr>
            <w:tcW w:w="2500" w:type="dxa"/>
            <w:vAlign w:val="bottom"/>
          </w:tcPr>
          <w:p>
            <w:pPr>
              <w:spacing w:after="0"/>
              <w:rPr>
                <w:sz w:val="24"/>
                <w:szCs w:val="24"/>
                <w:color w:val="auto"/>
              </w:rPr>
            </w:pPr>
          </w:p>
        </w:tc>
      </w:tr>
      <w:tr>
        <w:trPr>
          <w:trHeight w:val="323"/>
        </w:trPr>
        <w:tc>
          <w:tcPr>
            <w:tcW w:w="5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Department of the Treasury</w:t>
            </w:r>
          </w:p>
        </w:tc>
        <w:tc>
          <w:tcPr>
            <w:tcW w:w="4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United Airlines, Inc.</w:t>
            </w:r>
          </w:p>
        </w:tc>
      </w:tr>
      <w:tr>
        <w:trPr>
          <w:trHeight w:val="297"/>
        </w:trPr>
        <w:tc>
          <w:tcPr>
            <w:tcW w:w="5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 Steven Mnuchin</w:t>
            </w:r>
          </w:p>
        </w:tc>
        <w:tc>
          <w:tcPr>
            <w:tcW w:w="44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7"/>
              </w:rPr>
              <w:t>First Authorized Representative: Gerald Laderman</w:t>
            </w:r>
          </w:p>
        </w:tc>
      </w:tr>
      <w:tr>
        <w:trPr>
          <w:trHeight w:val="297"/>
        </w:trPr>
        <w:tc>
          <w:tcPr>
            <w:tcW w:w="5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 Secretary</w:t>
            </w:r>
          </w:p>
        </w:tc>
        <w:tc>
          <w:tcPr>
            <w:tcW w:w="4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Executive Vice President</w:t>
            </w:r>
          </w:p>
        </w:tc>
      </w:tr>
      <w:tr>
        <w:trPr>
          <w:trHeight w:val="297"/>
        </w:trPr>
        <w:tc>
          <w:tcPr>
            <w:tcW w:w="5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January 15, 2021</w:t>
            </w:r>
          </w:p>
        </w:tc>
        <w:tc>
          <w:tcPr>
            <w:tcW w:w="4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And Chief Financial Officer</w:t>
            </w:r>
          </w:p>
        </w:tc>
      </w:tr>
      <w:tr>
        <w:trPr>
          <w:trHeight w:val="297"/>
        </w:trPr>
        <w:tc>
          <w:tcPr>
            <w:tcW w:w="17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Date: January 15, 2021</w:t>
            </w:r>
          </w:p>
        </w:tc>
      </w:tr>
      <w:tr>
        <w:trPr>
          <w:trHeight w:val="515"/>
        </w:trPr>
        <w:tc>
          <w:tcPr>
            <w:tcW w:w="17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w w:val="98"/>
              </w:rPr>
              <w:t>/s/ Pamela S. Hendry</w:t>
            </w:r>
          </w:p>
        </w:tc>
        <w:tc>
          <w:tcPr>
            <w:tcW w:w="2620" w:type="dxa"/>
            <w:vAlign w:val="bottom"/>
            <w:gridSpan w:val="2"/>
          </w:tcPr>
          <w:p>
            <w:pPr>
              <w:spacing w:after="0"/>
              <w:rPr>
                <w:sz w:val="24"/>
                <w:szCs w:val="24"/>
                <w:color w:val="auto"/>
              </w:rPr>
            </w:pPr>
          </w:p>
        </w:tc>
      </w:tr>
      <w:tr>
        <w:trPr>
          <w:trHeight w:val="324"/>
        </w:trPr>
        <w:tc>
          <w:tcPr>
            <w:tcW w:w="17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United Airlines, Inc.</w:t>
            </w:r>
          </w:p>
        </w:tc>
      </w:tr>
      <w:tr>
        <w:trPr>
          <w:trHeight w:val="297"/>
        </w:trPr>
        <w:tc>
          <w:tcPr>
            <w:tcW w:w="17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Second Authorized Representative: Pamela S. Hendry</w:t>
            </w:r>
          </w:p>
        </w:tc>
      </w:tr>
      <w:tr>
        <w:trPr>
          <w:trHeight w:val="297"/>
        </w:trPr>
        <w:tc>
          <w:tcPr>
            <w:tcW w:w="17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Title: Vice President and Treasurer</w:t>
            </w:r>
          </w:p>
        </w:tc>
      </w:tr>
      <w:tr>
        <w:trPr>
          <w:trHeight w:val="297"/>
        </w:trPr>
        <w:tc>
          <w:tcPr>
            <w:tcW w:w="17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Date: January 15,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OMB Approval No. 1505-0263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22" w:right="339" w:bottom="1440" w:gutter="0" w:footer="0" w:header="0"/>
          <w:type w:val="continuous"/>
        </w:sectPr>
      </w:pPr>
    </w:p>
    <w:bookmarkStart w:id="85" w:name="page86"/>
    <w:bookmarkEnd w:id="85"/>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PAYROLL SUPPORT PROGRAM EXTENSION AGREEMENT</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22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1"/>
          <w:szCs w:val="21"/>
          <w:color w:val="auto"/>
        </w:rPr>
        <w:t>Subtitle A of Title IV of Division N of the Consolidated Appropriations Act, 2021 (PSP Extension Law) directs the Department of the Treasury (Treasury) to provide Payroll Support (as defined herein) to passenger air carriers and certain contractors that must be exclusively used for the continuation of payment of Employee Salaries, Wages, and Benefits (as defined herein). The PSP Extension Law permits Treasury to provide Payroll Support in such form, and on such terms and conditions, as the Secretary of the Treasury determines appropriate, and requires certain assurances from the Recipient (as defined herein).</w:t>
      </w:r>
    </w:p>
    <w:p>
      <w:pPr>
        <w:spacing w:after="0" w:line="165"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22"/>
          <w:szCs w:val="22"/>
          <w:color w:val="auto"/>
        </w:rPr>
        <w:t>This Payroll Support Program Extension Agreement, including the application and all supporting documents submitted by the Recipient and the Payroll Support Program Extension Certification attached hereto (collectively, Agreement), memorializes the binding terms and conditions applicable to the Recipient.</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2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2"/>
          <w:szCs w:val="22"/>
          <w:color w:val="auto"/>
        </w:rPr>
        <w:t>As used in this Agreement, the following terms shall have the following respective meanings, unless the context clearly requires otherwise. In addition, this Agreement shall be construed in a manner consistent with any public guidance Treasury may from time to time issue regarding the implementation of the PSP Extension Law.</w:t>
      </w:r>
    </w:p>
    <w:p>
      <w:pPr>
        <w:spacing w:after="0" w:line="16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Additional Payroll Support Payment </w:t>
      </w:r>
      <w:r>
        <w:rPr>
          <w:rFonts w:ascii="Times New Roman" w:cs="Times New Roman" w:eastAsia="Times New Roman" w:hAnsi="Times New Roman"/>
          <w:sz w:val="22"/>
          <w:szCs w:val="22"/>
          <w:color w:val="auto"/>
        </w:rPr>
        <w:t>means any disbursement of Payroll Support occurring after the first disbursement of Payroll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Support under this Agreement.</w:t>
      </w:r>
    </w:p>
    <w:p>
      <w:pPr>
        <w:spacing w:after="0" w:line="149" w:lineRule="exact"/>
        <w:rPr>
          <w:sz w:val="20"/>
          <w:szCs w:val="20"/>
          <w:color w:val="auto"/>
        </w:rPr>
      </w:pPr>
    </w:p>
    <w:p>
      <w:pPr>
        <w:jc w:val="both"/>
        <w:ind w:right="240"/>
        <w:spacing w:after="0" w:line="277" w:lineRule="auto"/>
        <w:rPr>
          <w:sz w:val="20"/>
          <w:szCs w:val="20"/>
          <w:color w:val="auto"/>
        </w:rPr>
      </w:pPr>
      <w:r>
        <w:rPr>
          <w:rFonts w:ascii="Times New Roman" w:cs="Times New Roman" w:eastAsia="Times New Roman" w:hAnsi="Times New Roman"/>
          <w:sz w:val="21"/>
          <w:szCs w:val="21"/>
          <w:i w:val="1"/>
          <w:iCs w:val="1"/>
          <w:color w:val="auto"/>
        </w:rPr>
        <w:t xml:space="preserve">Affiliate </w:t>
      </w:r>
      <w:r>
        <w:rPr>
          <w:rFonts w:ascii="Times New Roman" w:cs="Times New Roman" w:eastAsia="Times New Roman" w:hAnsi="Times New Roman"/>
          <w:sz w:val="21"/>
          <w:szCs w:val="21"/>
          <w:color w:val="auto"/>
        </w:rPr>
        <w:t>means any Person that directly or indirectly controls, is controlled by, or is under common control with, the Recipient.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For purposes of this definition, “control” of a Person shall mean having the power, directly or indirectly, to direct or cause the direction of the management and policies of such Person, whether by ownership of voting equity, by contract, or otherwise.</w:t>
      </w:r>
    </w:p>
    <w:p>
      <w:pPr>
        <w:spacing w:after="0" w:line="14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Benefits </w:t>
      </w:r>
      <w:r>
        <w:rPr>
          <w:rFonts w:ascii="Times New Roman" w:cs="Times New Roman" w:eastAsia="Times New Roman" w:hAnsi="Times New Roman"/>
          <w:sz w:val="22"/>
          <w:szCs w:val="22"/>
          <w:color w:val="auto"/>
        </w:rPr>
        <w:t>means, without duplication of any amounts counted as Salary or Wages, pension expenses in respect of Employees,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expenses for accident, sickness, hospital, and death benefits to Employees, and the cost of insurance to provide such benefits; any Severance Pay or Other Benefits payable to Employees pursuant to a bona fide voluntary early retirement program or voluntary furlough; and any other similar expenses paid by the Recipient for the benefit of Employees, including any other fringe benefit expense described in lines 10 and 11 of Financial Reporting Schedule P-6, Form 41, as published by the Department of Transportation, but excluding any Federal, state, or local payroll taxes paid by the Recipient.</w:t>
      </w:r>
    </w:p>
    <w:p>
      <w:pPr>
        <w:spacing w:after="0" w:line="180"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1"/>
          <w:szCs w:val="21"/>
          <w:i w:val="1"/>
          <w:iCs w:val="1"/>
          <w:color w:val="auto"/>
        </w:rPr>
        <w:t xml:space="preserve">Corporate Officer </w:t>
      </w:r>
      <w:r>
        <w:rPr>
          <w:rFonts w:ascii="Times New Roman" w:cs="Times New Roman" w:eastAsia="Times New Roman" w:hAnsi="Times New Roman"/>
          <w:sz w:val="21"/>
          <w:szCs w:val="21"/>
          <w:color w:val="auto"/>
        </w:rPr>
        <w:t>means, with respect to the Recipient, its president; any vice president in charge of a principal business unit,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division, or function (such as sales, administration or finance); any other officer who performs a policy-making function; or any other person who performs similar policy making functions for the Recipient. Executive officers of subsidiaries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00"/>
          </w:cols>
          <w:pgMar w:left="320" w:top="1418" w:right="379" w:bottom="1440" w:gutter="0" w:footer="0" w:header="0"/>
        </w:sectPr>
      </w:pPr>
    </w:p>
    <w:bookmarkStart w:id="86" w:name="page87"/>
    <w:bookmarkEnd w:id="86"/>
    <w:p>
      <w:pPr>
        <w:ind w:right="20"/>
        <w:spacing w:after="0" w:line="271" w:lineRule="auto"/>
        <w:rPr>
          <w:sz w:val="20"/>
          <w:szCs w:val="20"/>
          <w:color w:val="auto"/>
        </w:rPr>
      </w:pPr>
      <w:r>
        <w:rPr>
          <w:rFonts w:ascii="Times New Roman" w:cs="Times New Roman" w:eastAsia="Times New Roman" w:hAnsi="Times New Roman"/>
          <w:sz w:val="22"/>
          <w:szCs w:val="22"/>
          <w:color w:val="auto"/>
        </w:rPr>
        <w:t>parents of the Recipient may be deemed Corporate Officers of the Recipient if they perform such policy-making functions for the Recipient.</w:t>
      </w:r>
    </w:p>
    <w:p>
      <w:pPr>
        <w:spacing w:after="0" w:line="15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Employee </w:t>
      </w:r>
      <w:r>
        <w:rPr>
          <w:rFonts w:ascii="Times New Roman" w:cs="Times New Roman" w:eastAsia="Times New Roman" w:hAnsi="Times New Roman"/>
          <w:sz w:val="22"/>
          <w:szCs w:val="22"/>
          <w:color w:val="auto"/>
        </w:rPr>
        <w:t>means an individual who is employed by the Recipient and whose principal place of employment is in the United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States (including its territories and possessions), including salaried, hourly, full-time, part-time, temporary, and leased employees, but excluding any individual who is a Corporate Officer or independent contractor.</w:t>
      </w:r>
    </w:p>
    <w:p>
      <w:pPr>
        <w:spacing w:after="0" w:line="16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1"/>
          <w:szCs w:val="21"/>
          <w:i w:val="1"/>
          <w:iCs w:val="1"/>
          <w:color w:val="auto"/>
        </w:rPr>
        <w:t xml:space="preserve">Involuntary Termination or Furlough </w:t>
      </w:r>
      <w:r>
        <w:rPr>
          <w:rFonts w:ascii="Times New Roman" w:cs="Times New Roman" w:eastAsia="Times New Roman" w:hAnsi="Times New Roman"/>
          <w:sz w:val="21"/>
          <w:szCs w:val="21"/>
          <w:color w:val="auto"/>
        </w:rPr>
        <w:t>means the Recipient terminating the employment of one or more Employees or requiring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one or more Employees to take a temporary suspension or unpaid leave for any reason, including a shut-down or slow-down of business; provided, however, that an Involuntary Termination or Furlough does not include a Permitted Termination or Furlough.</w:t>
      </w:r>
    </w:p>
    <w:p>
      <w:pPr>
        <w:spacing w:after="0" w:line="149"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Maximum Awardable Amount </w:t>
      </w:r>
      <w:r>
        <w:rPr>
          <w:rFonts w:ascii="Times New Roman" w:cs="Times New Roman" w:eastAsia="Times New Roman" w:hAnsi="Times New Roman"/>
          <w:sz w:val="22"/>
          <w:szCs w:val="22"/>
          <w:color w:val="auto"/>
        </w:rPr>
        <w:t>means the amount determined by the Secretary with respect to the Recipient pursuant to 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403(a) of the PSP Extension Law.</w:t>
      </w:r>
    </w:p>
    <w:p>
      <w:pPr>
        <w:spacing w:after="0" w:line="14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Payroll Support </w:t>
      </w:r>
      <w:r>
        <w:rPr>
          <w:rFonts w:ascii="Times New Roman" w:cs="Times New Roman" w:eastAsia="Times New Roman" w:hAnsi="Times New Roman"/>
          <w:sz w:val="22"/>
          <w:szCs w:val="22"/>
          <w:color w:val="auto"/>
        </w:rPr>
        <w:t>means funds disbursed by the Secretary to the Recipient under this Agreement, including the first disbursement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Payroll Support and any Additional Payroll Support Payment.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PSP Extension Law </w:t>
      </w:r>
      <w:r>
        <w:rPr>
          <w:rFonts w:ascii="Times New Roman" w:cs="Times New Roman" w:eastAsia="Times New Roman" w:hAnsi="Times New Roman"/>
          <w:sz w:val="22"/>
          <w:szCs w:val="22"/>
          <w:color w:val="auto"/>
        </w:rPr>
        <w:t>means Subtitle A of Title IV of Division N of the Consolidated Appropriations Act, 2021.</w:t>
      </w:r>
    </w:p>
    <w:p>
      <w:pPr>
        <w:spacing w:after="0" w:line="22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Permitted Termination or Furlough </w:t>
      </w:r>
      <w:r>
        <w:rPr>
          <w:rFonts w:ascii="Times New Roman" w:cs="Times New Roman" w:eastAsia="Times New Roman" w:hAnsi="Times New Roman"/>
          <w:sz w:val="22"/>
          <w:szCs w:val="22"/>
          <w:color w:val="auto"/>
        </w:rPr>
        <w:t>means, with respect to an Employee, (1) a voluntary furlough, voluntary leave of absence,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voluntary resignation, or voluntary retirement, (2) termination of employment resulting from such Employee’s death or disability, or (3) the Recipient terminating the employment of such Employee for cause or placing such Employee on a temporary suspension or unpaid leave of absence for disciplinary reasons, in either case, as reasonably determined by the Recipient acting in good faith.</w:t>
      </w:r>
    </w:p>
    <w:p>
      <w:pPr>
        <w:spacing w:after="0" w:line="176"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Person </w:t>
      </w:r>
      <w:r>
        <w:rPr>
          <w:rFonts w:ascii="Times New Roman" w:cs="Times New Roman" w:eastAsia="Times New Roman" w:hAnsi="Times New Roman"/>
          <w:sz w:val="22"/>
          <w:szCs w:val="22"/>
          <w:color w:val="auto"/>
        </w:rPr>
        <w:t>means any natural person, corporation, limited liability company, partnership, joint venture, trust, business association,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governmental entity, or other entity.</w:t>
      </w:r>
    </w:p>
    <w:p>
      <w:pPr>
        <w:spacing w:after="0" w:line="149"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PSP1 </w:t>
      </w:r>
      <w:r>
        <w:rPr>
          <w:rFonts w:ascii="Times New Roman" w:cs="Times New Roman" w:eastAsia="Times New Roman" w:hAnsi="Times New Roman"/>
          <w:sz w:val="22"/>
          <w:szCs w:val="22"/>
          <w:color w:val="auto"/>
        </w:rPr>
        <w:t>means the Payroll Support Program established under Division A, Title IV, Subtitle B of the Coronavirus Aid, Relief,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Economic Security Act (Pub. L. No. 116-136).</w:t>
      </w:r>
    </w:p>
    <w:p>
      <w:pPr>
        <w:spacing w:after="0" w:line="149"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Recall </w:t>
      </w:r>
      <w:r>
        <w:rPr>
          <w:rFonts w:ascii="Times New Roman" w:cs="Times New Roman" w:eastAsia="Times New Roman" w:hAnsi="Times New Roman"/>
          <w:sz w:val="22"/>
          <w:szCs w:val="22"/>
          <w:color w:val="auto"/>
        </w:rPr>
        <w:t>means the dispatch of a notice by the Recipient, via mail, courier, or electronic mail, to an Employee who was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 Involuntary Termination or Furlough notifying the Employee that (1) the Employee must, within a specified period of time that is not less than 14 days or such other period for recall as is specified in an existing collective bargaining agreement entered into before December 27, 2020, elect either (a) to return to employment or bypass return to employment, in accordance with an applicable collective bargaining agreement or, in the absence of a collective bargaining agreement, the Recipient’s policy; or (b) to permanently separate from employment with the Recipient; and (2) failure to respond within such time period specified shall be considered an election under clause (1)(b) of this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20" w:top="1422" w:right="359" w:bottom="1440" w:gutter="0" w:footer="0" w:header="0"/>
        </w:sectPr>
      </w:pPr>
    </w:p>
    <w:bookmarkStart w:id="87" w:name="page88"/>
    <w:bookmarkEnd w:id="87"/>
    <w:p>
      <w:pPr>
        <w:ind w:right="720"/>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Recipient </w:t>
      </w:r>
      <w:r>
        <w:rPr>
          <w:rFonts w:ascii="Times New Roman" w:cs="Times New Roman" w:eastAsia="Times New Roman" w:hAnsi="Times New Roman"/>
          <w:sz w:val="22"/>
          <w:szCs w:val="22"/>
          <w:color w:val="auto"/>
        </w:rPr>
        <w:t>means, collectively, the Signatory Entity; its Affiliates that are listed on the signature page hereto as Additional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Recipients; and their respective heirs, executors, administrators, successors, and assigns.</w:t>
      </w:r>
    </w:p>
    <w:p>
      <w:pPr>
        <w:spacing w:after="0" w:line="14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Returning Employee </w:t>
      </w:r>
      <w:r>
        <w:rPr>
          <w:rFonts w:ascii="Times New Roman" w:cs="Times New Roman" w:eastAsia="Times New Roman" w:hAnsi="Times New Roman"/>
          <w:sz w:val="22"/>
          <w:szCs w:val="22"/>
          <w:color w:val="auto"/>
        </w:rPr>
        <w:t>means an Employee of the Recipient who was subject to an Involuntary Termination or Furlough and who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has elected to return to employment pursuant to a Recall.</w:t>
      </w:r>
    </w:p>
    <w:p>
      <w:pPr>
        <w:spacing w:after="0" w:line="1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Salary </w:t>
      </w:r>
      <w:r>
        <w:rPr>
          <w:rFonts w:ascii="Times New Roman" w:cs="Times New Roman" w:eastAsia="Times New Roman" w:hAnsi="Times New Roman"/>
          <w:sz w:val="22"/>
          <w:szCs w:val="22"/>
          <w:color w:val="auto"/>
        </w:rPr>
        <w:t>means, without duplication of any amounts counted as Benefits, a predetermined regular payment, typically paid on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weekly or less frequent basis but which may be expressed as an hourly, weekly, annual or other rate, as well as cost-of-living differentials, vacation time, paid time off, sick leave, and overtime pay, paid by the Recipient to its Employees, but excluding any Federal, state, or local payroll taxes paid by the Recipient.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Secretary </w:t>
      </w:r>
      <w:r>
        <w:rPr>
          <w:rFonts w:ascii="Times New Roman" w:cs="Times New Roman" w:eastAsia="Times New Roman" w:hAnsi="Times New Roman"/>
          <w:sz w:val="22"/>
          <w:szCs w:val="22"/>
          <w:color w:val="auto"/>
        </w:rPr>
        <w:t>means the Secretary of the Treasury.</w:t>
      </w:r>
    </w:p>
    <w:p>
      <w:pPr>
        <w:spacing w:after="0" w:line="22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2"/>
          <w:szCs w:val="22"/>
          <w:i w:val="1"/>
          <w:iCs w:val="1"/>
          <w:color w:val="auto"/>
        </w:rPr>
        <w:t xml:space="preserve">Severance Pay or Other Benefits </w:t>
      </w:r>
      <w:r>
        <w:rPr>
          <w:rFonts w:ascii="Times New Roman" w:cs="Times New Roman" w:eastAsia="Times New Roman" w:hAnsi="Times New Roman"/>
          <w:sz w:val="22"/>
          <w:szCs w:val="22"/>
          <w:color w:val="auto"/>
        </w:rPr>
        <w:t>means any severance payment or other similar benefits, including cash payments, health care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benefits, perquisites, the enhancement or acceleration of the payment or vesting of any payment or benefit or any other in-kind benefit payable (whether in lump sum or over time, including after October 1, 2022) by the Recipient to a Corporate Officer or Employee in connection with any termination of such Corporate Officer’s or Employee’s employment (including, without limitation, resignation, severance, retirement, or constructive termination), which shall be determined and calculated in respect of any Employee or Corporate Officer of the Recipient in the manner prescribed in 17 CFR 229.402(j) (without regard to its limitation to the five most highly compensated executives and using the actual date of termination of employment rather than the last business day of the Recipient’s last completed fiscal year as the trigger event).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Signatory Entity </w:t>
      </w:r>
      <w:r>
        <w:rPr>
          <w:rFonts w:ascii="Times New Roman" w:cs="Times New Roman" w:eastAsia="Times New Roman" w:hAnsi="Times New Roman"/>
          <w:sz w:val="22"/>
          <w:szCs w:val="22"/>
          <w:color w:val="auto"/>
        </w:rPr>
        <w:t>means the passenger air carrier or contractor that has entered into this Agreement.</w:t>
      </w:r>
    </w:p>
    <w:p>
      <w:pPr>
        <w:spacing w:after="0" w:line="220" w:lineRule="exact"/>
        <w:rPr>
          <w:sz w:val="20"/>
          <w:szCs w:val="20"/>
          <w:color w:val="auto"/>
        </w:rPr>
      </w:pPr>
    </w:p>
    <w:p>
      <w:pPr>
        <w:jc w:val="both"/>
        <w:ind w:right="180"/>
        <w:spacing w:after="0" w:line="299" w:lineRule="auto"/>
        <w:rPr>
          <w:sz w:val="20"/>
          <w:szCs w:val="20"/>
          <w:color w:val="auto"/>
        </w:rPr>
      </w:pPr>
      <w:r>
        <w:rPr>
          <w:rFonts w:ascii="Times New Roman" w:cs="Times New Roman" w:eastAsia="Times New Roman" w:hAnsi="Times New Roman"/>
          <w:sz w:val="21"/>
          <w:szCs w:val="21"/>
          <w:i w:val="1"/>
          <w:iCs w:val="1"/>
          <w:color w:val="auto"/>
        </w:rPr>
        <w:t xml:space="preserve">Taxpayer Protection Instruments </w:t>
      </w:r>
      <w:r>
        <w:rPr>
          <w:rFonts w:ascii="Times New Roman" w:cs="Times New Roman" w:eastAsia="Times New Roman" w:hAnsi="Times New Roman"/>
          <w:sz w:val="21"/>
          <w:szCs w:val="21"/>
          <w:color w:val="auto"/>
        </w:rPr>
        <w:t>means warrants, options, preferred stock, debt securities, notes, or other financial instruments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issued by the Recipient or an Affiliate to Treasury as compensation for the Payroll Support under this Agreement, if applicable.</w:t>
      </w:r>
    </w:p>
    <w:p>
      <w:pPr>
        <w:spacing w:after="0" w:line="1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Total Compensation </w:t>
      </w:r>
      <w:r>
        <w:rPr>
          <w:rFonts w:ascii="Times New Roman" w:cs="Times New Roman" w:eastAsia="Times New Roman" w:hAnsi="Times New Roman"/>
          <w:sz w:val="22"/>
          <w:szCs w:val="22"/>
          <w:color w:val="auto"/>
        </w:rPr>
        <w:t>means compensation including salary, wages, bonuses, awards of stock, and any other financial benefits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provided by the Recipient or an Affiliate, as applicable, which shall be determined and calculated for the 2019 calendar year or any applicable 12-month period in respect of any Employee or Corporate Officer of the Recipient in the manner prescribed under paragraph e.5 of the award term in 2 CFR part 170, App. A, but excluding any Severance Pay or Other Benefits in connection with a termination of employment.</w:t>
      </w:r>
    </w:p>
    <w:p>
      <w:pPr>
        <w:spacing w:after="0" w:line="17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Wage </w:t>
      </w:r>
      <w:r>
        <w:rPr>
          <w:rFonts w:ascii="Times New Roman" w:cs="Times New Roman" w:eastAsia="Times New Roman" w:hAnsi="Times New Roman"/>
          <w:sz w:val="22"/>
          <w:szCs w:val="22"/>
          <w:color w:val="auto"/>
        </w:rPr>
        <w:t>means, without duplication of any amounts counted as Benefits, a payment, typically paid on an hourly, daily, or piecework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basis, including cost-of-living differentials, vacation, paid time off, sick leave, and overtime pay, paid by the Recipient to its Employees, but excluding any Federal, state, or local payroll taxes paid by the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00"/>
          </w:cols>
          <w:pgMar w:left="320" w:top="1418" w:right="379" w:bottom="1440" w:gutter="0" w:footer="0" w:header="0"/>
        </w:sectPr>
      </w:pPr>
    </w:p>
    <w:bookmarkStart w:id="88" w:name="page89"/>
    <w:bookmarkEnd w:id="88"/>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PAYROLL SUPPORT PAYMENTS</w:t>
      </w:r>
    </w:p>
    <w:p>
      <w:pPr>
        <w:spacing w:after="0" w:line="224" w:lineRule="exact"/>
        <w:rPr>
          <w:sz w:val="20"/>
          <w:szCs w:val="20"/>
          <w:color w:val="auto"/>
        </w:rPr>
      </w:pPr>
    </w:p>
    <w:p>
      <w:pPr>
        <w:ind w:left="340" w:right="100" w:hanging="332"/>
        <w:spacing w:after="0" w:line="271" w:lineRule="auto"/>
        <w:tabs>
          <w:tab w:leader="none" w:pos="3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execution of this Agreement by Treasury and the Recipient, the Secretary shall approve the Recipient’s application for Payroll Support.</w:t>
      </w:r>
    </w:p>
    <w:p>
      <w:pPr>
        <w:spacing w:after="0" w:line="157" w:lineRule="exact"/>
        <w:rPr>
          <w:rFonts w:ascii="Times New Roman" w:cs="Times New Roman" w:eastAsia="Times New Roman" w:hAnsi="Times New Roman"/>
          <w:sz w:val="22"/>
          <w:szCs w:val="22"/>
          <w:color w:val="auto"/>
        </w:rPr>
      </w:pPr>
    </w:p>
    <w:p>
      <w:pPr>
        <w:ind w:left="340" w:right="220" w:hanging="332"/>
        <w:spacing w:after="0" w:line="250" w:lineRule="auto"/>
        <w:tabs>
          <w:tab w:leader="none" w:pos="3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may receive Payroll Support in multiple payments up to the Maximum Awardable Amount, and the amounts (individually and in the aggregate) and timing of such payments will be determined by the Secretary in his sole discretion. The Secretary may, in his sole discretion, increase or reduce the Maximum Awardable Amount (a) consistent with section 403(a) of the PSP Extension Law and (b) on a pro rata basis in order to address any shortfall in available funds, pursuant to section 403(c) of the PSP Extension Law.</w:t>
      </w:r>
    </w:p>
    <w:p>
      <w:pPr>
        <w:spacing w:after="0" w:line="180" w:lineRule="exact"/>
        <w:rPr>
          <w:rFonts w:ascii="Times New Roman" w:cs="Times New Roman" w:eastAsia="Times New Roman" w:hAnsi="Times New Roman"/>
          <w:sz w:val="22"/>
          <w:szCs w:val="22"/>
          <w:color w:val="auto"/>
        </w:rPr>
      </w:pPr>
    </w:p>
    <w:p>
      <w:pPr>
        <w:ind w:left="340" w:right="380" w:hanging="332"/>
        <w:spacing w:after="0" w:line="252" w:lineRule="auto"/>
        <w:tabs>
          <w:tab w:leader="none" w:pos="3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Secretary may determine in his sole discretion that any Payroll Support shall be conditioned on, and subject to, compliance by the Recipient with all applicable requirements under PSP1 if the Recipient received financial assistance in PSP1, and such additional terms and conditions (including the receipt of, and any terms regarding, Taxpayer Protection Instruments) to which the parties may agree in writing.</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TERMS AND CONDITIONS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Retaining and Paying Employees</w:t>
      </w:r>
    </w:p>
    <w:p>
      <w:pPr>
        <w:spacing w:after="0" w:line="220" w:lineRule="exact"/>
        <w:rPr>
          <w:sz w:val="20"/>
          <w:szCs w:val="20"/>
          <w:color w:val="auto"/>
        </w:rPr>
      </w:pPr>
    </w:p>
    <w:p>
      <w:pPr>
        <w:ind w:left="340" w:right="220" w:hanging="332"/>
        <w:spacing w:after="0" w:line="271" w:lineRule="auto"/>
        <w:tabs>
          <w:tab w:leader="none" w:pos="3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shall use the Payroll Support exclusively for the continuation of payment of Wages, Salaries, and Benefits to the Employees of the Recipient, including the payment of lost Wages, Salaries, and Benefits to Returning Employees.</w:t>
      </w:r>
    </w:p>
    <w:p>
      <w:pPr>
        <w:spacing w:after="0" w:line="153" w:lineRule="exact"/>
        <w:rPr>
          <w:rFonts w:ascii="Times New Roman" w:cs="Times New Roman" w:eastAsia="Times New Roman" w:hAnsi="Times New Roman"/>
          <w:sz w:val="22"/>
          <w:szCs w:val="22"/>
          <w:color w:val="auto"/>
        </w:rPr>
      </w:pPr>
    </w:p>
    <w:p>
      <w:pPr>
        <w:ind w:left="980" w:right="380" w:hanging="324"/>
        <w:spacing w:after="0" w:line="275" w:lineRule="auto"/>
        <w:tabs>
          <w:tab w:leader="none" w:pos="968"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Furloughs and Layoffs</w:t>
      </w:r>
      <w:r>
        <w:rPr>
          <w:rFonts w:ascii="Times New Roman" w:cs="Times New Roman" w:eastAsia="Times New Roman" w:hAnsi="Times New Roman"/>
          <w:sz w:val="22"/>
          <w:szCs w:val="22"/>
          <w:color w:val="auto"/>
        </w:rPr>
        <w:t>. The Recipient shall not conduct an Involuntary Termination or Furlough of any Employee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between the date of this Agreement and March 31, 2021.</w:t>
      </w:r>
    </w:p>
    <w:p>
      <w:pPr>
        <w:spacing w:after="0" w:line="14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Employee Salary, Wages, and Benefits</w:t>
      </w:r>
    </w:p>
    <w:p>
      <w:pPr>
        <w:spacing w:after="0" w:line="219" w:lineRule="exact"/>
        <w:rPr>
          <w:rFonts w:ascii="Times New Roman" w:cs="Times New Roman" w:eastAsia="Times New Roman" w:hAnsi="Times New Roman"/>
          <w:sz w:val="22"/>
          <w:szCs w:val="22"/>
          <w:color w:val="auto"/>
        </w:rPr>
      </w:pPr>
    </w:p>
    <w:p>
      <w:pPr>
        <w:ind w:left="1620" w:hanging="268"/>
        <w:spacing w:after="0" w:line="259" w:lineRule="auto"/>
        <w:tabs>
          <w:tab w:leader="none" w:pos="1620" w:val="left"/>
        </w:tabs>
        <w:numPr>
          <w:ilvl w:val="2"/>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Salary and Wages</w:t>
      </w:r>
      <w:r>
        <w:rPr>
          <w:rFonts w:ascii="Times New Roman" w:cs="Times New Roman" w:eastAsia="Times New Roman" w:hAnsi="Times New Roman"/>
          <w:sz w:val="22"/>
          <w:szCs w:val="22"/>
          <w:color w:val="auto"/>
        </w:rPr>
        <w:t>. Except in the case of a Permitted Termination or Furlough, the Recipient shall not, between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date of this Agreement and March 31, 2021, reduce, without the Employee’s consent, (A) the pay rate of any Employee earning a Salary, or (B) the pay rate of any Employee earning Wages.</w:t>
      </w:r>
    </w:p>
    <w:p>
      <w:pPr>
        <w:spacing w:after="0" w:line="166" w:lineRule="exact"/>
        <w:rPr>
          <w:rFonts w:ascii="Times New Roman" w:cs="Times New Roman" w:eastAsia="Times New Roman" w:hAnsi="Times New Roman"/>
          <w:sz w:val="22"/>
          <w:szCs w:val="22"/>
          <w:color w:val="auto"/>
        </w:rPr>
      </w:pPr>
    </w:p>
    <w:p>
      <w:pPr>
        <w:ind w:left="1620" w:right="40" w:hanging="328"/>
        <w:spacing w:after="0" w:line="249" w:lineRule="auto"/>
        <w:tabs>
          <w:tab w:leader="none" w:pos="1620" w:val="left"/>
        </w:tabs>
        <w:numPr>
          <w:ilvl w:val="2"/>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Benefits</w:t>
      </w:r>
      <w:r>
        <w:rPr>
          <w:rFonts w:ascii="Times New Roman" w:cs="Times New Roman" w:eastAsia="Times New Roman" w:hAnsi="Times New Roman"/>
          <w:sz w:val="22"/>
          <w:szCs w:val="22"/>
          <w:color w:val="auto"/>
        </w:rPr>
        <w:t>. Except in the case of a Permitted Termination or Furlough, the Recipient shall not, between the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this Agreement and March 31, 2021, reduce, without the Employee’s consent, the Benefits of any Employee; provided, however, that for purposes of this paragraph, personnel expenses associated with the performance of work duties, including those described in line 10 of Financial Reporting Schedule P-6, Form 41, as published by the Department of Transportation, may be reduced to the extent the associated work duties are not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00"/>
          </w:cols>
          <w:pgMar w:left="320" w:top="1418"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2"/>
          <w:szCs w:val="22"/>
          <w:color w:val="auto"/>
        </w:rPr>
        <w:t>4.1. If the Recipient received financial assistance in PSP1, the Recipient shall:</w:t>
      </w:r>
    </w:p>
    <w:p>
      <w:pPr>
        <w:spacing w:after="0" w:line="220" w:lineRule="exact"/>
        <w:rPr>
          <w:sz w:val="20"/>
          <w:szCs w:val="20"/>
          <w:color w:val="auto"/>
        </w:rPr>
      </w:pPr>
    </w:p>
    <w:p>
      <w:pPr>
        <w:jc w:val="both"/>
        <w:ind w:left="980" w:hanging="324"/>
        <w:spacing w:after="0" w:line="275" w:lineRule="auto"/>
        <w:tabs>
          <w:tab w:leader="none" w:pos="1022"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Recall, not later than 72 hours after this Agreement has been executed by each party hereto, any Employees who were subject to an Involuntary Termination or Furlough between October 1, 2020, and the effective date of this Agreement, and enable each Returning Employee to return to employment within 30 days after making the election to do so;</w:t>
      </w:r>
    </w:p>
    <w:p>
      <w:pPr>
        <w:spacing w:after="0" w:line="155" w:lineRule="exact"/>
        <w:rPr>
          <w:rFonts w:ascii="Times New Roman" w:cs="Times New Roman" w:eastAsia="Times New Roman" w:hAnsi="Times New Roman"/>
          <w:sz w:val="21"/>
          <w:szCs w:val="21"/>
          <w:color w:val="auto"/>
        </w:rPr>
      </w:pPr>
    </w:p>
    <w:p>
      <w:pPr>
        <w:jc w:val="both"/>
        <w:ind w:left="980" w:right="40" w:hanging="324"/>
        <w:spacing w:after="0" w:line="268" w:lineRule="auto"/>
        <w:tabs>
          <w:tab w:leader="none" w:pos="1034"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compensate, not later than 30 days after a Returning Employee returns to employment, such Returning Employee for lost Salary, Wages, and Benefits (offset by any amounts received by the Returning Employee from the Recipient or an Affiliate as a result of such Returning Employee’s Involuntary Termination or Furlough, including any Severance Pay or Other Benefits or furlough pay) between December 1, 2020, and the effective date of this Agreement; and</w:t>
      </w:r>
    </w:p>
    <w:p>
      <w:pPr>
        <w:spacing w:after="0" w:line="163" w:lineRule="exact"/>
        <w:rPr>
          <w:rFonts w:ascii="Times New Roman" w:cs="Times New Roman" w:eastAsia="Times New Roman" w:hAnsi="Times New Roman"/>
          <w:sz w:val="21"/>
          <w:szCs w:val="21"/>
          <w:color w:val="auto"/>
        </w:rPr>
      </w:pPr>
    </w:p>
    <w:p>
      <w:pPr>
        <w:ind w:left="980" w:right="140" w:hanging="324"/>
        <w:spacing w:after="0" w:line="271" w:lineRule="auto"/>
        <w:tabs>
          <w:tab w:leader="none" w:pos="1022"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restore the rights and protections for any Returning Employees as if such Returning Employees had not been subject to an Involuntary Termination or Furlough.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If the Recipient did not receive financial assistance in PSP1, the Recipient shall:</w:t>
      </w:r>
    </w:p>
    <w:p>
      <w:pPr>
        <w:spacing w:after="0" w:line="220" w:lineRule="exact"/>
        <w:rPr>
          <w:sz w:val="20"/>
          <w:szCs w:val="20"/>
          <w:color w:val="auto"/>
        </w:rPr>
      </w:pPr>
    </w:p>
    <w:p>
      <w:pPr>
        <w:ind w:left="980" w:hanging="324"/>
        <w:spacing w:after="0" w:line="275" w:lineRule="auto"/>
        <w:tabs>
          <w:tab w:leader="none" w:pos="1022"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Recall, not later than 72 hours after this Agreement has been executed by each party hereto, any Employees who were subject to an Involuntary Termination or Furlough between March 27, 2020, and the effective date of this Agreement, and enable each Returning Employee to return to employment within 30 days of making the election to do so;</w:t>
      </w:r>
    </w:p>
    <w:p>
      <w:pPr>
        <w:spacing w:after="0" w:line="155" w:lineRule="exact"/>
        <w:rPr>
          <w:rFonts w:ascii="Times New Roman" w:cs="Times New Roman" w:eastAsia="Times New Roman" w:hAnsi="Times New Roman"/>
          <w:sz w:val="21"/>
          <w:szCs w:val="21"/>
          <w:color w:val="auto"/>
        </w:rPr>
      </w:pPr>
    </w:p>
    <w:p>
      <w:pPr>
        <w:jc w:val="both"/>
        <w:ind w:left="980" w:right="40" w:hanging="324"/>
        <w:spacing w:after="0" w:line="268" w:lineRule="auto"/>
        <w:tabs>
          <w:tab w:leader="none" w:pos="1034"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compensate, not later than 30 days after a Returning Employee returns to employment, such Returning Employee for lost Salary, Wages, and Benefits (offset by any amounts received by the Returning Employee from the Recipient or an Affiliate as a result of such Returning Employee’s Involuntary Termination or Furlough, including any Severance Pay or Other Benefits or furlough pay) between December 1, 2020, and the effective date of this Agreement; and</w:t>
      </w:r>
    </w:p>
    <w:p>
      <w:pPr>
        <w:spacing w:after="0" w:line="163" w:lineRule="exact"/>
        <w:rPr>
          <w:rFonts w:ascii="Times New Roman" w:cs="Times New Roman" w:eastAsia="Times New Roman" w:hAnsi="Times New Roman"/>
          <w:sz w:val="21"/>
          <w:szCs w:val="21"/>
          <w:color w:val="auto"/>
        </w:rPr>
      </w:pPr>
    </w:p>
    <w:p>
      <w:pPr>
        <w:ind w:left="980" w:right="140" w:hanging="324"/>
        <w:spacing w:after="0" w:line="271" w:lineRule="auto"/>
        <w:tabs>
          <w:tab w:leader="none" w:pos="102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restore the rights and protections for any Returning Employees as if such Returning Employees had not been subject to an Involuntary Termination or Furlough.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Dividends and Buybacks</w:t>
      </w:r>
    </w:p>
    <w:p>
      <w:pPr>
        <w:spacing w:after="0" w:line="220" w:lineRule="exact"/>
        <w:rPr>
          <w:sz w:val="20"/>
          <w:szCs w:val="20"/>
          <w:color w:val="auto"/>
        </w:rPr>
      </w:pPr>
    </w:p>
    <w:p>
      <w:pPr>
        <w:ind w:left="340" w:right="200" w:hanging="332"/>
        <w:spacing w:after="0" w:line="257" w:lineRule="auto"/>
        <w:tabs>
          <w:tab w:leader="none" w:pos="34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March 31, 2022, neither the Recipient nor any Affiliate shall, in any transaction, purchase an equity security of the Recipient or of any direct or indirect parent company of the Recipient that, in either case, is listed on a national securities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20"/>
          </w:cols>
          <w:pgMar w:left="320" w:top="1422" w:right="359" w:bottom="1440" w:gutter="0" w:footer="0" w:header="0"/>
        </w:sectPr>
      </w:pPr>
    </w:p>
    <w:bookmarkStart w:id="90" w:name="page91"/>
    <w:bookmarkEnd w:id="90"/>
    <w:p>
      <w:pPr>
        <w:ind w:left="340" w:right="260" w:hanging="332"/>
        <w:spacing w:after="0" w:line="271" w:lineRule="auto"/>
        <w:tabs>
          <w:tab w:leader="none" w:pos="3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March 31, 2022, the Recipient shall not pay dividends, or make any other capital distributions, with respect to the common stock (or equivalent equity interest) of the Recipient.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Limitations on Certain Compensation</w:t>
      </w:r>
    </w:p>
    <w:p>
      <w:pPr>
        <w:spacing w:after="0" w:line="220" w:lineRule="exact"/>
        <w:rPr>
          <w:sz w:val="20"/>
          <w:szCs w:val="20"/>
          <w:color w:val="auto"/>
        </w:rPr>
      </w:pPr>
    </w:p>
    <w:p>
      <w:pPr>
        <w:ind w:left="340" w:right="160" w:hanging="332"/>
        <w:spacing w:after="0" w:line="252" w:lineRule="auto"/>
        <w:tabs>
          <w:tab w:leader="none" w:pos="3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Beginning October 1, 2020, and ending October 1, 2022, the Recipient and its Affiliates shall not pay any of the Recipient’s Corporate Officers or Employees whose Total Compensation exceeded $425,000 in calendar year 2019 (other than an Employee whose compensation is determined through an existing collective bargaining agreement entered into before December 27, 2020):</w:t>
      </w:r>
    </w:p>
    <w:p>
      <w:pPr>
        <w:spacing w:after="0" w:line="179" w:lineRule="exact"/>
        <w:rPr>
          <w:rFonts w:ascii="Times New Roman" w:cs="Times New Roman" w:eastAsia="Times New Roman" w:hAnsi="Times New Roman"/>
          <w:sz w:val="22"/>
          <w:szCs w:val="22"/>
          <w:color w:val="auto"/>
        </w:rPr>
      </w:pPr>
    </w:p>
    <w:p>
      <w:pPr>
        <w:ind w:left="980" w:right="1120" w:hanging="324"/>
        <w:spacing w:after="0" w:line="271" w:lineRule="auto"/>
        <w:tabs>
          <w:tab w:leader="none" w:pos="968"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Compensation which exceeds, during any 12 consecutive months of such two-year period, the Total Compensation the Corporate Officer or Employee received in calendar year 2019; or</w:t>
      </w:r>
    </w:p>
    <w:p>
      <w:pPr>
        <w:spacing w:after="0" w:line="157" w:lineRule="exact"/>
        <w:rPr>
          <w:rFonts w:ascii="Times New Roman" w:cs="Times New Roman" w:eastAsia="Times New Roman" w:hAnsi="Times New Roman"/>
          <w:sz w:val="22"/>
          <w:szCs w:val="22"/>
          <w:color w:val="auto"/>
        </w:rPr>
      </w:pPr>
    </w:p>
    <w:p>
      <w:pPr>
        <w:ind w:left="980" w:right="300" w:hanging="324"/>
        <w:spacing w:after="0" w:line="295" w:lineRule="auto"/>
        <w:tabs>
          <w:tab w:leader="none" w:pos="980"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Severance Pay or Other Benefits in connection with a termination of employment with the Recipient which exceed twice the maximum Total Compensation received by such Corporate Officer or Employee in calendar year 2019.</w:t>
      </w:r>
    </w:p>
    <w:p>
      <w:pPr>
        <w:spacing w:after="0" w:line="135" w:lineRule="exact"/>
        <w:rPr>
          <w:rFonts w:ascii="Times New Roman" w:cs="Times New Roman" w:eastAsia="Times New Roman" w:hAnsi="Times New Roman"/>
          <w:sz w:val="21"/>
          <w:szCs w:val="21"/>
          <w:color w:val="auto"/>
        </w:rPr>
      </w:pPr>
    </w:p>
    <w:p>
      <w:pPr>
        <w:ind w:left="340" w:right="800" w:hanging="332"/>
        <w:spacing w:after="0" w:line="257" w:lineRule="auto"/>
        <w:tabs>
          <w:tab w:leader="none" w:pos="3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Beginning October 1, 2020, and ending October 1, 2022, the Recipient and its Affiliates shall not pay, during any 12 consecutive months of such two-year period, any of the Recipient’s Corporate Officers or Employees whose Total Compensation exceeded $3,000,000 in calendar year 2019 Total Compensation in excess of the sum of:</w:t>
      </w:r>
    </w:p>
    <w:p>
      <w:pPr>
        <w:spacing w:after="0" w:line="172"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$3,000,000; and</w:t>
      </w:r>
    </w:p>
    <w:p>
      <w:pPr>
        <w:spacing w:after="0" w:line="219" w:lineRule="exact"/>
        <w:rPr>
          <w:rFonts w:ascii="Times New Roman" w:cs="Times New Roman" w:eastAsia="Times New Roman" w:hAnsi="Times New Roman"/>
          <w:sz w:val="22"/>
          <w:szCs w:val="22"/>
          <w:color w:val="auto"/>
        </w:rPr>
      </w:pPr>
    </w:p>
    <w:p>
      <w:pPr>
        <w:ind w:left="980" w:right="80" w:hanging="324"/>
        <w:spacing w:after="0" w:line="271" w:lineRule="auto"/>
        <w:tabs>
          <w:tab w:leader="none" w:pos="98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percent of the excess over $3,000,000 of the Total Compensation received by such Corporate Officer or Employee in calendar year 2019.</w:t>
      </w:r>
    </w:p>
    <w:p>
      <w:pPr>
        <w:spacing w:after="0" w:line="157" w:lineRule="exact"/>
        <w:rPr>
          <w:rFonts w:ascii="Times New Roman" w:cs="Times New Roman" w:eastAsia="Times New Roman" w:hAnsi="Times New Roman"/>
          <w:sz w:val="22"/>
          <w:szCs w:val="22"/>
          <w:color w:val="auto"/>
        </w:rPr>
      </w:pPr>
    </w:p>
    <w:p>
      <w:pPr>
        <w:jc w:val="both"/>
        <w:ind w:left="340" w:hanging="332"/>
        <w:spacing w:after="0" w:line="275" w:lineRule="auto"/>
        <w:tabs>
          <w:tab w:leader="none" w:pos="34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determining applicable amounts under paragraphs 7 and 8 with respect to any Corporate Officer or Employee who was employed by the Recipient or an Affiliate for less than all of calendar year 2019, the amount of Total Compensation in calendar year 2019 shall mean such Corporate Officer’s or Employee’s Total Compensation on an annualized basis.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Continuation of Service</w:t>
      </w:r>
    </w:p>
    <w:p>
      <w:pPr>
        <w:spacing w:after="0" w:line="220" w:lineRule="exact"/>
        <w:rPr>
          <w:sz w:val="20"/>
          <w:szCs w:val="20"/>
          <w:color w:val="auto"/>
        </w:rPr>
      </w:pPr>
    </w:p>
    <w:p>
      <w:pPr>
        <w:ind w:left="340" w:right="40" w:hanging="332"/>
        <w:spacing w:after="0" w:line="257" w:lineRule="auto"/>
        <w:tabs>
          <w:tab w:leader="none" w:pos="34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Recipient is an air carrier, until March 1, 2022, the Recipient shall comply with any applicable requirement issued by the Secretary of Transportation under section 407) of the PSP Extension Law to maintain scheduled air transportation service to any point served by the Recipient before March 1, 2020.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Effective Date</w:t>
      </w:r>
    </w:p>
    <w:p>
      <w:pPr>
        <w:spacing w:after="0" w:line="220" w:lineRule="exact"/>
        <w:rPr>
          <w:sz w:val="20"/>
          <w:szCs w:val="20"/>
          <w:color w:val="auto"/>
        </w:rPr>
      </w:pPr>
    </w:p>
    <w:p>
      <w:pPr>
        <w:ind w:left="320" w:hanging="312"/>
        <w:spacing w:after="0"/>
        <w:tabs>
          <w:tab w:leader="none" w:pos="32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effective as of the date of its execution by both parties.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4" w:lineRule="exact"/>
        <w:rPr>
          <w:rFonts w:ascii="Times New Roman" w:cs="Times New Roman" w:eastAsia="Times New Roman" w:hAnsi="Times New Roman"/>
          <w:sz w:val="22"/>
          <w:szCs w:val="22"/>
          <w:color w:val="auto"/>
        </w:rPr>
      </w:pPr>
    </w:p>
    <w:p>
      <w:pPr>
        <w:ind w:left="5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7</w:t>
      </w:r>
    </w:p>
    <w:p>
      <w:pPr>
        <w:sectPr>
          <w:pgSz w:w="11900" w:h="16838" w:orient="portrait"/>
          <w:cols w:equalWidth="0" w:num="1">
            <w:col w:w="11200"/>
          </w:cols>
          <w:pgMar w:left="320" w:top="1422"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2"/>
          <w:szCs w:val="22"/>
          <w:u w:val="single" w:color="auto"/>
          <w:color w:val="auto"/>
        </w:rPr>
        <w:t>Reporting and Auditing</w:t>
      </w:r>
    </w:p>
    <w:p>
      <w:pPr>
        <w:spacing w:after="0" w:line="220" w:lineRule="exact"/>
        <w:rPr>
          <w:sz w:val="20"/>
          <w:szCs w:val="20"/>
          <w:color w:val="auto"/>
        </w:rPr>
      </w:pPr>
    </w:p>
    <w:p>
      <w:pPr>
        <w:ind w:left="340" w:right="20" w:hanging="332"/>
        <w:spacing w:after="0" w:line="250" w:lineRule="auto"/>
        <w:tabs>
          <w:tab w:leader="none" w:pos="3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the calendar quarter that begins after the later of October 1, 2022, and the date on which no Taxpayer Protection Instrument is outstanding, not later than 45 days after the end of each of the first three calendar quarters of each calendar year and 90 days after the end of each calendar year, the Signatory Entity, on behalf of itself and each other Recipient, shall certify to Treasury that it is in compliance with the terms and conditions of this Agreement and provide a report containing the following:</w:t>
      </w:r>
    </w:p>
    <w:p>
      <w:pPr>
        <w:spacing w:after="0" w:line="207"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Payroll Support funds expended during such quarter;</w:t>
      </w:r>
    </w:p>
    <w:p>
      <w:pPr>
        <w:spacing w:after="0" w:line="246" w:lineRule="exact"/>
        <w:rPr>
          <w:rFonts w:ascii="Times New Roman" w:cs="Times New Roman" w:eastAsia="Times New Roman" w:hAnsi="Times New Roman"/>
          <w:sz w:val="22"/>
          <w:szCs w:val="22"/>
          <w:color w:val="auto"/>
        </w:rPr>
      </w:pPr>
    </w:p>
    <w:p>
      <w:pPr>
        <w:ind w:left="980" w:right="520" w:hanging="324"/>
        <w:spacing w:after="0" w:line="271" w:lineRule="auto"/>
        <w:tabs>
          <w:tab w:leader="none" w:pos="98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Recipient’s financial statements (audited by an independent certified public accountant, in the case of annual financial statements);</w:t>
      </w:r>
    </w:p>
    <w:p>
      <w:pPr>
        <w:spacing w:after="0" w:line="184"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Recipient’s IRS Form 941 filed with respect to such quarter; and</w:t>
      </w:r>
    </w:p>
    <w:p>
      <w:pPr>
        <w:spacing w:after="0" w:line="246" w:lineRule="exact"/>
        <w:rPr>
          <w:rFonts w:ascii="Times New Roman" w:cs="Times New Roman" w:eastAsia="Times New Roman" w:hAnsi="Times New Roman"/>
          <w:sz w:val="22"/>
          <w:szCs w:val="22"/>
          <w:color w:val="auto"/>
        </w:rPr>
      </w:pPr>
    </w:p>
    <w:p>
      <w:pPr>
        <w:ind w:left="980" w:right="20" w:hanging="324"/>
        <w:spacing w:after="0" w:line="265" w:lineRule="auto"/>
        <w:tabs>
          <w:tab w:leader="none" w:pos="980"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detailed summary describing, with respect to the Recipient, (a) any changes in Employee headcount during such quarter and the reasons therefor, including any Involuntary Termination or Furlough, (b) any changes in the amounts spent by the Recipient on Employee Wages, Salary, and Benefits during such quarter, and (c) any changes in Total Compensation for, and any Severance Pay or Other Benefits in connection with the termination of, Corporate Officers and Employees subject to limitation under this Agreement during such quarter; and the reasons for any such changes.</w:t>
      </w:r>
    </w:p>
    <w:p>
      <w:pPr>
        <w:spacing w:after="0" w:line="192" w:lineRule="exact"/>
        <w:rPr>
          <w:rFonts w:ascii="Times New Roman" w:cs="Times New Roman" w:eastAsia="Times New Roman" w:hAnsi="Times New Roman"/>
          <w:sz w:val="21"/>
          <w:szCs w:val="21"/>
          <w:color w:val="auto"/>
        </w:rPr>
      </w:pPr>
    </w:p>
    <w:p>
      <w:pPr>
        <w:ind w:left="340" w:hanging="332"/>
        <w:spacing w:after="0" w:line="252" w:lineRule="auto"/>
        <w:tabs>
          <w:tab w:leader="none" w:pos="3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Recipient or any Affiliate, or any Corporate Officer of the Recipient or any Affiliate, becomes aware of facts, events, or circumstances that may materially affect the Recipient’s compliance with the terms and conditions of this Agreement, the Recipient or Affiliate shall promptly provide Treasury with a written description of the events or circumstances and any action taken, or contemplated, to address the issue.</w:t>
      </w:r>
    </w:p>
    <w:p>
      <w:pPr>
        <w:spacing w:after="0" w:line="206" w:lineRule="exact"/>
        <w:rPr>
          <w:rFonts w:ascii="Times New Roman" w:cs="Times New Roman" w:eastAsia="Times New Roman" w:hAnsi="Times New Roman"/>
          <w:sz w:val="22"/>
          <w:szCs w:val="22"/>
          <w:color w:val="auto"/>
        </w:rPr>
      </w:pPr>
    </w:p>
    <w:p>
      <w:pPr>
        <w:ind w:left="340" w:right="200" w:hanging="332"/>
        <w:spacing w:after="0" w:line="271" w:lineRule="auto"/>
        <w:tabs>
          <w:tab w:leader="none" w:pos="3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Recipient contemplates any action to commence a bankruptcy or insolvency proceeding in any jurisdiction, the Recipient shall promptly notify Treasury.</w:t>
      </w:r>
    </w:p>
    <w:p>
      <w:pPr>
        <w:spacing w:after="0" w:line="184"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shall:</w:t>
      </w:r>
    </w:p>
    <w:p>
      <w:pPr>
        <w:spacing w:after="0" w:line="246" w:lineRule="exact"/>
        <w:rPr>
          <w:rFonts w:ascii="Times New Roman" w:cs="Times New Roman" w:eastAsia="Times New Roman" w:hAnsi="Times New Roman"/>
          <w:sz w:val="22"/>
          <w:szCs w:val="22"/>
          <w:color w:val="auto"/>
        </w:rPr>
      </w:pPr>
    </w:p>
    <w:p>
      <w:pPr>
        <w:ind w:left="980" w:right="120" w:hanging="324"/>
        <w:spacing w:after="0" w:line="257" w:lineRule="auto"/>
        <w:tabs>
          <w:tab w:leader="none" w:pos="968"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provide to Treasury and the Treasury Inspector General a copy of any Department of Transportation Inspector General report, audit report, or report of any other oversight body, that is received by the Recipient relating to this Agreement.</w:t>
      </w:r>
    </w:p>
    <w:p>
      <w:pPr>
        <w:spacing w:after="0" w:line="199" w:lineRule="exact"/>
        <w:rPr>
          <w:rFonts w:ascii="Times New Roman" w:cs="Times New Roman" w:eastAsia="Times New Roman" w:hAnsi="Times New Roman"/>
          <w:sz w:val="22"/>
          <w:szCs w:val="22"/>
          <w:color w:val="auto"/>
        </w:rPr>
      </w:pPr>
    </w:p>
    <w:p>
      <w:pPr>
        <w:ind w:left="980" w:right="900" w:hanging="324"/>
        <w:spacing w:after="0" w:line="271" w:lineRule="auto"/>
        <w:tabs>
          <w:tab w:leader="none" w:pos="98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notify Treasury and the Treasury Inspector General of any indication of fraud, waste, abuse, or potentially criminal activity pertaining to the Payroll Support.</w:t>
      </w:r>
    </w:p>
    <w:p>
      <w:pPr>
        <w:spacing w:after="0" w:line="184" w:lineRule="exact"/>
        <w:rPr>
          <w:rFonts w:ascii="Times New Roman" w:cs="Times New Roman" w:eastAsia="Times New Roman" w:hAnsi="Times New Roman"/>
          <w:sz w:val="22"/>
          <w:szCs w:val="22"/>
          <w:color w:val="auto"/>
        </w:rPr>
      </w:pPr>
    </w:p>
    <w:p>
      <w:pPr>
        <w:ind w:left="980" w:right="20" w:hanging="324"/>
        <w:spacing w:after="0" w:line="271" w:lineRule="auto"/>
        <w:tabs>
          <w:tab w:leader="none" w:pos="968"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provide Treasury with any information Treasury may request relating to compliance by the Recipient and its Affiliates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00"/>
          </w:cols>
          <w:pgMar w:left="320" w:top="1422" w:right="379" w:bottom="1440" w:gutter="0" w:footer="0" w:header="0"/>
        </w:sectPr>
      </w:pPr>
    </w:p>
    <w:bookmarkStart w:id="92" w:name="page93"/>
    <w:bookmarkEnd w:id="92"/>
    <w:p>
      <w:pPr>
        <w:ind w:left="340" w:right="40" w:hanging="332"/>
        <w:spacing w:after="0" w:line="247" w:lineRule="auto"/>
        <w:tabs>
          <w:tab w:leader="none" w:pos="3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and Affiliates will provide Treasury, the Treasury Inspector General, and such other entities as authorized by Treasury timely and unrestricted access to all documents, papers, or other records, including electronic records, of the Recipient related to the Payroll Support, to enable Treasury and the Treasury Inspector General to make audits, examinations, and otherwise evaluate the Recipient’s compliance with the terms of this Agreement. This right also includes timely and reasonable access to the Recipient’s and its Affiliates’ personnel for the purpose of interview and discussion related to such documents. This right of access shall continue as long as records are required to be retained. In addition, the Recipient will provide timely reports as reasonably required by Treasury, the Treasury Inspector General, and such other entities as authorized by Treasury to comply with applicable law and to assess program effectiveness.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Recordkeeping and Internal Controls</w:t>
      </w:r>
    </w:p>
    <w:p>
      <w:pPr>
        <w:spacing w:after="0" w:line="220" w:lineRule="exact"/>
        <w:rPr>
          <w:sz w:val="20"/>
          <w:szCs w:val="20"/>
          <w:color w:val="auto"/>
        </w:rPr>
      </w:pPr>
    </w:p>
    <w:p>
      <w:pPr>
        <w:ind w:left="340" w:hanging="332"/>
        <w:spacing w:after="0" w:line="257" w:lineRule="auto"/>
        <w:tabs>
          <w:tab w:leader="none" w:pos="34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Recipient is a debtor as defined under 11 U.S.C. § 101(13), the Payroll Support funds, any claim or account receivable arising under this Agreement, and any segregated account holding funds received under this Agreement shall not constitute or become property of the estate under 11 U.S.C. § 541.</w:t>
      </w:r>
    </w:p>
    <w:p>
      <w:pPr>
        <w:spacing w:after="0" w:line="199"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shall expend and account for Payroll Support funds in a manner sufficient to:</w:t>
      </w:r>
    </w:p>
    <w:p>
      <w:pPr>
        <w:spacing w:after="0" w:line="246"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the preparation of accurate, current, and complete quarterly reports as required under this Agreement.</w:t>
      </w:r>
    </w:p>
    <w:p>
      <w:pPr>
        <w:spacing w:after="0" w:line="246" w:lineRule="exact"/>
        <w:rPr>
          <w:rFonts w:ascii="Times New Roman" w:cs="Times New Roman" w:eastAsia="Times New Roman" w:hAnsi="Times New Roman"/>
          <w:sz w:val="22"/>
          <w:szCs w:val="22"/>
          <w:color w:val="auto"/>
        </w:rPr>
      </w:pPr>
    </w:p>
    <w:p>
      <w:pPr>
        <w:ind w:left="980" w:right="80" w:hanging="324"/>
        <w:spacing w:after="0" w:line="271" w:lineRule="auto"/>
        <w:tabs>
          <w:tab w:leader="none" w:pos="98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the tracing of funds to a level of expenditures adequate to establish that such funds have been used as required under this Agreement.</w:t>
      </w:r>
    </w:p>
    <w:p>
      <w:pPr>
        <w:spacing w:after="0" w:line="184" w:lineRule="exact"/>
        <w:rPr>
          <w:rFonts w:ascii="Times New Roman" w:cs="Times New Roman" w:eastAsia="Times New Roman" w:hAnsi="Times New Roman"/>
          <w:sz w:val="22"/>
          <w:szCs w:val="22"/>
          <w:color w:val="auto"/>
        </w:rPr>
      </w:pPr>
    </w:p>
    <w:p>
      <w:pPr>
        <w:ind w:left="340" w:right="80" w:hanging="332"/>
        <w:spacing w:after="0" w:line="250" w:lineRule="auto"/>
        <w:tabs>
          <w:tab w:leader="none" w:pos="34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shall establish and maintain effective internal controls over the Payroll Support; comply with all requirements related to the Payroll Support established under applicable Federal statutes and regulations; monitor compliance with Federal statutes, regulations, and the terms and conditions of this Agreement; and take prompt corrective actions in accordance with audit recommendations. The Recipient shall promptly remedy any identified instances of noncompliance with this Agreement.</w:t>
      </w:r>
    </w:p>
    <w:p>
      <w:pPr>
        <w:spacing w:after="0" w:line="207" w:lineRule="exact"/>
        <w:rPr>
          <w:rFonts w:ascii="Times New Roman" w:cs="Times New Roman" w:eastAsia="Times New Roman" w:hAnsi="Times New Roman"/>
          <w:sz w:val="22"/>
          <w:szCs w:val="22"/>
          <w:color w:val="auto"/>
        </w:rPr>
      </w:pPr>
    </w:p>
    <w:p>
      <w:pPr>
        <w:ind w:left="340" w:right="60" w:hanging="332"/>
        <w:spacing w:after="0" w:line="247" w:lineRule="auto"/>
        <w:tabs>
          <w:tab w:leader="none" w:pos="34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and Affiliates shall retain all records pertinent to the receipt of Payroll Support and compliance with the terms and conditions of this Agreement (including by suspending any automatic deletion functions for electronic records, including e-mails) for a period of three years following the period of performance. Such records shall include all information necessary to substantiate factual representations made in the Recipient’s application for Payroll Support, including ledgers and sub-ledgers, and the Recipient’s and Affiliates’ compliance with this Agreement. While electronic storage of records (backed up as appropriate) is preferable, the Recipient and Affiliates may store records in hardcopy (paper) format. The term “records” includes all relevant financial and accounting records and all supporting documentation for the information reported on the Recipient’s quarterly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20"/>
          </w:cols>
          <w:pgMar w:left="320" w:top="1422" w:right="359" w:bottom="1440" w:gutter="0" w:footer="0" w:header="0"/>
        </w:sectPr>
      </w:pPr>
    </w:p>
    <w:bookmarkStart w:id="93" w:name="page94"/>
    <w:bookmarkEnd w:id="93"/>
    <w:p>
      <w:pPr>
        <w:ind w:left="340" w:right="100" w:hanging="332"/>
        <w:spacing w:after="0" w:line="257" w:lineRule="auto"/>
        <w:tabs>
          <w:tab w:leader="none" w:pos="34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litigation, claim, investigation, or audit relating to the Payroll Support is started before the expiration of the three-year period, the Recipient and Affiliates shall retain all records described in paragraph 20 until all such litigation, claims, investigations, or audit findings have been completely resolved and final judgment entered or final action taken.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Remedies</w:t>
      </w:r>
    </w:p>
    <w:p>
      <w:pPr>
        <w:spacing w:after="0" w:line="220" w:lineRule="exact"/>
        <w:rPr>
          <w:sz w:val="20"/>
          <w:szCs w:val="20"/>
          <w:color w:val="auto"/>
        </w:rPr>
      </w:pPr>
    </w:p>
    <w:p>
      <w:pPr>
        <w:ind w:left="340" w:right="60" w:hanging="332"/>
        <w:spacing w:after="0" w:line="247" w:lineRule="auto"/>
        <w:tabs>
          <w:tab w:leader="none" w:pos="3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Treasury believes that an instance of noncompliance by the Recipient or an Affiliate with (a) this Agreement, (b) sections 404 or 406 of the PSP Extension Law, or (c) the Internal Revenue Code of 1986 as it applies to the receipt of Payroll Support has occurred, Treasury may notify the Recipient in writing of its proposed determination of noncompliance, provide an explanation of the nature of the noncompliance, and specify a proposed remedy. Upon receipt of such notice, the Recipient shall, within seven days, accept Treasury’s proposed remedy, propose an alternative remedy, or provide information and documentation contesting Treasury’s proposed determination. Treasury shall consider any such submission by the Recipient and make a final written determination, which will state Treasury’s findings regarding noncompliance and the remedy to be imposed.</w:t>
      </w:r>
    </w:p>
    <w:p>
      <w:pPr>
        <w:spacing w:after="0" w:line="212" w:lineRule="exact"/>
        <w:rPr>
          <w:rFonts w:ascii="Times New Roman" w:cs="Times New Roman" w:eastAsia="Times New Roman" w:hAnsi="Times New Roman"/>
          <w:sz w:val="22"/>
          <w:szCs w:val="22"/>
          <w:color w:val="auto"/>
        </w:rPr>
      </w:pPr>
    </w:p>
    <w:p>
      <w:pPr>
        <w:ind w:left="340" w:hanging="332"/>
        <w:spacing w:after="0" w:line="250" w:lineRule="auto"/>
        <w:tabs>
          <w:tab w:leader="none" w:pos="3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Treasury makes a final determination under paragraph 22 that an instance of noncompliance has occurred, Treasury may, in its sole discretion, withhold any Additional Payroll Support Payments; require the repayment of the amount of any previously disbursed Payroll Support, with appropriate interest; require additional reporting or monitoring; initiate suspension or debarment proceedings as authorized under 2 CFR Part 180; terminate this Agreement; or take any such other action as Treasury, in its sole discretion, deems appropriate.</w:t>
      </w:r>
    </w:p>
    <w:p>
      <w:pPr>
        <w:spacing w:after="0" w:line="207" w:lineRule="exact"/>
        <w:rPr>
          <w:rFonts w:ascii="Times New Roman" w:cs="Times New Roman" w:eastAsia="Times New Roman" w:hAnsi="Times New Roman"/>
          <w:sz w:val="22"/>
          <w:szCs w:val="22"/>
          <w:color w:val="auto"/>
        </w:rPr>
      </w:pPr>
    </w:p>
    <w:p>
      <w:pPr>
        <w:ind w:left="340" w:right="40" w:hanging="332"/>
        <w:spacing w:after="0" w:line="265" w:lineRule="auto"/>
        <w:tabs>
          <w:tab w:leader="none" w:pos="34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Treasury may make a final determination regarding noncompliance without regard to paragraph 22 if Treasury determines, in its sole discretion, that such determination is necessary to protect a material interest of the Federal Government. In such event, Treasury shall notify the Recipient of the remedy that Treasury, in its sole discretion, shall impose, after which the Recipient may contest Treasury’s final determination or propose an alternative remedy in writing to Treasury. Following the receipt of such a submission by the Recipient, Treasury may, in its sole discretion, maintain or alter its final determination.</w:t>
      </w:r>
    </w:p>
    <w:p>
      <w:pPr>
        <w:spacing w:after="0" w:line="192" w:lineRule="exact"/>
        <w:rPr>
          <w:rFonts w:ascii="Times New Roman" w:cs="Times New Roman" w:eastAsia="Times New Roman" w:hAnsi="Times New Roman"/>
          <w:sz w:val="21"/>
          <w:szCs w:val="21"/>
          <w:color w:val="auto"/>
        </w:rPr>
      </w:pPr>
    </w:p>
    <w:p>
      <w:pPr>
        <w:ind w:left="340" w:right="80" w:hanging="332"/>
        <w:spacing w:after="0" w:line="252" w:lineRule="auto"/>
        <w:tabs>
          <w:tab w:leader="none" w:pos="3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final determination of noncompliance and any final determination to take any remedial action described herein shall not be subject to further review. To the extent permitted by law, the Recipient waives any right to judicial review of any such determinations and further agrees not to assert in any court any claim arising from or relating to any such determination or remedial action.</w:t>
      </w:r>
    </w:p>
    <w:p>
      <w:pPr>
        <w:spacing w:after="0" w:line="206" w:lineRule="exact"/>
        <w:rPr>
          <w:rFonts w:ascii="Times New Roman" w:cs="Times New Roman" w:eastAsia="Times New Roman" w:hAnsi="Times New Roman"/>
          <w:sz w:val="22"/>
          <w:szCs w:val="22"/>
          <w:color w:val="auto"/>
        </w:rPr>
      </w:pPr>
    </w:p>
    <w:p>
      <w:pPr>
        <w:ind w:left="340" w:right="340" w:hanging="332"/>
        <w:spacing w:after="0" w:line="271" w:lineRule="auto"/>
        <w:tabs>
          <w:tab w:leader="none" w:pos="3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Instead of, or in addition to, the remedies listed above, Treasury may refer any noncompliance or any allegations of fraud, waste, or abuse to the Treasury Inspector General.</w:t>
      </w:r>
    </w:p>
    <w:p>
      <w:pPr>
        <w:spacing w:after="0" w:line="184" w:lineRule="exact"/>
        <w:rPr>
          <w:rFonts w:ascii="Times New Roman" w:cs="Times New Roman" w:eastAsia="Times New Roman" w:hAnsi="Times New Roman"/>
          <w:sz w:val="22"/>
          <w:szCs w:val="22"/>
          <w:color w:val="auto"/>
        </w:rPr>
      </w:pPr>
    </w:p>
    <w:p>
      <w:pPr>
        <w:ind w:left="340" w:right="60" w:hanging="332"/>
        <w:spacing w:after="0" w:line="271" w:lineRule="auto"/>
        <w:tabs>
          <w:tab w:leader="none" w:pos="3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Treasury, in its sole discretion, may grant any request by the Recipient for termination of this Agreement, which such request shall be in writing and shall include the reasons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00"/>
          </w:cols>
          <w:pgMar w:left="320" w:top="1422" w:right="379" w:bottom="1440" w:gutter="0" w:footer="0" w:header="0"/>
        </w:sectPr>
      </w:pPr>
    </w:p>
    <w:bookmarkStart w:id="94" w:name="page95"/>
    <w:bookmarkEnd w:id="94"/>
    <w:p>
      <w:pPr>
        <w:ind w:left="340" w:right="20"/>
        <w:spacing w:after="0" w:line="257" w:lineRule="auto"/>
        <w:rPr>
          <w:sz w:val="20"/>
          <w:szCs w:val="20"/>
          <w:color w:val="auto"/>
        </w:rPr>
      </w:pPr>
      <w:r>
        <w:rPr>
          <w:rFonts w:ascii="Times New Roman" w:cs="Times New Roman" w:eastAsia="Times New Roman" w:hAnsi="Times New Roman"/>
          <w:sz w:val="22"/>
          <w:szCs w:val="22"/>
          <w:color w:val="auto"/>
        </w:rPr>
        <w:t>termination, the proposed effective date of the termination, and the amount of any unused Payroll Support funds the Recipient requests to return to Treasury. Treasury may, in its sole discretion, determine the extent to which the requirements under this Agreement may cease to apply following any such termination.</w:t>
      </w:r>
    </w:p>
    <w:p>
      <w:pPr>
        <w:spacing w:after="0" w:line="173" w:lineRule="exact"/>
        <w:rPr>
          <w:sz w:val="20"/>
          <w:szCs w:val="20"/>
          <w:color w:val="auto"/>
        </w:rPr>
      </w:pPr>
    </w:p>
    <w:p>
      <w:pPr>
        <w:ind w:left="340" w:right="140" w:hanging="332"/>
        <w:spacing w:after="0" w:line="271" w:lineRule="auto"/>
        <w:tabs>
          <w:tab w:leader="none" w:pos="3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Treasury determines that any remaining portion of the Payroll Support will not accomplish the purpose of this Agreement, Treasury may terminate this Agreement in its entirety to the extent permitted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Debts</w:t>
      </w:r>
    </w:p>
    <w:p>
      <w:pPr>
        <w:spacing w:after="0" w:line="220" w:lineRule="exact"/>
        <w:rPr>
          <w:sz w:val="20"/>
          <w:szCs w:val="20"/>
          <w:color w:val="auto"/>
        </w:rPr>
      </w:pPr>
    </w:p>
    <w:p>
      <w:pPr>
        <w:ind w:left="340" w:hanging="332"/>
        <w:spacing w:after="0" w:line="271" w:lineRule="auto"/>
        <w:tabs>
          <w:tab w:leader="none" w:pos="3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Payroll Support in excess of the amount which Treasury determines, at any time, the Recipient is authorized to receive or retain under the terms of this Agreement constitutes a debt to the Federal Government.</w:t>
      </w:r>
    </w:p>
    <w:p>
      <w:pPr>
        <w:spacing w:after="0" w:line="184" w:lineRule="exact"/>
        <w:rPr>
          <w:rFonts w:ascii="Times New Roman" w:cs="Times New Roman" w:eastAsia="Times New Roman" w:hAnsi="Times New Roman"/>
          <w:sz w:val="22"/>
          <w:szCs w:val="22"/>
          <w:color w:val="auto"/>
        </w:rPr>
      </w:pPr>
    </w:p>
    <w:p>
      <w:pPr>
        <w:ind w:left="340" w:hanging="332"/>
        <w:spacing w:after="0" w:line="250" w:lineRule="auto"/>
        <w:tabs>
          <w:tab w:leader="none" w:pos="3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debts determined to be owed by the Recipient to the Federal Government shall be paid promptly by the Recipient. A debt is delinquent if it has not been paid by the date specified in Treasury’s initial written demand for payment, unless other satisfactory arrangements have been made. Interest, penalties, and administrative charges shall be charged on delinquent debts in accordance with 31 U.S.C. § 3717, 31 CFR 901.9, and paragraphs 31 and 32. Treasury will refer any debt that is more than 180 days delinquent to Treasury’s Bureau of the Fiscal Service for debt collection services.</w:t>
      </w:r>
    </w:p>
    <w:p>
      <w:pPr>
        <w:spacing w:after="0" w:line="207"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Penalties on any debts shall accrue at a rate of not more than 6 percent per year or such other higher rate as authorized by law.</w:t>
      </w:r>
    </w:p>
    <w:p>
      <w:pPr>
        <w:spacing w:after="0" w:line="258" w:lineRule="exact"/>
        <w:rPr>
          <w:rFonts w:ascii="Times New Roman" w:cs="Times New Roman" w:eastAsia="Times New Roman" w:hAnsi="Times New Roman"/>
          <w:sz w:val="21"/>
          <w:szCs w:val="21"/>
          <w:color w:val="auto"/>
        </w:rPr>
      </w:pPr>
    </w:p>
    <w:p>
      <w:pPr>
        <w:ind w:left="340" w:hanging="332"/>
        <w:spacing w:after="0"/>
        <w:tabs>
          <w:tab w:leader="none" w:pos="3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charges relating to the costs of processing and handling a delinquent debt shall be determined by Treasury.</w:t>
      </w:r>
    </w:p>
    <w:p>
      <w:pPr>
        <w:spacing w:after="0" w:line="246" w:lineRule="exact"/>
        <w:rPr>
          <w:rFonts w:ascii="Times New Roman" w:cs="Times New Roman" w:eastAsia="Times New Roman" w:hAnsi="Times New Roman"/>
          <w:sz w:val="22"/>
          <w:szCs w:val="22"/>
          <w:color w:val="auto"/>
        </w:rPr>
      </w:pPr>
    </w:p>
    <w:p>
      <w:pPr>
        <w:ind w:left="340" w:right="80" w:hanging="332"/>
        <w:spacing w:after="0" w:line="271" w:lineRule="auto"/>
        <w:tabs>
          <w:tab w:leader="none" w:pos="3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shall not use funds from other federally sponsored programs to pay a debt to the government arising under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Protections for Whistleblowers</w:t>
      </w:r>
    </w:p>
    <w:p>
      <w:pPr>
        <w:spacing w:after="0" w:line="220" w:lineRule="exact"/>
        <w:rPr>
          <w:sz w:val="20"/>
          <w:szCs w:val="20"/>
          <w:color w:val="auto"/>
        </w:rPr>
      </w:pPr>
    </w:p>
    <w:p>
      <w:pPr>
        <w:ind w:left="340" w:right="20" w:hanging="332"/>
        <w:spacing w:after="0" w:line="248" w:lineRule="auto"/>
        <w:tabs>
          <w:tab w:leader="none" w:pos="3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other applicable whistleblower protections, in accordance with 41 U.S.C. § 4712, the Recipient shall not discharge, demote, or otherwise discriminate against an Employee as a reprisal for disclosing information to a Person listed below that the Employee reasonably believes is evidence of gross mismanagement of a Federal contract or grant, a gross waste of Federal funds, an abuse of authority relating to a Federal contract or grant, a substantial and specific danger to public health or safety, or a violation of law, rule, or regulation related to a Federal contract (including the competition for or negotiation of a contract) or grant:</w:t>
      </w:r>
    </w:p>
    <w:p>
      <w:pPr>
        <w:spacing w:after="0" w:line="213"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Member of Congress or a representative of a committee of Congress;</w:t>
      </w:r>
    </w:p>
    <w:p>
      <w:pPr>
        <w:spacing w:after="0" w:line="24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Inspector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22" w:right="339" w:bottom="1440" w:gutter="0" w:footer="0" w:header="0"/>
        </w:sectPr>
      </w:pPr>
    </w:p>
    <w:bookmarkStart w:id="95" w:name="page96"/>
    <w:bookmarkEnd w:id="95"/>
    <w:p>
      <w:pPr>
        <w:spacing w:after="0" w:line="225" w:lineRule="exact"/>
        <w:rPr>
          <w:sz w:val="20"/>
          <w:szCs w:val="20"/>
          <w:color w:val="auto"/>
        </w:rPr>
      </w:pPr>
    </w:p>
    <w:p>
      <w:pPr>
        <w:ind w:left="960" w:hanging="304"/>
        <w:spacing w:after="0"/>
        <w:tabs>
          <w:tab w:leader="none" w:pos="9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Government Accountability Office;</w:t>
      </w:r>
    </w:p>
    <w:p>
      <w:pPr>
        <w:spacing w:after="0" w:line="24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Treasury employee responsible for contract or grant oversight or management;</w:t>
      </w:r>
    </w:p>
    <w:p>
      <w:pPr>
        <w:spacing w:after="0" w:line="246"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authorized official of the Department of Justice or other law enforcement agency;</w:t>
      </w:r>
    </w:p>
    <w:p>
      <w:pPr>
        <w:spacing w:after="0" w:line="24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court or grand jury; or</w:t>
      </w:r>
    </w:p>
    <w:p>
      <w:pPr>
        <w:spacing w:after="0" w:line="246" w:lineRule="exact"/>
        <w:rPr>
          <w:rFonts w:ascii="Times New Roman" w:cs="Times New Roman" w:eastAsia="Times New Roman" w:hAnsi="Times New Roman"/>
          <w:sz w:val="22"/>
          <w:szCs w:val="22"/>
          <w:color w:val="auto"/>
        </w:rPr>
      </w:pPr>
    </w:p>
    <w:p>
      <w:pPr>
        <w:ind w:left="980" w:right="500" w:hanging="324"/>
        <w:spacing w:after="0" w:line="271" w:lineRule="auto"/>
        <w:tabs>
          <w:tab w:leader="none" w:pos="9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management official or other Employee of the Recipient who has the responsibility to investigate, discover, or address misconduct.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Lobbying</w:t>
      </w:r>
    </w:p>
    <w:p>
      <w:pPr>
        <w:spacing w:after="0" w:line="220" w:lineRule="exact"/>
        <w:rPr>
          <w:sz w:val="20"/>
          <w:szCs w:val="20"/>
          <w:color w:val="auto"/>
        </w:rPr>
      </w:pPr>
    </w:p>
    <w:p>
      <w:pPr>
        <w:ind w:firstLine="8"/>
        <w:spacing w:after="0" w:line="448" w:lineRule="auto"/>
        <w:tabs>
          <w:tab w:leader="none" w:pos="32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Recipient shall comply with the provisions of 31 U.S.C. § 1352, as amended, and with the regulations at 31 CFR Part 21. </w:t>
      </w:r>
      <w:r>
        <w:rPr>
          <w:rFonts w:ascii="Times New Roman" w:cs="Times New Roman" w:eastAsia="Times New Roman" w:hAnsi="Times New Roman"/>
          <w:sz w:val="22"/>
          <w:szCs w:val="22"/>
          <w:u w:val="single" w:color="auto"/>
          <w:color w:val="auto"/>
        </w:rPr>
        <w:t>Non-Discrimination</w:t>
      </w:r>
    </w:p>
    <w:p>
      <w:pPr>
        <w:ind w:left="340" w:right="180" w:hanging="332"/>
        <w:spacing w:after="0" w:line="271" w:lineRule="auto"/>
        <w:tabs>
          <w:tab w:leader="none" w:pos="3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shall comply with, and hereby assures that it will comply with, all applicable Federal statutes and regulations relating to nondiscrimination including:</w:t>
      </w:r>
    </w:p>
    <w:p>
      <w:pPr>
        <w:spacing w:after="0" w:line="180" w:lineRule="exact"/>
        <w:rPr>
          <w:rFonts w:ascii="Times New Roman" w:cs="Times New Roman" w:eastAsia="Times New Roman" w:hAnsi="Times New Roman"/>
          <w:sz w:val="22"/>
          <w:szCs w:val="22"/>
          <w:color w:val="auto"/>
        </w:rPr>
      </w:pPr>
    </w:p>
    <w:p>
      <w:pPr>
        <w:ind w:left="980" w:right="40" w:hanging="324"/>
        <w:spacing w:after="0" w:line="275" w:lineRule="auto"/>
        <w:tabs>
          <w:tab w:leader="none" w:pos="968"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Title VI of the Civil Rights Act of 1964 (42 U.S.C. § 2000d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including Treasury’s implementing regulations at 31 CFR Part 22;</w:t>
      </w:r>
    </w:p>
    <w:p>
      <w:pPr>
        <w:spacing w:after="0" w:line="180"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504 of the Rehabilitation Act of 1973, as amended (29 U.S.C. § 794);</w:t>
      </w:r>
    </w:p>
    <w:p>
      <w:pPr>
        <w:spacing w:after="0" w:line="246" w:lineRule="exact"/>
        <w:rPr>
          <w:rFonts w:ascii="Times New Roman" w:cs="Times New Roman" w:eastAsia="Times New Roman" w:hAnsi="Times New Roman"/>
          <w:sz w:val="22"/>
          <w:szCs w:val="22"/>
          <w:color w:val="auto"/>
        </w:rPr>
      </w:pPr>
    </w:p>
    <w:p>
      <w:pPr>
        <w:ind w:left="980" w:right="440" w:hanging="324"/>
        <w:spacing w:after="0" w:line="295" w:lineRule="auto"/>
        <w:tabs>
          <w:tab w:leader="none" w:pos="968"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Age Discrimination Act of 1975, as amended (42 U.S.C. §§ 6101–6107), including Treasury’s implementing regulations at 31 CFR Part 23 and the general age discrimination regulations at 45 CFR Part 90; and</w:t>
      </w:r>
    </w:p>
    <w:p>
      <w:pPr>
        <w:spacing w:after="0" w:line="162"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Air Carrier Access Act of 1986 (49 U.S.C. § 41705).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Additional Reporting</w:t>
      </w:r>
    </w:p>
    <w:p>
      <w:pPr>
        <w:spacing w:after="0" w:line="220" w:lineRule="exact"/>
        <w:rPr>
          <w:sz w:val="20"/>
          <w:szCs w:val="20"/>
          <w:color w:val="auto"/>
        </w:rPr>
      </w:pPr>
    </w:p>
    <w:p>
      <w:pPr>
        <w:ind w:left="340" w:right="240" w:hanging="332"/>
        <w:spacing w:after="0" w:line="248" w:lineRule="auto"/>
        <w:tabs>
          <w:tab w:leader="none" w:pos="3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seven days after the date of this Agreement, the Recipient shall register in SAM.gov, and thereafter maintain the currency of the information in SAM.gov until at least October 1, 2022. The Recipient shall review and update such information at least annually after the initial registration, and more frequently if required by changes in the Recipient’s information. The Recipient agrees that this Agreement and information related thereto, including the Maximum Awardable Amount and any executive total compensation reported pursuant to paragraph 38, may be made available to the public through a U.S. Government website, including SAM.gov.</w:t>
      </w:r>
    </w:p>
    <w:p>
      <w:pPr>
        <w:spacing w:after="0" w:line="213" w:lineRule="exact"/>
        <w:rPr>
          <w:rFonts w:ascii="Times New Roman" w:cs="Times New Roman" w:eastAsia="Times New Roman" w:hAnsi="Times New Roman"/>
          <w:sz w:val="22"/>
          <w:szCs w:val="22"/>
          <w:color w:val="auto"/>
        </w:rPr>
      </w:pPr>
    </w:p>
    <w:p>
      <w:pPr>
        <w:jc w:val="both"/>
        <w:ind w:left="340" w:hanging="332"/>
        <w:spacing w:after="0" w:line="257" w:lineRule="auto"/>
        <w:tabs>
          <w:tab w:leader="none" w:pos="3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paragraph 37, the Recipient shall report total compensation as defined in paragraph e.5 of the award term in 2 CFR part 170, App. A for each of the Recipient’s five most highly compensated executives for the preceding completed fiscal year, if:</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00"/>
          </w:cols>
          <w:pgMar w:left="320" w:top="1440" w:right="379" w:bottom="1440" w:gutter="0" w:footer="0" w:header="0"/>
        </w:sectPr>
      </w:pPr>
    </w:p>
    <w:bookmarkStart w:id="96" w:name="page97"/>
    <w:bookmarkEnd w:id="96"/>
    <w:p>
      <w:pPr>
        <w:spacing w:after="0" w:line="225" w:lineRule="exact"/>
        <w:rPr>
          <w:sz w:val="20"/>
          <w:szCs w:val="20"/>
          <w:color w:val="auto"/>
        </w:rPr>
      </w:pPr>
    </w:p>
    <w:p>
      <w:pPr>
        <w:ind w:left="960" w:hanging="304"/>
        <w:spacing w:after="0"/>
        <w:tabs>
          <w:tab w:leader="none" w:pos="96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Payroll Support is $25,000 or more;</w:t>
      </w:r>
    </w:p>
    <w:p>
      <w:pPr>
        <w:spacing w:after="0" w:line="24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preceding fiscal year, the Recipient received:</w:t>
      </w:r>
    </w:p>
    <w:p>
      <w:pPr>
        <w:spacing w:after="0" w:line="246" w:lineRule="exact"/>
        <w:rPr>
          <w:rFonts w:ascii="Times New Roman" w:cs="Times New Roman" w:eastAsia="Times New Roman" w:hAnsi="Times New Roman"/>
          <w:sz w:val="22"/>
          <w:szCs w:val="22"/>
          <w:color w:val="auto"/>
        </w:rPr>
      </w:pPr>
    </w:p>
    <w:p>
      <w:pPr>
        <w:ind w:left="1620" w:right="320" w:hanging="268"/>
        <w:spacing w:after="0" w:line="271" w:lineRule="auto"/>
        <w:tabs>
          <w:tab w:leader="none" w:pos="1620" w:val="left"/>
        </w:tabs>
        <w:numPr>
          <w:ilvl w:val="2"/>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 percent or more of its annual gross revenues from Federal procurement contracts (and subcontracts) and Federal financial assistance, as defined at 2 CFR 170.320 (and subawards); and</w:t>
      </w:r>
    </w:p>
    <w:p>
      <w:pPr>
        <w:spacing w:after="0" w:line="184" w:lineRule="exact"/>
        <w:rPr>
          <w:rFonts w:ascii="Times New Roman" w:cs="Times New Roman" w:eastAsia="Times New Roman" w:hAnsi="Times New Roman"/>
          <w:sz w:val="22"/>
          <w:szCs w:val="22"/>
          <w:color w:val="auto"/>
        </w:rPr>
      </w:pPr>
    </w:p>
    <w:p>
      <w:pPr>
        <w:ind w:left="1620" w:right="420" w:hanging="328"/>
        <w:spacing w:after="0" w:line="271" w:lineRule="auto"/>
        <w:tabs>
          <w:tab w:leader="none" w:pos="1620" w:val="left"/>
        </w:tabs>
        <w:numPr>
          <w:ilvl w:val="2"/>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$25,000,000 or more in annual gross revenues from Federal procurement contracts (and subcontracts) and Federal financial assistance, as defined at 2 CFR 170.320 (and subawards); and</w:t>
      </w:r>
    </w:p>
    <w:p>
      <w:pPr>
        <w:spacing w:after="0" w:line="184" w:lineRule="exact"/>
        <w:rPr>
          <w:rFonts w:ascii="Times New Roman" w:cs="Times New Roman" w:eastAsia="Times New Roman" w:hAnsi="Times New Roman"/>
          <w:sz w:val="22"/>
          <w:szCs w:val="22"/>
          <w:color w:val="auto"/>
        </w:rPr>
      </w:pPr>
    </w:p>
    <w:p>
      <w:pPr>
        <w:ind w:left="980" w:hanging="324"/>
        <w:spacing w:after="0" w:line="250" w:lineRule="auto"/>
        <w:tabs>
          <w:tab w:leader="none" w:pos="968"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public does not have access to information about the compensation of the executives through periodic reports filed under section 13(a) or 15(d) of the Securities Exchange Act of 1934 (15 U.S.C. 78m(a), 78o(d)) or section 6104 of the Internal Revenue Code of 1986. To determine if the public has access to the compensation information, the Recipient shall refer to U.S. Securities and Exchange Commission total compensation filings at http://www.sec.gov/answers/execomp.htm.</w:t>
      </w:r>
    </w:p>
    <w:p>
      <w:pPr>
        <w:spacing w:after="0" w:line="207"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shall report executive total compensation described in paragraph 38:</w:t>
      </w:r>
    </w:p>
    <w:p>
      <w:pPr>
        <w:spacing w:after="0" w:line="246"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part of its registration profile at https://www.sam.gov; and</w:t>
      </w:r>
    </w:p>
    <w:p>
      <w:pPr>
        <w:spacing w:after="0" w:line="246" w:lineRule="exact"/>
        <w:rPr>
          <w:rFonts w:ascii="Times New Roman" w:cs="Times New Roman" w:eastAsia="Times New Roman" w:hAnsi="Times New Roman"/>
          <w:sz w:val="22"/>
          <w:szCs w:val="22"/>
          <w:color w:val="auto"/>
        </w:rPr>
      </w:pPr>
    </w:p>
    <w:p>
      <w:pPr>
        <w:ind w:left="980" w:right="800" w:hanging="324"/>
        <w:spacing w:after="0" w:line="271" w:lineRule="auto"/>
        <w:tabs>
          <w:tab w:leader="none" w:pos="98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business days after the end of each month following the month in which this Agreement becomes effective, and annually thereafter.</w:t>
      </w:r>
    </w:p>
    <w:p>
      <w:pPr>
        <w:spacing w:after="0" w:line="184" w:lineRule="exact"/>
        <w:rPr>
          <w:rFonts w:ascii="Times New Roman" w:cs="Times New Roman" w:eastAsia="Times New Roman" w:hAnsi="Times New Roman"/>
          <w:sz w:val="22"/>
          <w:szCs w:val="22"/>
          <w:color w:val="auto"/>
        </w:rPr>
      </w:pPr>
    </w:p>
    <w:p>
      <w:pPr>
        <w:ind w:left="340" w:right="100" w:hanging="332"/>
        <w:spacing w:after="0" w:line="247" w:lineRule="auto"/>
        <w:tabs>
          <w:tab w:leader="none" w:pos="34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agrees that, from time to time, it will, at its own expense, promptly upon reasonable request by Treasury, execute and deliver, or cause to be executed and delivered, or use its commercially reasonable efforts to procure, all instruments, documents and information, all in form and substance reasonably satisfactory to Treasury, to enable Treasury to ensure compliance with, or effect the purposes of, this Agreement, which may include, among other documents or information, (a) certain audited financial statements of the Recipient, (b) documentation regarding the Recipient’s revenues derived from its business as a passenger air carrier or regarding the passenger air carriers for which the Recipient provides services as a contractor (as the case may be), and (c) the Recipient’s most recent quarterly Federal tax returns. The Recipient agrees to provide Treasury with such documents or information promptly.</w:t>
      </w:r>
    </w:p>
    <w:p>
      <w:pPr>
        <w:spacing w:after="0" w:line="212" w:lineRule="exact"/>
        <w:rPr>
          <w:rFonts w:ascii="Times New Roman" w:cs="Times New Roman" w:eastAsia="Times New Roman" w:hAnsi="Times New Roman"/>
          <w:sz w:val="22"/>
          <w:szCs w:val="22"/>
          <w:color w:val="auto"/>
        </w:rPr>
      </w:pPr>
    </w:p>
    <w:p>
      <w:pPr>
        <w:ind w:left="340" w:hanging="332"/>
        <w:spacing w:after="0" w:line="257" w:lineRule="auto"/>
        <w:tabs>
          <w:tab w:leader="none" w:pos="34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total value of the Recipient’s currently active grants, cooperative agreements, and procurement contracts from all Federal awarding agencies exceeds $10,000,000 for any period before termination of this Agreement, then the Recipient shall make such reports as required by 2 CFR part 200, Appendix XII.</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00"/>
          </w:cols>
          <w:pgMar w:left="320" w:top="1440" w:right="379" w:bottom="1440" w:gutter="0" w:footer="0" w:header="0"/>
        </w:sectPr>
      </w:pPr>
    </w:p>
    <w:bookmarkStart w:id="97" w:name="page98"/>
    <w:bookmarkEnd w:id="97"/>
    <w:p>
      <w:pPr>
        <w:ind w:left="332" w:right="40" w:hanging="332"/>
        <w:spacing w:after="0" w:line="250" w:lineRule="auto"/>
        <w:tabs>
          <w:tab w:leader="none" w:pos="33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Recipient acknowledges that neither Treasury, nor any other actor, department, or agency of the Federal Government, shall condition the provision of Payroll Support on the Recipient’s implementation of measures to enter into negotiations with the certified bargaining representative of a craft or class of employees of the Recipient under the Railway Labor Act (45 U.S.C. 151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or the National Labor Relations Act (29 U.S.C. 151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regarding pay or other terms and conditions of employment.</w:t>
      </w:r>
    </w:p>
    <w:p>
      <w:pPr>
        <w:spacing w:after="0" w:line="207" w:lineRule="exact"/>
        <w:rPr>
          <w:rFonts w:ascii="Times New Roman" w:cs="Times New Roman" w:eastAsia="Times New Roman" w:hAnsi="Times New Roman"/>
          <w:sz w:val="22"/>
          <w:szCs w:val="22"/>
          <w:color w:val="auto"/>
        </w:rPr>
      </w:pPr>
    </w:p>
    <w:p>
      <w:pPr>
        <w:ind w:left="332" w:right="460" w:hanging="332"/>
        <w:spacing w:after="0" w:line="252" w:lineRule="auto"/>
        <w:tabs>
          <w:tab w:leader="none" w:pos="33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the Recipient has no right to, and shall not, transfer, pledge, mortgage, encumber, or otherwise assign this Agreement or any Payroll Support provided under this Agreement, or any interest therein, or any claim, account receivable, or funds arising thereunder or accounts holding Payroll Support, to any party, bank, trust company, or other Person without the express written approval of Treasury.</w:t>
      </w:r>
    </w:p>
    <w:p>
      <w:pPr>
        <w:spacing w:after="0" w:line="206" w:lineRule="exact"/>
        <w:rPr>
          <w:rFonts w:ascii="Times New Roman" w:cs="Times New Roman" w:eastAsia="Times New Roman" w:hAnsi="Times New Roman"/>
          <w:sz w:val="22"/>
          <w:szCs w:val="22"/>
          <w:color w:val="auto"/>
        </w:rPr>
      </w:pPr>
    </w:p>
    <w:p>
      <w:pPr>
        <w:ind w:left="332" w:hanging="332"/>
        <w:spacing w:after="0"/>
        <w:tabs>
          <w:tab w:leader="none" w:pos="33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Signatory Entity will cause its Affiliates to comply with all of their obligations under or relating to this Agreement.</w:t>
      </w:r>
    </w:p>
    <w:p>
      <w:pPr>
        <w:spacing w:after="0" w:line="246" w:lineRule="exact"/>
        <w:rPr>
          <w:rFonts w:ascii="Times New Roman" w:cs="Times New Roman" w:eastAsia="Times New Roman" w:hAnsi="Times New Roman"/>
          <w:sz w:val="22"/>
          <w:szCs w:val="22"/>
          <w:color w:val="auto"/>
        </w:rPr>
      </w:pPr>
    </w:p>
    <w:p>
      <w:pPr>
        <w:ind w:left="332" w:right="260" w:hanging="332"/>
        <w:spacing w:after="0" w:line="252" w:lineRule="auto"/>
        <w:tabs>
          <w:tab w:leader="none" w:pos="33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guidance issued by Treasury or the Internal Revenue Service, the form of any Taxpayer Protection Instrument held by Treasury and any subsequent holder will be treated as such form for purposes of the Internal Revenue Code of 1986 (for example, a Taxpayer Protection Instrument in the form of a note will be treated as indebtedness for purposes of the Internal Revenue Code of 1986).</w:t>
      </w:r>
    </w:p>
    <w:p>
      <w:pPr>
        <w:spacing w:after="0" w:line="206" w:lineRule="exact"/>
        <w:rPr>
          <w:rFonts w:ascii="Times New Roman" w:cs="Times New Roman" w:eastAsia="Times New Roman" w:hAnsi="Times New Roman"/>
          <w:sz w:val="22"/>
          <w:szCs w:val="22"/>
          <w:color w:val="auto"/>
        </w:rPr>
      </w:pPr>
    </w:p>
    <w:p>
      <w:pPr>
        <w:ind w:left="332" w:right="300" w:hanging="332"/>
        <w:spacing w:after="0" w:line="257" w:lineRule="auto"/>
        <w:tabs>
          <w:tab w:leader="none" w:pos="33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not be amended or modified except pursuant to an agreement in writing entered into by the Recipient and Treasury, except that Treasury may unilaterally amend this Agreement if required in order to comply with applicable Federal law or regulation.</w:t>
      </w:r>
    </w:p>
    <w:p>
      <w:pPr>
        <w:spacing w:after="0" w:line="199" w:lineRule="exact"/>
        <w:rPr>
          <w:rFonts w:ascii="Times New Roman" w:cs="Times New Roman" w:eastAsia="Times New Roman" w:hAnsi="Times New Roman"/>
          <w:sz w:val="22"/>
          <w:szCs w:val="22"/>
          <w:color w:val="auto"/>
        </w:rPr>
      </w:pPr>
    </w:p>
    <w:p>
      <w:pPr>
        <w:ind w:left="332" w:right="140" w:hanging="332"/>
        <w:spacing w:after="0" w:line="271" w:lineRule="auto"/>
        <w:tabs>
          <w:tab w:leader="none" w:pos="33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applicable law, Treasury may, in its sole discretion, waive any term or condition under this Agreement imposing a requirement on the Recipient or any Affiliate.</w:t>
      </w:r>
    </w:p>
    <w:p>
      <w:pPr>
        <w:spacing w:after="0" w:line="184" w:lineRule="exact"/>
        <w:rPr>
          <w:rFonts w:ascii="Times New Roman" w:cs="Times New Roman" w:eastAsia="Times New Roman" w:hAnsi="Times New Roman"/>
          <w:sz w:val="22"/>
          <w:szCs w:val="22"/>
          <w:color w:val="auto"/>
        </w:rPr>
      </w:pPr>
    </w:p>
    <w:p>
      <w:pPr>
        <w:ind w:left="332" w:right="820" w:hanging="332"/>
        <w:spacing w:after="0" w:line="254" w:lineRule="auto"/>
        <w:tabs>
          <w:tab w:leader="none" w:pos="33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bind and inure to the benefit of the parties and their respective heirs, executors, administrators, successors, and assigns.</w:t>
      </w:r>
    </w:p>
    <w:p>
      <w:pPr>
        <w:spacing w:after="0" w:line="1" w:lineRule="exact"/>
        <w:rPr>
          <w:rFonts w:ascii="Times New Roman" w:cs="Times New Roman" w:eastAsia="Times New Roman" w:hAnsi="Times New Roman"/>
          <w:sz w:val="22"/>
          <w:szCs w:val="22"/>
          <w:color w:val="auto"/>
        </w:rPr>
      </w:pPr>
    </w:p>
    <w:p>
      <w:pPr>
        <w:ind w:left="332" w:hanging="332"/>
        <w:spacing w:after="0" w:line="244" w:lineRule="auto"/>
        <w:tabs>
          <w:tab w:leader="none" w:pos="33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represents and warrants to Treasury that this Agreement, and the issuance and delivery to Treasury of the Taxpayer Protection Instruments, if applicable, have been duly authorized by all requisite corporate and, if required, stockholder action, and will not result in the violation by the Recipient of any provision of law, statute, or regulation, or of the articles of incorporation or other constitutive documents or bylaws of the Recipient, or breach or constitute an event of default under any material contract to which the Recipient is a party.</w:t>
      </w:r>
    </w:p>
    <w:p>
      <w:pPr>
        <w:spacing w:after="0" w:line="215" w:lineRule="exact"/>
        <w:rPr>
          <w:rFonts w:ascii="Times New Roman" w:cs="Times New Roman" w:eastAsia="Times New Roman" w:hAnsi="Times New Roman"/>
          <w:sz w:val="22"/>
          <w:szCs w:val="22"/>
          <w:color w:val="auto"/>
        </w:rPr>
      </w:pPr>
    </w:p>
    <w:p>
      <w:pPr>
        <w:jc w:val="both"/>
        <w:ind w:left="332" w:right="40" w:hanging="332"/>
        <w:spacing w:after="0" w:line="257" w:lineRule="auto"/>
        <w:tabs>
          <w:tab w:leader="none" w:pos="33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represents and warrants to Treasury that this Agreement has been duly executed and delivered by the Recipient and constitutes a legal, valid, and binding obligation of the Recipient enforceable against the Recipient in accordance with its terms.</w:t>
      </w:r>
    </w:p>
    <w:p>
      <w:pPr>
        <w:spacing w:after="0" w:line="199" w:lineRule="exact"/>
        <w:rPr>
          <w:rFonts w:ascii="Times New Roman" w:cs="Times New Roman" w:eastAsia="Times New Roman" w:hAnsi="Times New Roman"/>
          <w:sz w:val="22"/>
          <w:szCs w:val="22"/>
          <w:color w:val="auto"/>
        </w:rPr>
      </w:pPr>
    </w:p>
    <w:p>
      <w:pPr>
        <w:ind w:left="332" w:right="300" w:hanging="332"/>
        <w:spacing w:after="0" w:line="271" w:lineRule="auto"/>
        <w:tabs>
          <w:tab w:leader="none" w:pos="33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counterparts, each of which shall constitute an original, but all of which together shall constitute a single contract.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32"/>
          </w:cols>
          <w:pgMar w:left="328" w:top="1422" w:right="339" w:bottom="1440" w:gutter="0" w:footer="0" w:header="0"/>
        </w:sectPr>
      </w:pPr>
    </w:p>
    <w:bookmarkStart w:id="98" w:name="page99"/>
    <w:bookmarkEnd w:id="98"/>
    <w:p>
      <w:pPr>
        <w:spacing w:after="0" w:line="225" w:lineRule="exact"/>
        <w:rPr>
          <w:sz w:val="20"/>
          <w:szCs w:val="20"/>
          <w:color w:val="auto"/>
        </w:rPr>
      </w:pPr>
    </w:p>
    <w:p>
      <w:pPr>
        <w:ind w:left="340" w:hanging="332"/>
        <w:spacing w:after="0" w:line="246" w:lineRule="auto"/>
        <w:tabs>
          <w:tab w:leader="none" w:pos="3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“execution,” “signed,” “signature,” and words of like import in any assignment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Notwithstanding anything herein to the contrary, delivery of an executed counterpart of a signature page of this Agreement by electronic means, or confirmation of the execution of this Agreement on behalf of a party by an email from an authorized signatory of such party, shall be effective as delivery of a manually executed counterpart of this Agreement.</w:t>
      </w:r>
    </w:p>
    <w:p>
      <w:pPr>
        <w:spacing w:after="0" w:line="217" w:lineRule="exact"/>
        <w:rPr>
          <w:rFonts w:ascii="Times New Roman" w:cs="Times New Roman" w:eastAsia="Times New Roman" w:hAnsi="Times New Roman"/>
          <w:sz w:val="22"/>
          <w:szCs w:val="22"/>
          <w:color w:val="auto"/>
        </w:rPr>
      </w:pPr>
    </w:p>
    <w:p>
      <w:pPr>
        <w:ind w:left="340" w:right="160" w:hanging="332"/>
        <w:spacing w:after="0" w:line="271" w:lineRule="auto"/>
        <w:tabs>
          <w:tab w:leader="none" w:pos="3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captions and paragraph headings appearing herein are included solely for convenience of reference and are not intended to affect the interpretation of any provision of this Agreement.</w:t>
      </w:r>
    </w:p>
    <w:p>
      <w:pPr>
        <w:spacing w:after="0" w:line="184" w:lineRule="exact"/>
        <w:rPr>
          <w:rFonts w:ascii="Times New Roman" w:cs="Times New Roman" w:eastAsia="Times New Roman" w:hAnsi="Times New Roman"/>
          <w:sz w:val="22"/>
          <w:szCs w:val="22"/>
          <w:color w:val="auto"/>
        </w:rPr>
      </w:pPr>
    </w:p>
    <w:p>
      <w:pPr>
        <w:ind w:left="340" w:right="140" w:hanging="332"/>
        <w:spacing w:after="0" w:line="252" w:lineRule="auto"/>
        <w:tabs>
          <w:tab w:leader="none" w:pos="3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governed by and shall be construed in accordance with Federal law. Insofar as there may be no applicable Federal law, this Agreement shall be construed in accordance with the laws of the State of New York, without regard to any rule of conflicts of law (other than section 5-1401 of the New York General Obligations Law) that would result in the application of the substantive law of any jurisdiction other than the State of New York.</w:t>
      </w:r>
    </w:p>
    <w:p>
      <w:pPr>
        <w:spacing w:after="0" w:line="206"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shall require any unlawful action or inaction by either party.</w:t>
      </w:r>
    </w:p>
    <w:p>
      <w:pPr>
        <w:spacing w:after="0" w:line="246" w:lineRule="exact"/>
        <w:rPr>
          <w:rFonts w:ascii="Times New Roman" w:cs="Times New Roman" w:eastAsia="Times New Roman" w:hAnsi="Times New Roman"/>
          <w:sz w:val="22"/>
          <w:szCs w:val="22"/>
          <w:color w:val="auto"/>
        </w:rPr>
      </w:pPr>
    </w:p>
    <w:p>
      <w:pPr>
        <w:ind w:left="340" w:right="380" w:hanging="332"/>
        <w:spacing w:after="0" w:line="271" w:lineRule="auto"/>
        <w:tabs>
          <w:tab w:leader="none" w:pos="3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requirement pertaining to trafficking in persons at 2 CFR 175.15(b) is incorporated herein and made applicable to the Recipient.</w:t>
      </w:r>
    </w:p>
    <w:p>
      <w:pPr>
        <w:spacing w:after="0" w:line="184" w:lineRule="exact"/>
        <w:rPr>
          <w:rFonts w:ascii="Times New Roman" w:cs="Times New Roman" w:eastAsia="Times New Roman" w:hAnsi="Times New Roman"/>
          <w:sz w:val="22"/>
          <w:szCs w:val="22"/>
          <w:color w:val="auto"/>
        </w:rPr>
      </w:pPr>
    </w:p>
    <w:p>
      <w:pPr>
        <w:ind w:left="340" w:hanging="332"/>
        <w:spacing w:after="0" w:line="250" w:lineRule="auto"/>
        <w:tabs>
          <w:tab w:leader="none" w:pos="3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together with the attachments hereto, including the Payroll Support Program Extension Certification and any attached terms regarding Taxpayer Protection Instruments, constitute the entire agreement of the parties relating to the subject matter hereof and supersede any previous agreements and understandings, oral or written, relating to the subject matter hereof. There may exist other agreements between the parties as to other matters, which are not affected by this Agreement and are not included within this integration clause.</w:t>
      </w:r>
    </w:p>
    <w:p>
      <w:pPr>
        <w:spacing w:after="0" w:line="207" w:lineRule="exact"/>
        <w:rPr>
          <w:rFonts w:ascii="Times New Roman" w:cs="Times New Roman" w:eastAsia="Times New Roman" w:hAnsi="Times New Roman"/>
          <w:sz w:val="22"/>
          <w:szCs w:val="22"/>
          <w:color w:val="auto"/>
        </w:rPr>
      </w:pPr>
    </w:p>
    <w:p>
      <w:pPr>
        <w:ind w:left="340" w:right="180" w:hanging="332"/>
        <w:spacing w:after="0" w:line="257" w:lineRule="auto"/>
        <w:tabs>
          <w:tab w:leader="none" w:pos="3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failure by either party to insist upon the strict performance of any provision of this Agreement or to exercise any right or remedy hereunder, and no acceptance of full or partial Payroll Support (if applicable) or other performance by either party during the continuance of any such breach, shall constitute a waiver of any such breach of such provision.</w:t>
      </w:r>
    </w:p>
    <w:p>
      <w:pPr>
        <w:spacing w:after="0" w:line="200" w:lineRule="exact"/>
        <w:rPr>
          <w:sz w:val="20"/>
          <w:szCs w:val="20"/>
          <w:color w:val="auto"/>
        </w:rPr>
      </w:pPr>
    </w:p>
    <w:p>
      <w:pPr>
        <w:spacing w:after="0" w:line="36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Payroll Support Program Extension Certification of Corporate Officer of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40" w:right="33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PAYROLL SUPPORT PROGRAM EXTENSION</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CERTIFICATION OF CORPORATE OFFICER OF RECIPIENT</w:t>
      </w:r>
    </w:p>
    <w:p>
      <w:pPr>
        <w:spacing w:after="0" w:line="200" w:lineRule="exact"/>
        <w:rPr>
          <w:sz w:val="20"/>
          <w:szCs w:val="20"/>
          <w:color w:val="auto"/>
        </w:rPr>
      </w:pPr>
    </w:p>
    <w:p>
      <w:pPr>
        <w:spacing w:after="0" w:line="267"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2"/>
          <w:szCs w:val="22"/>
          <w:color w:val="auto"/>
        </w:rPr>
        <w:t>In connection with the Payroll Support Program Extension Agreement (Agreement) between United Airlines, Inc. and the Department of the Treasury (Treasury) relating to Payroll Support being provided by Treasury to the Recipient under Subtitle A of Title IV of Division N of the Consolidated Appropriations Act, 2021, I hereby certify under penalty of perjury to the Treasury that all of the following are true and correct. Capitalized terms used but not defined herein have the meanings set forth in the Agreement.</w:t>
      </w:r>
    </w:p>
    <w:p>
      <w:pPr>
        <w:spacing w:after="0" w:line="181" w:lineRule="exact"/>
        <w:rPr>
          <w:sz w:val="20"/>
          <w:szCs w:val="20"/>
          <w:color w:val="auto"/>
        </w:rPr>
      </w:pPr>
    </w:p>
    <w:p>
      <w:pPr>
        <w:jc w:val="both"/>
        <w:ind w:left="340" w:right="200" w:firstLine="316"/>
        <w:spacing w:after="0" w:line="295" w:lineRule="auto"/>
        <w:tabs>
          <w:tab w:leader="none" w:pos="1132"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the authority to make the following representations on behalf of myself and the Recipient. I understand that these representations will be relied upon as material in the decision by Treasury to provide Payroll Support to the Recipient.</w:t>
      </w:r>
    </w:p>
    <w:p>
      <w:pPr>
        <w:spacing w:after="0" w:line="135" w:lineRule="exact"/>
        <w:rPr>
          <w:rFonts w:ascii="Times New Roman" w:cs="Times New Roman" w:eastAsia="Times New Roman" w:hAnsi="Times New Roman"/>
          <w:sz w:val="21"/>
          <w:szCs w:val="21"/>
          <w:color w:val="auto"/>
        </w:rPr>
      </w:pPr>
    </w:p>
    <w:p>
      <w:pPr>
        <w:ind w:left="340" w:right="140" w:firstLine="316"/>
        <w:spacing w:after="0" w:line="275" w:lineRule="auto"/>
        <w:tabs>
          <w:tab w:leader="none" w:pos="970"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and certifications provided by the Recipient in an application for Payroll Support, and in any attachments or other information provided by the Recipient to Treasury related to the application, are true and correct and do not contain any materially false, fictitious, or fraudulent statement, nor any concealment or omission of any material fact.</w:t>
      </w:r>
    </w:p>
    <w:p>
      <w:pPr>
        <w:spacing w:after="0" w:line="155" w:lineRule="exact"/>
        <w:rPr>
          <w:rFonts w:ascii="Times New Roman" w:cs="Times New Roman" w:eastAsia="Times New Roman" w:hAnsi="Times New Roman"/>
          <w:sz w:val="21"/>
          <w:szCs w:val="21"/>
          <w:color w:val="auto"/>
        </w:rPr>
      </w:pPr>
    </w:p>
    <w:p>
      <w:pPr>
        <w:ind w:left="340" w:right="460" w:firstLine="316"/>
        <w:spacing w:after="0" w:line="257" w:lineRule="auto"/>
        <w:tabs>
          <w:tab w:leader="none" w:pos="97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has the legal authority to apply for the Payroll Support, and it has the institutional, managerial, and financial capability to comply with all obligations, terms, and conditions set forth in the Agreement and any attachment thereto.</w:t>
      </w:r>
    </w:p>
    <w:p>
      <w:pPr>
        <w:spacing w:after="0" w:line="172" w:lineRule="exact"/>
        <w:rPr>
          <w:rFonts w:ascii="Times New Roman" w:cs="Times New Roman" w:eastAsia="Times New Roman" w:hAnsi="Times New Roman"/>
          <w:sz w:val="22"/>
          <w:szCs w:val="22"/>
          <w:color w:val="auto"/>
        </w:rPr>
      </w:pPr>
    </w:p>
    <w:p>
      <w:pPr>
        <w:ind w:left="340" w:firstLine="316"/>
        <w:spacing w:after="0" w:line="252" w:lineRule="auto"/>
        <w:tabs>
          <w:tab w:leader="none" w:pos="97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and any Affiliate will give Treasury, Treasury’s designee or the Treasury Office of Inspector General (as applicable) access to, and opportunity to examine, all documents, papers, or other records of the Recipient or Affiliate pertinent to the provision of Payroll Support made by Treasury based on the application, in order to make audits, examinations, excerpts, and transcripts.</w:t>
      </w:r>
    </w:p>
    <w:p>
      <w:pPr>
        <w:spacing w:after="0" w:line="179" w:lineRule="exact"/>
        <w:rPr>
          <w:rFonts w:ascii="Times New Roman" w:cs="Times New Roman" w:eastAsia="Times New Roman" w:hAnsi="Times New Roman"/>
          <w:sz w:val="22"/>
          <w:szCs w:val="22"/>
          <w:color w:val="auto"/>
        </w:rPr>
      </w:pPr>
    </w:p>
    <w:p>
      <w:pPr>
        <w:ind w:left="340" w:right="180" w:firstLine="316"/>
        <w:spacing w:after="0" w:line="248" w:lineRule="auto"/>
        <w:tabs>
          <w:tab w:leader="none" w:pos="97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Federal appropriated funds, including Payroll Support, have been paid or will be paid, by or on behalf of the Recipient,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pPr>
        <w:spacing w:after="0" w:line="186" w:lineRule="exact"/>
        <w:rPr>
          <w:rFonts w:ascii="Times New Roman" w:cs="Times New Roman" w:eastAsia="Times New Roman" w:hAnsi="Times New Roman"/>
          <w:sz w:val="22"/>
          <w:szCs w:val="22"/>
          <w:color w:val="auto"/>
        </w:rPr>
      </w:pPr>
    </w:p>
    <w:p>
      <w:pPr>
        <w:jc w:val="both"/>
        <w:ind w:left="340" w:right="120" w:firstLine="316"/>
        <w:spacing w:after="0" w:line="252" w:lineRule="auto"/>
        <w:tabs>
          <w:tab w:leader="none" w:pos="97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Payroll Support exceeds $100,000, the Recipient shall comply with the disclosure requirements in 31 CFR Part 21 regarding any amounts paid for influencing or attempting to influence an officer or employee of any agency, a Member of Congress, an officer or employee of Congress, or an employee of a Member of Congress in connection with the Payroll Support.</w:t>
      </w:r>
    </w:p>
    <w:p>
      <w:pPr>
        <w:sectPr>
          <w:pgSz w:w="11900" w:h="16838" w:orient="portrait"/>
          <w:cols w:equalWidth="0" w:num="1">
            <w:col w:w="11240"/>
          </w:cols>
          <w:pgMar w:left="320" w:top="1418" w:right="339" w:bottom="1440" w:gutter="0" w:footer="0" w:header="0"/>
        </w:sectPr>
      </w:pPr>
    </w:p>
    <w:bookmarkStart w:id="100" w:name="page101"/>
    <w:bookmarkEnd w:id="100"/>
    <w:p>
      <w:pPr>
        <w:spacing w:after="0" w:line="259" w:lineRule="auto"/>
        <w:rPr>
          <w:sz w:val="20"/>
          <w:szCs w:val="20"/>
          <w:color w:val="auto"/>
        </w:rPr>
      </w:pPr>
      <w:r>
        <w:rPr>
          <w:rFonts w:ascii="Times New Roman" w:cs="Times New Roman" w:eastAsia="Times New Roman" w:hAnsi="Times New Roman"/>
          <w:sz w:val="22"/>
          <w:szCs w:val="22"/>
          <w:b w:val="1"/>
          <w:bCs w:val="1"/>
          <w:color w:val="auto"/>
        </w:rPr>
        <w:t>I acknowledge that a materially false, fictitious, or fraudulent statement (or concealment or omission of a material fact) in this certification, or in the application that it supports, may be the subject of criminal prosecution and also may subject me and the Recipient to civil penalties and/or administrative remedies for false claims or otherwise.</w:t>
      </w: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6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 Gerald Laderman</w:t>
            </w:r>
          </w:p>
        </w:tc>
        <w:tc>
          <w:tcPr>
            <w:tcW w:w="30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 Pamela S. Hendry</w:t>
            </w:r>
          </w:p>
        </w:tc>
      </w:tr>
      <w:tr>
        <w:trPr>
          <w:trHeight w:val="20"/>
        </w:trPr>
        <w:tc>
          <w:tcPr>
            <w:tcW w:w="188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559"/>
        </w:trPr>
        <w:tc>
          <w:tcPr>
            <w:tcW w:w="5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Corporate Officer of Signatory Entity</w:t>
            </w:r>
          </w:p>
        </w:tc>
        <w:tc>
          <w:tcPr>
            <w:tcW w:w="30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Second Authorized Representative</w:t>
            </w:r>
          </w:p>
        </w:tc>
      </w:tr>
      <w:tr>
        <w:trPr>
          <w:trHeight w:val="486"/>
        </w:trPr>
        <w:tc>
          <w:tcPr>
            <w:tcW w:w="5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 Gerald Laderman</w:t>
            </w:r>
          </w:p>
        </w:tc>
        <w:tc>
          <w:tcPr>
            <w:tcW w:w="3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 Pamela S. Hendry</w:t>
            </w:r>
          </w:p>
        </w:tc>
      </w:tr>
      <w:tr>
        <w:trPr>
          <w:trHeight w:val="297"/>
        </w:trPr>
        <w:tc>
          <w:tcPr>
            <w:tcW w:w="5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 Executive Vice President and Chief Financial Officer</w:t>
            </w:r>
          </w:p>
        </w:tc>
        <w:tc>
          <w:tcPr>
            <w:tcW w:w="30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Title: Vice President and Treasurer</w:t>
            </w:r>
          </w:p>
        </w:tc>
      </w:tr>
      <w:tr>
        <w:trPr>
          <w:trHeight w:val="297"/>
        </w:trPr>
        <w:tc>
          <w:tcPr>
            <w:tcW w:w="5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January 15, 2021</w:t>
            </w:r>
          </w:p>
        </w:tc>
        <w:tc>
          <w:tcPr>
            <w:tcW w:w="3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January 15, 2021</w:t>
            </w:r>
          </w:p>
        </w:tc>
      </w:tr>
    </w:tbl>
    <w:p>
      <w:pPr>
        <w:sectPr>
          <w:pgSz w:w="11900" w:h="16838" w:orient="portrait"/>
          <w:cols w:equalWidth="0" w:num="1">
            <w:col w:w="11200"/>
          </w:cols>
          <w:pgMar w:left="320" w:top="1418" w:right="37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36830</wp:posOffset>
            </wp:positionV>
            <wp:extent cx="1748790" cy="720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748790" cy="720090"/>
                    </a:xfrm>
                    <a:prstGeom prst="rect">
                      <a:avLst/>
                    </a:prstGeom>
                    <a:noFill/>
                  </pic:spPr>
                </pic:pic>
              </a:graphicData>
            </a:graphic>
          </wp:anchor>
        </w:drawing>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b w:val="1"/>
          <w:bCs w:val="1"/>
          <w:color w:val="auto"/>
        </w:rPr>
        <w:t>News Release</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United Airlines</w:t>
      </w:r>
    </w:p>
    <w:p>
      <w:pPr>
        <w:ind w:left="20"/>
        <w:spacing w:after="0" w:line="203" w:lineRule="auto"/>
        <w:rPr>
          <w:sz w:val="20"/>
          <w:szCs w:val="20"/>
          <w:color w:val="auto"/>
        </w:rPr>
      </w:pPr>
      <w:r>
        <w:rPr>
          <w:rFonts w:ascii="Times New Roman" w:cs="Times New Roman" w:eastAsia="Times New Roman" w:hAnsi="Times New Roman"/>
          <w:sz w:val="18"/>
          <w:szCs w:val="18"/>
          <w:b w:val="1"/>
          <w:bCs w:val="1"/>
          <w:color w:val="auto"/>
        </w:rPr>
        <w:t>Worldwide Media Relations</w:t>
      </w:r>
    </w:p>
    <w:p>
      <w:pPr>
        <w:ind w:left="20"/>
        <w:spacing w:after="0" w:line="203" w:lineRule="auto"/>
        <w:rPr>
          <w:sz w:val="20"/>
          <w:szCs w:val="20"/>
          <w:color w:val="auto"/>
        </w:rPr>
      </w:pPr>
      <w:r>
        <w:rPr>
          <w:rFonts w:ascii="Times New Roman" w:cs="Times New Roman" w:eastAsia="Times New Roman" w:hAnsi="Times New Roman"/>
          <w:sz w:val="18"/>
          <w:szCs w:val="18"/>
          <w:color w:val="auto"/>
        </w:rPr>
        <w:t>872.825.8640</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media.relations@united.com</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Announces 2020 Financial Results:</w:t>
      </w:r>
    </w:p>
    <w:p>
      <w:pPr>
        <w:spacing w:after="0" w:line="56" w:lineRule="exact"/>
        <w:rPr>
          <w:sz w:val="20"/>
          <w:szCs w:val="20"/>
          <w:color w:val="auto"/>
        </w:rPr>
      </w:pPr>
    </w:p>
    <w:p>
      <w:pPr>
        <w:jc w:val="center"/>
        <w:spacing w:after="0" w:line="244" w:lineRule="auto"/>
        <w:rPr>
          <w:sz w:val="20"/>
          <w:szCs w:val="20"/>
          <w:color w:val="auto"/>
        </w:rPr>
      </w:pPr>
      <w:r>
        <w:rPr>
          <w:rFonts w:ascii="Arial" w:cs="Arial" w:eastAsia="Arial" w:hAnsi="Arial"/>
          <w:sz w:val="32"/>
          <w:szCs w:val="32"/>
          <w:b w:val="1"/>
          <w:bCs w:val="1"/>
          <w:color w:val="auto"/>
        </w:rPr>
        <w:t xml:space="preserve">2021 Will Focus On Transition To Recovery; Expects To </w:t>
      </w:r>
      <w:r>
        <w:rPr>
          <w:rFonts w:ascii="Arial" w:cs="Arial" w:eastAsia="Arial" w:hAnsi="Arial"/>
          <w:sz w:val="32"/>
          <w:szCs w:val="32"/>
          <w:b w:val="1"/>
          <w:bCs w:val="1"/>
          <w:u w:val="single" w:color="auto"/>
          <w:color w:val="auto"/>
        </w:rPr>
        <w:t>Exceed 2019</w:t>
      </w:r>
      <w:r>
        <w:rPr>
          <w:rFonts w:ascii="Arial" w:cs="Arial" w:eastAsia="Arial" w:hAnsi="Arial"/>
          <w:sz w:val="32"/>
          <w:szCs w:val="32"/>
          <w:b w:val="1"/>
          <w:bCs w:val="1"/>
          <w:color w:val="auto"/>
        </w:rPr>
        <w:t xml:space="preserve"> </w:t>
      </w:r>
      <w:r>
        <w:rPr>
          <w:rFonts w:ascii="Arial" w:cs="Arial" w:eastAsia="Arial" w:hAnsi="Arial"/>
          <w:sz w:val="32"/>
          <w:szCs w:val="32"/>
          <w:b w:val="1"/>
          <w:bCs w:val="1"/>
          <w:u w:val="single" w:color="auto"/>
          <w:color w:val="auto"/>
        </w:rPr>
        <w:t>Adjusted EBITDA Margin By 2023*</w:t>
      </w:r>
    </w:p>
    <w:p>
      <w:pPr>
        <w:jc w:val="center"/>
        <w:ind w:left="340" w:right="180"/>
        <w:spacing w:after="0" w:line="253" w:lineRule="auto"/>
        <w:rPr>
          <w:sz w:val="20"/>
          <w:szCs w:val="20"/>
          <w:color w:val="auto"/>
        </w:rPr>
      </w:pPr>
      <w:r>
        <w:rPr>
          <w:rFonts w:ascii="Arial" w:cs="Arial" w:eastAsia="Arial" w:hAnsi="Arial"/>
          <w:sz w:val="20"/>
          <w:szCs w:val="20"/>
          <w:i w:val="1"/>
          <w:iCs w:val="1"/>
          <w:color w:val="auto"/>
        </w:rPr>
        <w:t>Company continues to improve core cash burn in the face of continued COVID-19 headwinds; sharpens focus to prepare for recovery</w:t>
      </w: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CHICAGO, Jan. 20, 2021 </w:t>
      </w:r>
      <w:r>
        <w:rPr>
          <w:rFonts w:ascii="Arial" w:cs="Arial" w:eastAsia="Arial" w:hAnsi="Arial"/>
          <w:sz w:val="20"/>
          <w:szCs w:val="20"/>
          <w:color w:val="auto"/>
        </w:rPr>
        <w:t>– United Airlines (UAL) today announced fourth-quarter and full-year 2020 financial results.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The company continues its efforts to lead the industry as it manages the most disruptive crisis in aviation history.</w:t>
      </w:r>
    </w:p>
    <w:p>
      <w:pPr>
        <w:spacing w:after="0" w:line="108" w:lineRule="exact"/>
        <w:rPr>
          <w:sz w:val="20"/>
          <w:szCs w:val="20"/>
          <w:color w:val="auto"/>
        </w:rPr>
      </w:pPr>
    </w:p>
    <w:p>
      <w:pPr>
        <w:ind w:right="20" w:firstLine="648"/>
        <w:spacing w:after="0" w:line="335" w:lineRule="auto"/>
        <w:rPr>
          <w:sz w:val="20"/>
          <w:szCs w:val="20"/>
          <w:color w:val="auto"/>
        </w:rPr>
      </w:pPr>
      <w:r>
        <w:rPr>
          <w:rFonts w:ascii="Arial" w:cs="Arial" w:eastAsia="Arial" w:hAnsi="Arial"/>
          <w:sz w:val="20"/>
          <w:szCs w:val="20"/>
          <w:color w:val="auto"/>
        </w:rPr>
        <w:t>Since the beginning of the COVID-19 crisis, United has raised over $26 billion in liquidity and made important progress in reducing core cash burn (see detailed chart below) to ensure the company’s survival. Over the last three quarters, the company has identified $1.4 billion of annual cost savings and has a path to achieve at least $2.0 billion in structural reductions moving forward. United ended 2020 with $19.7 billion in available liquidity</w:t>
      </w:r>
      <w:r>
        <w:rPr>
          <w:rFonts w:ascii="Arial" w:cs="Arial" w:eastAsia="Arial" w:hAnsi="Arial"/>
          <w:sz w:val="25"/>
          <w:szCs w:val="25"/>
          <w:color w:val="auto"/>
          <w:vertAlign w:val="superscript"/>
        </w:rPr>
        <w:t>1</w:t>
      </w:r>
      <w:r>
        <w:rPr>
          <w:rFonts w:ascii="Arial" w:cs="Arial" w:eastAsia="Arial" w:hAnsi="Arial"/>
          <w:sz w:val="20"/>
          <w:szCs w:val="20"/>
          <w:color w:val="auto"/>
        </w:rPr>
        <w:t>, including an undrawn revolver capacity and funds available under the CARES Act loan program from the U.S. Treasury.</w:t>
      </w:r>
    </w:p>
    <w:p>
      <w:pPr>
        <w:spacing w:after="0" w:line="2" w:lineRule="exact"/>
        <w:rPr>
          <w:sz w:val="20"/>
          <w:szCs w:val="20"/>
          <w:color w:val="auto"/>
        </w:rPr>
      </w:pPr>
    </w:p>
    <w:p>
      <w:pPr>
        <w:ind w:right="140" w:firstLine="648"/>
        <w:spacing w:after="0" w:line="352" w:lineRule="auto"/>
        <w:rPr>
          <w:sz w:val="20"/>
          <w:szCs w:val="20"/>
          <w:color w:val="auto"/>
        </w:rPr>
      </w:pPr>
      <w:r>
        <w:rPr>
          <w:rFonts w:ascii="Arial" w:cs="Arial" w:eastAsia="Arial" w:hAnsi="Arial"/>
          <w:sz w:val="20"/>
          <w:szCs w:val="20"/>
          <w:color w:val="auto"/>
        </w:rPr>
        <w:t>Having stabilized its financial foundation, the company expects 2021 to be a transition year that’s focused on preparing for a recovery. United has resumed heavy maintenance and engine overhauls, investments that are essential to recovery when demand returns. The combination of structural cost reduction and timely investments will help set up United to exceed its 2019 adjusted Earnings Before Interest, Taxes, Depreciation and Amortization (EBITDA) margin in 2023. The company expressed high confidence that it would achieve this target by 2023 – and said its ongoing recovery planning would help ensure the company was equipped to reach this level even sooner, if demand returns more quickly.</w:t>
      </w:r>
    </w:p>
    <w:p>
      <w:pPr>
        <w:spacing w:after="0" w:line="1" w:lineRule="exact"/>
        <w:rPr>
          <w:sz w:val="20"/>
          <w:szCs w:val="20"/>
          <w:color w:val="auto"/>
        </w:rPr>
      </w:pPr>
    </w:p>
    <w:p>
      <w:pPr>
        <w:ind w:right="100" w:firstLine="648"/>
        <w:spacing w:after="0" w:line="370" w:lineRule="auto"/>
        <w:rPr>
          <w:sz w:val="20"/>
          <w:szCs w:val="20"/>
          <w:color w:val="auto"/>
        </w:rPr>
      </w:pPr>
      <w:r>
        <w:rPr>
          <w:rFonts w:ascii="Arial" w:cs="Arial" w:eastAsia="Arial" w:hAnsi="Arial"/>
          <w:sz w:val="19"/>
          <w:szCs w:val="19"/>
          <w:color w:val="auto"/>
        </w:rPr>
        <w:t>"Aggressively managing the challenges of 2020 depended on our innovation and fast-paced decision making. But, the truth is that COVID-19 has changed United Airlines forever," said United Airlines CEO Scott Kirby. "The passion, teamwork and perseverance that the United team showed in 2020 is exactly what will help us build a new United Airlines that’s better, stronger and more profitable than ever. I could not be prouder of – and more grateful to – this team, which is going to lead us there."</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_________________________________________________________________________</w:t>
      </w:r>
    </w:p>
    <w:p>
      <w:pPr>
        <w:spacing w:after="0" w:line="61" w:lineRule="exact"/>
        <w:rPr>
          <w:sz w:val="20"/>
          <w:szCs w:val="20"/>
          <w:color w:val="auto"/>
        </w:rPr>
      </w:pPr>
    </w:p>
    <w:p>
      <w:pPr>
        <w:ind w:right="20" w:firstLine="8"/>
        <w:spacing w:after="0" w:line="227" w:lineRule="auto"/>
        <w:tabs>
          <w:tab w:leader="none" w:pos="84" w:val="left"/>
        </w:tabs>
        <w:numPr>
          <w:ilvl w:val="0"/>
          <w:numId w:val="120"/>
        </w:numPr>
        <w:rPr>
          <w:rFonts w:ascii="Arial" w:cs="Arial" w:eastAsia="Arial" w:hAnsi="Arial"/>
          <w:sz w:val="13"/>
          <w:szCs w:val="13"/>
          <w:color w:val="auto"/>
        </w:rPr>
      </w:pPr>
      <w:r>
        <w:rPr>
          <w:rFonts w:ascii="Arial" w:cs="Arial" w:eastAsia="Arial" w:hAnsi="Arial"/>
          <w:sz w:val="13"/>
          <w:szCs w:val="13"/>
          <w:color w:val="auto"/>
        </w:rPr>
        <w:t>Adjusted EBITDA margin is a non-GAAP financial measure calculated as Earnings Before Interest, Taxes, Depreciation and Amortization (EBITDA), excluding special charges and unrealized (gains) losses on investments, divided by total operating revenue. We are not providing a target or a reconciliation to profit margin (net income/total operating revenue), the most directly comparable GAAP measure, because we are unable to predict certain items contained in the GAAP measure without unreasonable efforts. Adjusted EBITDA margin does not reflect certain items, including special charges and unrealized (gains) losses on investments, which may be significant. For a reconciliation of adjusted EBITDA to net income for the years ended December 31, 2020 and 2019, please see the accompanying tables to this release.</w:t>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United Airlines Reports Fourth-Quarter And Full-Year 2020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Fourth-Quarter and Full-Year 2020 Financial Results</w:t>
      </w:r>
    </w:p>
    <w:p>
      <w:pPr>
        <w:spacing w:after="0" w:line="137" w:lineRule="exact"/>
        <w:rPr>
          <w:sz w:val="20"/>
          <w:szCs w:val="20"/>
          <w:color w:val="auto"/>
        </w:rPr>
      </w:pPr>
    </w:p>
    <w:p>
      <w:pPr>
        <w:ind w:left="660" w:hanging="328"/>
        <w:spacing w:after="0"/>
        <w:tabs>
          <w:tab w:leader="none" w:pos="660" w:val="left"/>
        </w:tabs>
        <w:numPr>
          <w:ilvl w:val="0"/>
          <w:numId w:val="121"/>
        </w:numPr>
        <w:rPr>
          <w:rFonts w:ascii="Times New Roman" w:cs="Times New Roman" w:eastAsia="Times New Roman" w:hAnsi="Times New Roman"/>
          <w:sz w:val="22"/>
          <w:szCs w:val="22"/>
          <w:color w:val="auto"/>
        </w:rPr>
      </w:pPr>
      <w:r>
        <w:rPr>
          <w:rFonts w:ascii="Arial" w:cs="Arial" w:eastAsia="Arial" w:hAnsi="Arial"/>
          <w:sz w:val="20"/>
          <w:szCs w:val="20"/>
          <w:color w:val="auto"/>
        </w:rPr>
        <w:t>Reported fourth-quarter net loss of $1.9 billion, $7.1 billion for the full-year 2020.</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1"/>
        </w:numPr>
        <w:rPr>
          <w:rFonts w:ascii="Times New Roman" w:cs="Times New Roman" w:eastAsia="Times New Roman" w:hAnsi="Times New Roman"/>
          <w:sz w:val="22"/>
          <w:szCs w:val="22"/>
          <w:color w:val="auto"/>
        </w:rPr>
      </w:pPr>
      <w:r>
        <w:rPr>
          <w:rFonts w:ascii="Arial" w:cs="Arial" w:eastAsia="Arial" w:hAnsi="Arial"/>
          <w:sz w:val="20"/>
          <w:szCs w:val="20"/>
          <w:color w:val="auto"/>
        </w:rPr>
        <w:t>Reported fourth-quarter adjusted net loss</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of $2.1 billion, $7.7 billion for the full-year 2020.</w:t>
      </w:r>
    </w:p>
    <w:p>
      <w:pPr>
        <w:spacing w:after="0" w:line="7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1"/>
        </w:numPr>
        <w:rPr>
          <w:rFonts w:ascii="Times New Roman" w:cs="Times New Roman" w:eastAsia="Times New Roman" w:hAnsi="Times New Roman"/>
          <w:sz w:val="22"/>
          <w:szCs w:val="22"/>
          <w:color w:val="auto"/>
        </w:rPr>
      </w:pPr>
      <w:r>
        <w:rPr>
          <w:rFonts w:ascii="Arial" w:cs="Arial" w:eastAsia="Arial" w:hAnsi="Arial"/>
          <w:sz w:val="20"/>
          <w:szCs w:val="20"/>
          <w:color w:val="auto"/>
        </w:rPr>
        <w:t>Reported fourth-quarter total operating revenue of $3.4 billion, down 69% versus fourth-quarter 2019.</w:t>
      </w:r>
    </w:p>
    <w:p>
      <w:pPr>
        <w:spacing w:after="0" w:line="84" w:lineRule="exact"/>
        <w:rPr>
          <w:rFonts w:ascii="Times New Roman" w:cs="Times New Roman" w:eastAsia="Times New Roman" w:hAnsi="Times New Roman"/>
          <w:sz w:val="22"/>
          <w:szCs w:val="22"/>
          <w:color w:val="auto"/>
        </w:rPr>
      </w:pPr>
    </w:p>
    <w:p>
      <w:pPr>
        <w:ind w:left="660" w:right="660" w:hanging="328"/>
        <w:spacing w:after="0" w:line="319" w:lineRule="auto"/>
        <w:tabs>
          <w:tab w:leader="none" w:pos="648" w:val="left"/>
        </w:tabs>
        <w:numPr>
          <w:ilvl w:val="0"/>
          <w:numId w:val="121"/>
        </w:numPr>
        <w:rPr>
          <w:rFonts w:ascii="Arial" w:cs="Arial" w:eastAsia="Arial" w:hAnsi="Arial"/>
          <w:sz w:val="20"/>
          <w:szCs w:val="20"/>
          <w:color w:val="auto"/>
        </w:rPr>
      </w:pPr>
      <w:r>
        <w:rPr>
          <w:rFonts w:ascii="Arial" w:cs="Arial" w:eastAsia="Arial" w:hAnsi="Arial"/>
          <w:sz w:val="20"/>
          <w:szCs w:val="20"/>
          <w:color w:val="auto"/>
        </w:rPr>
        <w:t>Reported fourth-quarter operating expenses down 45% versus fourth-quarter 2019, down 42% excluding special charges</w:t>
      </w:r>
      <w:r>
        <w:rPr>
          <w:rFonts w:ascii="Arial" w:cs="Arial" w:eastAsia="Arial" w:hAnsi="Arial"/>
          <w:sz w:val="25"/>
          <w:szCs w:val="25"/>
          <w:color w:val="auto"/>
          <w:vertAlign w:val="superscript"/>
        </w:rPr>
        <w:t>3</w:t>
      </w:r>
      <w:r>
        <w:rPr>
          <w:rFonts w:ascii="Arial" w:cs="Arial" w:eastAsia="Arial" w:hAnsi="Arial"/>
          <w:sz w:val="20"/>
          <w:szCs w:val="20"/>
          <w:color w:val="auto"/>
        </w:rPr>
        <w:t>.</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Core Cash Burn</w:t>
      </w:r>
    </w:p>
    <w:p>
      <w:pPr>
        <w:spacing w:after="0" w:line="93" w:lineRule="exact"/>
        <w:rPr>
          <w:sz w:val="20"/>
          <w:szCs w:val="20"/>
          <w:color w:val="auto"/>
        </w:rPr>
      </w:pPr>
    </w:p>
    <w:p>
      <w:pPr>
        <w:ind w:left="660" w:right="740" w:hanging="328"/>
        <w:spacing w:after="0" w:line="300" w:lineRule="auto"/>
        <w:tabs>
          <w:tab w:leader="none" w:pos="648" w:val="left"/>
        </w:tabs>
        <w:numPr>
          <w:ilvl w:val="0"/>
          <w:numId w:val="122"/>
        </w:numPr>
        <w:rPr>
          <w:rFonts w:ascii="Arial" w:cs="Arial" w:eastAsia="Arial" w:hAnsi="Arial"/>
          <w:sz w:val="20"/>
          <w:szCs w:val="20"/>
          <w:color w:val="auto"/>
        </w:rPr>
      </w:pPr>
      <w:r>
        <w:rPr>
          <w:rFonts w:ascii="Arial" w:cs="Arial" w:eastAsia="Arial" w:hAnsi="Arial"/>
          <w:sz w:val="20"/>
          <w:szCs w:val="20"/>
          <w:color w:val="auto"/>
        </w:rPr>
        <w:t>Reported fourth-quarter daily cash burn</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of $23 million, plus $10 million of average debt principal payments and severance payments per day.</w:t>
      </w:r>
    </w:p>
    <w:p>
      <w:pPr>
        <w:spacing w:after="0" w:line="1" w:lineRule="exact"/>
        <w:rPr>
          <w:rFonts w:ascii="Arial" w:cs="Arial" w:eastAsia="Arial" w:hAnsi="Arial"/>
          <w:sz w:val="20"/>
          <w:szCs w:val="20"/>
          <w:color w:val="auto"/>
        </w:rPr>
      </w:pPr>
    </w:p>
    <w:p>
      <w:pPr>
        <w:ind w:left="660" w:right="440" w:hanging="328"/>
        <w:spacing w:after="0" w:line="313" w:lineRule="auto"/>
        <w:tabs>
          <w:tab w:leader="none" w:pos="648" w:val="left"/>
        </w:tabs>
        <w:numPr>
          <w:ilvl w:val="0"/>
          <w:numId w:val="122"/>
        </w:numPr>
        <w:rPr>
          <w:rFonts w:ascii="Arial" w:cs="Arial" w:eastAsia="Arial" w:hAnsi="Arial"/>
          <w:sz w:val="20"/>
          <w:szCs w:val="20"/>
          <w:color w:val="auto"/>
        </w:rPr>
      </w:pPr>
      <w:r>
        <w:rPr>
          <w:rFonts w:ascii="Arial" w:cs="Arial" w:eastAsia="Arial" w:hAnsi="Arial"/>
          <w:sz w:val="20"/>
          <w:szCs w:val="20"/>
          <w:color w:val="auto"/>
        </w:rPr>
        <w:t>Reported fourth-quarter core cash burn</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of $19 million per day, an improvement of an average of $5 million per day versus the third-quarter 2020.</w:t>
      </w:r>
    </w:p>
    <w:p>
      <w:pPr>
        <w:ind w:left="640" w:hanging="308"/>
        <w:spacing w:after="0"/>
        <w:tabs>
          <w:tab w:leader="none" w:pos="64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Core cash burn captures underlying operational performance of the company throughout the pandemic; a reconciliation</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cash burn</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is provided below.</w:t>
      </w:r>
    </w:p>
    <w:p>
      <w:pPr>
        <w:spacing w:after="0" w:line="65" w:lineRule="exact"/>
        <w:rPr>
          <w:sz w:val="20"/>
          <w:szCs w:val="20"/>
          <w:color w:val="auto"/>
        </w:rPr>
      </w:pPr>
    </w:p>
    <w:tbl>
      <w:tblPr>
        <w:tblLayout w:type="fixed"/>
        <w:tblInd w:w="800" w:type="dxa"/>
        <w:tblCellMar>
          <w:top w:w="0" w:type="dxa"/>
          <w:left w:w="0" w:type="dxa"/>
          <w:bottom w:w="0" w:type="dxa"/>
          <w:right w:w="0" w:type="dxa"/>
        </w:tblCellMar>
      </w:tblPr>
      <w:tr>
        <w:trPr>
          <w:trHeight w:val="204"/>
        </w:trPr>
        <w:tc>
          <w:tcPr>
            <w:tcW w:w="3560" w:type="dxa"/>
            <w:vAlign w:val="bottom"/>
            <w:gridSpan w:val="2"/>
          </w:tcPr>
          <w:p>
            <w:pPr>
              <w:ind w:left="20"/>
              <w:spacing w:after="0"/>
              <w:rPr>
                <w:sz w:val="20"/>
                <w:szCs w:val="20"/>
                <w:color w:val="auto"/>
              </w:rPr>
            </w:pPr>
            <w:r>
              <w:rPr>
                <w:rFonts w:ascii="Arial" w:cs="Arial" w:eastAsia="Arial" w:hAnsi="Arial"/>
                <w:sz w:val="16"/>
                <w:szCs w:val="16"/>
                <w:b w:val="1"/>
                <w:bCs w:val="1"/>
                <w:color w:val="auto"/>
              </w:rPr>
              <w:t>$M/day</w:t>
            </w:r>
          </w:p>
        </w:tc>
        <w:tc>
          <w:tcPr>
            <w:tcW w:w="20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2Q20</w:t>
            </w:r>
          </w:p>
        </w:tc>
        <w:tc>
          <w:tcPr>
            <w:tcW w:w="2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3Q20</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rPr>
              <w:t>4Q20</w:t>
            </w:r>
          </w:p>
        </w:tc>
        <w:tc>
          <w:tcPr>
            <w:tcW w:w="0" w:type="dxa"/>
            <w:vAlign w:val="bottom"/>
          </w:tcPr>
          <w:p>
            <w:pPr>
              <w:spacing w:after="0"/>
              <w:rPr>
                <w:sz w:val="1"/>
                <w:szCs w:val="1"/>
                <w:color w:val="auto"/>
              </w:rPr>
            </w:pPr>
          </w:p>
        </w:tc>
      </w:tr>
      <w:tr>
        <w:trPr>
          <w:trHeight w:val="128"/>
        </w:trPr>
        <w:tc>
          <w:tcPr>
            <w:tcW w:w="3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Cash burn</w:t>
            </w:r>
            <w:r>
              <w:rPr>
                <w:rFonts w:ascii="Arial" w:cs="Arial" w:eastAsia="Arial" w:hAnsi="Arial"/>
                <w:sz w:val="21"/>
                <w:szCs w:val="21"/>
                <w:color w:val="auto"/>
                <w:vertAlign w:val="superscript"/>
              </w:rPr>
              <w:t>4</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$(25)</w:t>
            </w: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3560" w:type="dxa"/>
            <w:vAlign w:val="bottom"/>
            <w:gridSpan w:val="2"/>
          </w:tcPr>
          <w:p>
            <w:pPr>
              <w:ind w:left="120"/>
              <w:spacing w:after="0"/>
              <w:rPr>
                <w:sz w:val="20"/>
                <w:szCs w:val="20"/>
                <w:color w:val="auto"/>
              </w:rPr>
            </w:pPr>
            <w:r>
              <w:rPr>
                <w:rFonts w:ascii="Arial" w:cs="Arial" w:eastAsia="Arial" w:hAnsi="Arial"/>
                <w:sz w:val="16"/>
                <w:szCs w:val="16"/>
                <w:color w:val="auto"/>
              </w:rPr>
              <w:t>Debt principal and severance payments</w:t>
            </w:r>
          </w:p>
        </w:tc>
        <w:tc>
          <w:tcPr>
            <w:tcW w:w="1860" w:type="dxa"/>
            <w:vAlign w:val="bottom"/>
          </w:tcPr>
          <w:p>
            <w:pPr>
              <w:jc w:val="center"/>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8"/>
              </w:rPr>
              <w:t>(10)</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6"/>
                <w:szCs w:val="16"/>
                <w:color w:val="auto"/>
              </w:rPr>
              <w:t>Timing of certain payments</w:t>
            </w:r>
            <w:r>
              <w:rPr>
                <w:rFonts w:ascii="Arial" w:cs="Arial" w:eastAsia="Arial" w:hAnsi="Arial"/>
                <w:sz w:val="21"/>
                <w:szCs w:val="21"/>
                <w:color w:val="auto"/>
                <w:vertAlign w:val="superscript"/>
              </w:rPr>
              <w:t>5</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3560" w:type="dxa"/>
            <w:vAlign w:val="bottom"/>
            <w:gridSpan w:val="2"/>
          </w:tcPr>
          <w:p>
            <w:pPr>
              <w:ind w:left="120"/>
              <w:spacing w:after="0" w:line="216" w:lineRule="exact"/>
              <w:rPr>
                <w:sz w:val="20"/>
                <w:szCs w:val="20"/>
                <w:color w:val="auto"/>
              </w:rPr>
            </w:pPr>
            <w:r>
              <w:rPr>
                <w:rFonts w:ascii="Arial" w:cs="Arial" w:eastAsia="Arial" w:hAnsi="Arial"/>
                <w:sz w:val="16"/>
                <w:szCs w:val="16"/>
                <w:color w:val="auto"/>
              </w:rPr>
              <w:t>Investments in the recovery</w:t>
            </w:r>
            <w:r>
              <w:rPr>
                <w:rFonts w:ascii="Arial" w:cs="Arial" w:eastAsia="Arial" w:hAnsi="Arial"/>
                <w:sz w:val="21"/>
                <w:szCs w:val="21"/>
                <w:color w:val="auto"/>
                <w:vertAlign w:val="superscript"/>
              </w:rPr>
              <w:t>6</w:t>
            </w:r>
          </w:p>
        </w:tc>
        <w:tc>
          <w:tcPr>
            <w:tcW w:w="2060" w:type="dxa"/>
            <w:vAlign w:val="bottom"/>
            <w:gridSpan w:val="2"/>
          </w:tcPr>
          <w:p>
            <w:pPr>
              <w:jc w:val="center"/>
              <w:ind w:right="180"/>
              <w:spacing w:after="0"/>
              <w:rPr>
                <w:sz w:val="20"/>
                <w:szCs w:val="20"/>
                <w:color w:val="auto"/>
              </w:rPr>
            </w:pPr>
            <w:r>
              <w:rPr>
                <w:rFonts w:ascii="Arial" w:cs="Arial" w:eastAsia="Arial" w:hAnsi="Arial"/>
                <w:sz w:val="16"/>
                <w:szCs w:val="16"/>
                <w:color w:val="auto"/>
                <w:w w:val="99"/>
              </w:rPr>
              <w:t>—</w:t>
            </w:r>
          </w:p>
        </w:tc>
        <w:tc>
          <w:tcPr>
            <w:tcW w:w="1840" w:type="dxa"/>
            <w:vAlign w:val="bottom"/>
          </w:tcPr>
          <w:p>
            <w:pPr>
              <w:jc w:val="center"/>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6"/>
                <w:szCs w:val="16"/>
                <w:color w:val="auto"/>
              </w:rPr>
              <w:t>Capital expenditures, net of flight equipment</w:t>
            </w:r>
          </w:p>
        </w:tc>
        <w:tc>
          <w:tcPr>
            <w:tcW w:w="206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6"/>
                <w:szCs w:val="16"/>
                <w:color w:val="auto"/>
                <w:w w:val="99"/>
              </w:rPr>
              <w:t>—</w:t>
            </w:r>
          </w:p>
        </w:tc>
        <w:tc>
          <w:tcPr>
            <w:tcW w:w="18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340" w:type="dxa"/>
            <w:vAlign w:val="bottom"/>
            <w:shd w:val="clear" w:color="auto" w:fill="CCEEFF"/>
          </w:tcPr>
          <w:p>
            <w:pPr>
              <w:spacing w:after="0"/>
              <w:rPr>
                <w:sz w:val="14"/>
                <w:szCs w:val="14"/>
                <w:color w:val="auto"/>
              </w:rPr>
            </w:pPr>
          </w:p>
        </w:tc>
        <w:tc>
          <w:tcPr>
            <w:tcW w:w="18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purchase deposit returns</w:t>
            </w:r>
          </w:p>
        </w:tc>
        <w:tc>
          <w:tcPr>
            <w:tcW w:w="2060" w:type="dxa"/>
            <w:vAlign w:val="bottom"/>
            <w:gridSpan w:val="2"/>
            <w:vMerge w:val="continue"/>
            <w:shd w:val="clear" w:color="auto" w:fill="CCEEFF"/>
          </w:tcPr>
          <w:p>
            <w:pPr>
              <w:spacing w:after="0"/>
              <w:rPr>
                <w:sz w:val="18"/>
                <w:szCs w:val="18"/>
                <w:color w:val="auto"/>
              </w:rPr>
            </w:pPr>
          </w:p>
        </w:tc>
        <w:tc>
          <w:tcPr>
            <w:tcW w:w="184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gridSpan w:val="2"/>
          </w:tcPr>
          <w:p>
            <w:pPr>
              <w:ind w:left="20"/>
              <w:spacing w:after="0" w:line="210" w:lineRule="exact"/>
              <w:rPr>
                <w:sz w:val="20"/>
                <w:szCs w:val="20"/>
                <w:color w:val="auto"/>
              </w:rPr>
            </w:pPr>
            <w:r>
              <w:rPr>
                <w:rFonts w:ascii="Arial" w:cs="Arial" w:eastAsia="Arial" w:hAnsi="Arial"/>
                <w:sz w:val="16"/>
                <w:szCs w:val="16"/>
                <w:b w:val="1"/>
                <w:bCs w:val="1"/>
                <w:color w:val="auto"/>
              </w:rPr>
              <w:t>Core cash burn</w:t>
            </w:r>
            <w:r>
              <w:rPr>
                <w:rFonts w:ascii="Arial" w:cs="Arial" w:eastAsia="Arial" w:hAnsi="Arial"/>
                <w:sz w:val="21"/>
                <w:szCs w:val="21"/>
                <w:b w:val="1"/>
                <w:bCs w:val="1"/>
                <w:color w:val="auto"/>
                <w:vertAlign w:val="superscript"/>
              </w:rPr>
              <w:t>4</w:t>
            </w:r>
          </w:p>
        </w:tc>
        <w:tc>
          <w:tcPr>
            <w:tcW w:w="1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$(38)</w:t>
            </w:r>
          </w:p>
        </w:tc>
        <w:tc>
          <w:tcPr>
            <w:tcW w:w="200" w:type="dxa"/>
            <w:vAlign w:val="bottom"/>
          </w:tcPr>
          <w:p>
            <w:pPr>
              <w:spacing w:after="0"/>
              <w:rPr>
                <w:sz w:val="18"/>
                <w:szCs w:val="18"/>
                <w:color w:val="auto"/>
              </w:rPr>
            </w:pPr>
          </w:p>
        </w:tc>
        <w:tc>
          <w:tcPr>
            <w:tcW w:w="1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$(24)</w:t>
            </w:r>
          </w:p>
        </w:tc>
        <w:tc>
          <w:tcPr>
            <w:tcW w:w="340" w:type="dxa"/>
            <w:vAlign w:val="bottom"/>
          </w:tcPr>
          <w:p>
            <w:pPr>
              <w:spacing w:after="0"/>
              <w:rPr>
                <w:sz w:val="18"/>
                <w:szCs w:val="18"/>
                <w:color w:val="auto"/>
              </w:rPr>
            </w:pPr>
          </w:p>
        </w:tc>
        <w:tc>
          <w:tcPr>
            <w:tcW w:w="1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First Quarter 2021 Outlook</w:t>
      </w:r>
    </w:p>
    <w:p>
      <w:pPr>
        <w:spacing w:after="0" w:line="83" w:lineRule="exact"/>
        <w:rPr>
          <w:sz w:val="20"/>
          <w:szCs w:val="20"/>
          <w:color w:val="auto"/>
        </w:rPr>
      </w:pPr>
    </w:p>
    <w:p>
      <w:pPr>
        <w:ind w:left="660" w:hanging="328"/>
        <w:spacing w:after="0" w:line="318" w:lineRule="auto"/>
        <w:tabs>
          <w:tab w:leader="none" w:pos="655" w:val="left"/>
        </w:tabs>
        <w:numPr>
          <w:ilvl w:val="0"/>
          <w:numId w:val="123"/>
        </w:numPr>
        <w:rPr>
          <w:rFonts w:ascii="Arial" w:cs="Arial" w:eastAsia="Arial" w:hAnsi="Arial"/>
          <w:sz w:val="21"/>
          <w:szCs w:val="21"/>
          <w:color w:val="auto"/>
        </w:rPr>
      </w:pPr>
      <w:r>
        <w:rPr>
          <w:rFonts w:ascii="Arial" w:cs="Arial" w:eastAsia="Arial" w:hAnsi="Arial"/>
          <w:sz w:val="19"/>
          <w:szCs w:val="19"/>
          <w:color w:val="auto"/>
        </w:rPr>
        <w:t>Based on current trends, the company expects first quarter 2021 total operating revenue to be down 65 percent to 70 percent versus the first quarter 2019. Accelerated distribution of the COVID-19 vaccine may lead to faster improvement, however, the company is not including this potential improvement in its first quarter 2021 revenue outlook.</w:t>
      </w:r>
    </w:p>
    <w:p>
      <w:pPr>
        <w:spacing w:after="0" w:line="19" w:lineRule="exact"/>
        <w:rPr>
          <w:rFonts w:ascii="Arial" w:cs="Arial" w:eastAsia="Arial" w:hAnsi="Arial"/>
          <w:sz w:val="21"/>
          <w:szCs w:val="21"/>
          <w:color w:val="auto"/>
        </w:rPr>
      </w:pPr>
    </w:p>
    <w:p>
      <w:pPr>
        <w:ind w:left="660" w:hanging="328"/>
        <w:spacing w:after="0"/>
        <w:tabs>
          <w:tab w:leader="none" w:pos="660" w:val="left"/>
        </w:tabs>
        <w:numPr>
          <w:ilvl w:val="0"/>
          <w:numId w:val="123"/>
        </w:numPr>
        <w:rPr>
          <w:rFonts w:ascii="Arial" w:cs="Arial" w:eastAsia="Arial" w:hAnsi="Arial"/>
          <w:sz w:val="22"/>
          <w:szCs w:val="22"/>
          <w:color w:val="auto"/>
        </w:rPr>
      </w:pPr>
      <w:r>
        <w:rPr>
          <w:rFonts w:ascii="Arial" w:cs="Arial" w:eastAsia="Arial" w:hAnsi="Arial"/>
          <w:sz w:val="20"/>
          <w:szCs w:val="20"/>
          <w:color w:val="auto"/>
        </w:rPr>
        <w:t>Expects first quarter 2021 capacity to be down at least 51 percent versus the first quarter of 2019.</w:t>
      </w:r>
    </w:p>
    <w:p>
      <w:pPr>
        <w:spacing w:after="0" w:line="71" w:lineRule="exact"/>
        <w:rPr>
          <w:rFonts w:ascii="Arial" w:cs="Arial" w:eastAsia="Arial" w:hAnsi="Arial"/>
          <w:sz w:val="22"/>
          <w:szCs w:val="22"/>
          <w:color w:val="auto"/>
        </w:rPr>
      </w:pPr>
    </w:p>
    <w:p>
      <w:pPr>
        <w:ind w:left="660" w:right="360" w:hanging="328"/>
        <w:spacing w:after="0" w:line="270" w:lineRule="auto"/>
        <w:tabs>
          <w:tab w:leader="none" w:pos="655" w:val="left"/>
        </w:tabs>
        <w:numPr>
          <w:ilvl w:val="0"/>
          <w:numId w:val="123"/>
        </w:numPr>
        <w:rPr>
          <w:rFonts w:ascii="Arial" w:cs="Arial" w:eastAsia="Arial" w:hAnsi="Arial"/>
          <w:sz w:val="22"/>
          <w:szCs w:val="22"/>
          <w:color w:val="auto"/>
        </w:rPr>
      </w:pPr>
      <w:r>
        <w:rPr>
          <w:rFonts w:ascii="Arial" w:cs="Arial" w:eastAsia="Arial" w:hAnsi="Arial"/>
          <w:sz w:val="20"/>
          <w:szCs w:val="20"/>
          <w:color w:val="auto"/>
        </w:rPr>
        <w:t>Expects first quarter 2021 ending available liquidity to be similar to year-end 2020 available liquidity of around $19.7 billion</w:t>
      </w:r>
      <w:r>
        <w:rPr>
          <w:rFonts w:ascii="Arial" w:cs="Arial" w:eastAsia="Arial" w:hAnsi="Arial"/>
          <w:sz w:val="28"/>
          <w:szCs w:val="28"/>
          <w:color w:val="auto"/>
          <w:vertAlign w:val="superscript"/>
        </w:rPr>
        <w:t>1</w:t>
      </w:r>
      <w:r>
        <w:rPr>
          <w:rFonts w:ascii="Arial" w:cs="Arial" w:eastAsia="Arial" w:hAnsi="Arial"/>
          <w:sz w:val="20"/>
          <w:szCs w:val="20"/>
          <w:color w:val="auto"/>
        </w:rPr>
        <w:t>.</w:t>
      </w:r>
    </w:p>
    <w:p>
      <w:pPr>
        <w:jc w:val="center"/>
        <w:ind w:right="-119"/>
        <w:spacing w:after="0"/>
        <w:rPr>
          <w:sz w:val="20"/>
          <w:szCs w:val="20"/>
          <w:color w:val="auto"/>
        </w:rPr>
      </w:pPr>
      <w:r>
        <w:rPr>
          <w:rFonts w:ascii="Arial" w:cs="Arial" w:eastAsia="Arial" w:hAnsi="Arial"/>
          <w:sz w:val="20"/>
          <w:szCs w:val="20"/>
          <w:b w:val="1"/>
          <w:bCs w:val="1"/>
          <w:color w:val="auto"/>
        </w:rPr>
        <w:t>Fourth-Quarter and Full-Year Highlights</w:t>
      </w:r>
    </w:p>
    <w:p>
      <w:pPr>
        <w:spacing w:after="0" w:line="82" w:lineRule="exact"/>
        <w:rPr>
          <w:sz w:val="20"/>
          <w:szCs w:val="20"/>
          <w:color w:val="auto"/>
        </w:rPr>
      </w:pPr>
    </w:p>
    <w:p>
      <w:pPr>
        <w:ind w:left="660" w:right="140" w:hanging="328"/>
        <w:spacing w:after="0" w:line="324" w:lineRule="auto"/>
        <w:tabs>
          <w:tab w:leader="none" w:pos="648" w:val="left"/>
        </w:tabs>
        <w:numPr>
          <w:ilvl w:val="0"/>
          <w:numId w:val="124"/>
        </w:numPr>
        <w:rPr>
          <w:rFonts w:ascii="Arial" w:cs="Arial" w:eastAsia="Arial" w:hAnsi="Arial"/>
          <w:sz w:val="20"/>
          <w:szCs w:val="20"/>
          <w:color w:val="auto"/>
        </w:rPr>
      </w:pPr>
      <w:r>
        <w:rPr>
          <w:rFonts w:ascii="Arial" w:cs="Arial" w:eastAsia="Arial" w:hAnsi="Arial"/>
          <w:sz w:val="20"/>
          <w:szCs w:val="20"/>
          <w:color w:val="auto"/>
        </w:rPr>
        <w:t>Completed $3 billion Enhanced Equipment Trust Certificate (EETC) transaction; the largest deal of this type in aviation history.</w:t>
      </w:r>
    </w:p>
    <w:p>
      <w:pPr>
        <w:ind w:left="640" w:hanging="308"/>
        <w:spacing w:after="0"/>
        <w:tabs>
          <w:tab w:leader="none" w:pos="64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First U.S. airline to leverage its loyalty program, MileagePlus®, as collateral for a $6.8B loan.</w:t>
      </w:r>
    </w:p>
    <w:p>
      <w:pPr>
        <w:sectPr>
          <w:pgSz w:w="11900" w:h="16838" w:orient="portrait"/>
          <w:cols w:equalWidth="0" w:num="1">
            <w:col w:w="11120"/>
          </w:cols>
          <w:pgMar w:left="320" w:top="115" w:right="4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United Airlines Reports Fourth-Quarter And Full-Year 2020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40" w:hanging="308"/>
        <w:spacing w:after="0"/>
        <w:tabs>
          <w:tab w:leader="none" w:pos="64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Received $968 million in net proceeds from the sale of 20.8 million shares in the ATM program in the fourth quarter</w:t>
      </w:r>
    </w:p>
    <w:p>
      <w:pPr>
        <w:spacing w:after="0" w:line="107" w:lineRule="exact"/>
        <w:rPr>
          <w:rFonts w:ascii="Arial" w:cs="Arial" w:eastAsia="Arial" w:hAnsi="Arial"/>
          <w:sz w:val="20"/>
          <w:szCs w:val="20"/>
          <w:color w:val="auto"/>
        </w:rPr>
      </w:pPr>
    </w:p>
    <w:p>
      <w:pPr>
        <w:ind w:left="660" w:right="200"/>
        <w:spacing w:after="0" w:line="352" w:lineRule="auto"/>
        <w:rPr>
          <w:rFonts w:ascii="Arial" w:cs="Arial" w:eastAsia="Arial" w:hAnsi="Arial"/>
          <w:sz w:val="20"/>
          <w:szCs w:val="20"/>
          <w:color w:val="auto"/>
        </w:rPr>
      </w:pPr>
      <w:r>
        <w:rPr>
          <w:rFonts w:ascii="Arial" w:cs="Arial" w:eastAsia="Arial" w:hAnsi="Arial"/>
          <w:sz w:val="20"/>
          <w:szCs w:val="20"/>
          <w:color w:val="auto"/>
        </w:rPr>
        <w:t>2020. For the full year 2020, total net proceeds were $989 million from the sale of 21.4 million shares through the ATM program.</w:t>
      </w:r>
    </w:p>
    <w:p>
      <w:pPr>
        <w:ind w:left="660" w:hanging="328"/>
        <w:spacing w:after="0" w:line="352" w:lineRule="auto"/>
        <w:tabs>
          <w:tab w:leader="none" w:pos="648" w:val="left"/>
        </w:tabs>
        <w:numPr>
          <w:ilvl w:val="0"/>
          <w:numId w:val="125"/>
        </w:numPr>
        <w:rPr>
          <w:rFonts w:ascii="Arial" w:cs="Arial" w:eastAsia="Arial" w:hAnsi="Arial"/>
          <w:sz w:val="20"/>
          <w:szCs w:val="20"/>
          <w:color w:val="auto"/>
        </w:rPr>
      </w:pPr>
      <w:r>
        <w:rPr>
          <w:rFonts w:ascii="Arial" w:cs="Arial" w:eastAsia="Arial" w:hAnsi="Arial"/>
          <w:sz w:val="20"/>
          <w:szCs w:val="20"/>
          <w:color w:val="auto"/>
        </w:rPr>
        <w:t>Only airline to partner with the Defense Advanced Research Projects Agency (DARPA), U.S. Transportation Command (USTRANSCOM) and Air Mobility Command (AMC) to study how effectively the unique airflow configuration on board an aircraft can prevent the spread of aerosolized particles among passengers and crew.</w:t>
      </w:r>
    </w:p>
    <w:p>
      <w:pPr>
        <w:ind w:left="640" w:hanging="308"/>
        <w:spacing w:after="0"/>
        <w:tabs>
          <w:tab w:leader="none" w:pos="64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First airline to safely transport the first delivery of Pfizer and BioNTech's COVID-19 vaccine into the U.S.</w:t>
      </w:r>
    </w:p>
    <w:p>
      <w:pPr>
        <w:spacing w:after="0" w:line="107" w:lineRule="exact"/>
        <w:rPr>
          <w:rFonts w:ascii="Arial" w:cs="Arial" w:eastAsia="Arial" w:hAnsi="Arial"/>
          <w:sz w:val="20"/>
          <w:szCs w:val="20"/>
          <w:color w:val="auto"/>
        </w:rPr>
      </w:pPr>
    </w:p>
    <w:p>
      <w:pPr>
        <w:ind w:left="660" w:right="320" w:hanging="328"/>
        <w:spacing w:after="0" w:line="357" w:lineRule="auto"/>
        <w:tabs>
          <w:tab w:leader="none" w:pos="648" w:val="left"/>
        </w:tabs>
        <w:numPr>
          <w:ilvl w:val="0"/>
          <w:numId w:val="125"/>
        </w:numPr>
        <w:rPr>
          <w:rFonts w:ascii="Arial" w:cs="Arial" w:eastAsia="Arial" w:hAnsi="Arial"/>
          <w:sz w:val="20"/>
          <w:szCs w:val="20"/>
          <w:color w:val="auto"/>
        </w:rPr>
      </w:pPr>
      <w:r>
        <w:rPr>
          <w:rFonts w:ascii="Arial" w:cs="Arial" w:eastAsia="Arial" w:hAnsi="Arial"/>
          <w:sz w:val="20"/>
          <w:szCs w:val="20"/>
          <w:color w:val="auto"/>
        </w:rPr>
        <w:t>First among U.S. global airlines to permanently eliminate change fees on all standard economy and premium cabin tickets for travel within the U.S., and starting January 1, 2021, any United customer can fly standby for free on a flight departing the day of their travel regardless of the type of ticket or class of service.</w:t>
      </w:r>
    </w:p>
    <w:p>
      <w:pPr>
        <w:spacing w:after="0" w:line="13" w:lineRule="exact"/>
        <w:rPr>
          <w:rFonts w:ascii="Arial" w:cs="Arial" w:eastAsia="Arial" w:hAnsi="Arial"/>
          <w:sz w:val="20"/>
          <w:szCs w:val="20"/>
          <w:color w:val="auto"/>
        </w:rPr>
      </w:pPr>
    </w:p>
    <w:p>
      <w:pPr>
        <w:ind w:left="660" w:right="280" w:hanging="328"/>
        <w:spacing w:after="0" w:line="335" w:lineRule="auto"/>
        <w:tabs>
          <w:tab w:leader="none" w:pos="655" w:val="left"/>
        </w:tabs>
        <w:numPr>
          <w:ilvl w:val="0"/>
          <w:numId w:val="125"/>
        </w:numPr>
        <w:rPr>
          <w:rFonts w:ascii="Times New Roman" w:cs="Times New Roman" w:eastAsia="Times New Roman" w:hAnsi="Times New Roman"/>
          <w:sz w:val="22"/>
          <w:szCs w:val="22"/>
          <w:color w:val="auto"/>
        </w:rPr>
      </w:pPr>
      <w:r>
        <w:rPr>
          <w:rFonts w:ascii="Arial" w:cs="Arial" w:eastAsia="Arial" w:hAnsi="Arial"/>
          <w:sz w:val="20"/>
          <w:szCs w:val="20"/>
          <w:color w:val="auto"/>
        </w:rPr>
        <w:t>Announced bold environmental commitment unmatched by any airline; pledging 100% green by reducing greenhouse gas emissions 100% by 2050.</w:t>
      </w:r>
    </w:p>
    <w:p>
      <w:pPr>
        <w:ind w:left="640" w:hanging="308"/>
        <w:spacing w:after="0"/>
        <w:tabs>
          <w:tab w:leader="none" w:pos="64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First U.S. airline to implement schedule reductions due to sharp travel demand drop.</w:t>
      </w:r>
    </w:p>
    <w:p>
      <w:pPr>
        <w:spacing w:after="0" w:line="107" w:lineRule="exact"/>
        <w:rPr>
          <w:rFonts w:ascii="Arial" w:cs="Arial" w:eastAsia="Arial" w:hAnsi="Arial"/>
          <w:sz w:val="20"/>
          <w:szCs w:val="20"/>
          <w:color w:val="auto"/>
        </w:rPr>
      </w:pPr>
    </w:p>
    <w:p>
      <w:pPr>
        <w:ind w:left="660" w:right="340" w:hanging="328"/>
        <w:spacing w:after="0" w:line="360" w:lineRule="auto"/>
        <w:tabs>
          <w:tab w:leader="none" w:pos="648" w:val="left"/>
        </w:tabs>
        <w:numPr>
          <w:ilvl w:val="0"/>
          <w:numId w:val="125"/>
        </w:numPr>
        <w:rPr>
          <w:rFonts w:ascii="Arial" w:cs="Arial" w:eastAsia="Arial" w:hAnsi="Arial"/>
          <w:sz w:val="20"/>
          <w:szCs w:val="20"/>
          <w:color w:val="auto"/>
        </w:rPr>
      </w:pPr>
      <w:r>
        <w:rPr>
          <w:rFonts w:ascii="Arial" w:cs="Arial" w:eastAsia="Arial" w:hAnsi="Arial"/>
          <w:sz w:val="20"/>
          <w:szCs w:val="20"/>
          <w:color w:val="auto"/>
        </w:rPr>
        <w:t>Increased cargo revenue by an industry-leading 77 percent in the fourth quarter by leveraging international flying and deploying strategic international cargo-only missions.</w:t>
      </w:r>
    </w:p>
    <w:p>
      <w:pPr>
        <w:spacing w:after="0" w:line="12" w:lineRule="exact"/>
        <w:rPr>
          <w:rFonts w:ascii="Arial" w:cs="Arial" w:eastAsia="Arial" w:hAnsi="Arial"/>
          <w:sz w:val="20"/>
          <w:szCs w:val="20"/>
          <w:color w:val="auto"/>
        </w:rPr>
      </w:pPr>
    </w:p>
    <w:p>
      <w:pPr>
        <w:ind w:left="660" w:hanging="328"/>
        <w:spacing w:after="0"/>
        <w:tabs>
          <w:tab w:leader="none" w:pos="660" w:val="left"/>
        </w:tabs>
        <w:numPr>
          <w:ilvl w:val="0"/>
          <w:numId w:val="125"/>
        </w:numPr>
        <w:rPr>
          <w:rFonts w:ascii="Times New Roman" w:cs="Times New Roman" w:eastAsia="Times New Roman" w:hAnsi="Times New Roman"/>
          <w:sz w:val="22"/>
          <w:szCs w:val="22"/>
          <w:color w:val="auto"/>
        </w:rPr>
      </w:pPr>
      <w:r>
        <w:rPr>
          <w:rFonts w:ascii="Arial" w:cs="Arial" w:eastAsia="Arial" w:hAnsi="Arial"/>
          <w:sz w:val="20"/>
          <w:szCs w:val="20"/>
          <w:color w:val="auto"/>
        </w:rPr>
        <w:t>Launched the world's first free transatlantic COVID-19 testing pilot for customers.</w:t>
      </w:r>
    </w:p>
    <w:p>
      <w:pPr>
        <w:spacing w:after="0" w:line="111" w:lineRule="exact"/>
        <w:rPr>
          <w:rFonts w:ascii="Times New Roman" w:cs="Times New Roman" w:eastAsia="Times New Roman" w:hAnsi="Times New Roman"/>
          <w:sz w:val="22"/>
          <w:szCs w:val="22"/>
          <w:color w:val="auto"/>
        </w:rPr>
      </w:pPr>
    </w:p>
    <w:p>
      <w:pPr>
        <w:ind w:left="660" w:right="1000" w:hanging="328"/>
        <w:spacing w:after="0" w:line="343" w:lineRule="auto"/>
        <w:tabs>
          <w:tab w:leader="none" w:pos="655" w:val="left"/>
        </w:tabs>
        <w:numPr>
          <w:ilvl w:val="0"/>
          <w:numId w:val="125"/>
        </w:numPr>
        <w:rPr>
          <w:rFonts w:ascii="Times New Roman" w:cs="Times New Roman" w:eastAsia="Times New Roman" w:hAnsi="Times New Roman"/>
          <w:sz w:val="22"/>
          <w:szCs w:val="22"/>
          <w:color w:val="auto"/>
        </w:rPr>
      </w:pPr>
      <w:r>
        <w:rPr>
          <w:rFonts w:ascii="Arial" w:cs="Arial" w:eastAsia="Arial" w:hAnsi="Arial"/>
          <w:sz w:val="20"/>
          <w:szCs w:val="20"/>
          <w:color w:val="auto"/>
        </w:rPr>
        <w:t>First U.S. airline to launch a COVID-19 testing program for customers traveling on United from San Francisco International Airport to Hawaii.</w:t>
      </w:r>
    </w:p>
    <w:p>
      <w:pPr>
        <w:spacing w:after="0" w:line="11" w:lineRule="exact"/>
        <w:rPr>
          <w:rFonts w:ascii="Times New Roman" w:cs="Times New Roman" w:eastAsia="Times New Roman" w:hAnsi="Times New Roman"/>
          <w:sz w:val="22"/>
          <w:szCs w:val="22"/>
          <w:color w:val="auto"/>
        </w:rPr>
      </w:pPr>
    </w:p>
    <w:p>
      <w:pPr>
        <w:ind w:left="660" w:right="1020" w:hanging="328"/>
        <w:spacing w:after="0" w:line="343" w:lineRule="auto"/>
        <w:tabs>
          <w:tab w:leader="none" w:pos="655" w:val="left"/>
        </w:tabs>
        <w:numPr>
          <w:ilvl w:val="0"/>
          <w:numId w:val="125"/>
        </w:numPr>
        <w:rPr>
          <w:rFonts w:ascii="Times New Roman" w:cs="Times New Roman" w:eastAsia="Times New Roman" w:hAnsi="Times New Roman"/>
          <w:sz w:val="22"/>
          <w:szCs w:val="22"/>
          <w:color w:val="auto"/>
        </w:rPr>
      </w:pPr>
      <w:r>
        <w:rPr>
          <w:rFonts w:ascii="Arial" w:cs="Arial" w:eastAsia="Arial" w:hAnsi="Arial"/>
          <w:sz w:val="20"/>
          <w:szCs w:val="20"/>
          <w:color w:val="auto"/>
        </w:rPr>
        <w:t>Since COVID-19 began, first major U.S. airline to require masks onboard. In the third quarter, extended mask requirements to airport terminals.</w:t>
      </w:r>
    </w:p>
    <w:p>
      <w:pPr>
        <w:spacing w:after="0" w:line="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5"/>
        </w:numPr>
        <w:rPr>
          <w:rFonts w:ascii="Times New Roman" w:cs="Times New Roman" w:eastAsia="Times New Roman" w:hAnsi="Times New Roman"/>
          <w:sz w:val="22"/>
          <w:szCs w:val="22"/>
          <w:color w:val="auto"/>
        </w:rPr>
      </w:pPr>
      <w:r>
        <w:rPr>
          <w:rFonts w:ascii="Arial" w:cs="Arial" w:eastAsia="Arial" w:hAnsi="Arial"/>
          <w:sz w:val="20"/>
          <w:szCs w:val="20"/>
          <w:color w:val="auto"/>
        </w:rPr>
        <w:t>One of the first U.S. airlines to enforce policy banning customers for refusing to follow mask requirements.</w:t>
      </w:r>
    </w:p>
    <w:p>
      <w:pPr>
        <w:spacing w:after="0" w:line="111" w:lineRule="exact"/>
        <w:rPr>
          <w:rFonts w:ascii="Times New Roman" w:cs="Times New Roman" w:eastAsia="Times New Roman" w:hAnsi="Times New Roman"/>
          <w:sz w:val="22"/>
          <w:szCs w:val="22"/>
          <w:color w:val="auto"/>
        </w:rPr>
      </w:pPr>
    </w:p>
    <w:p>
      <w:pPr>
        <w:ind w:left="660" w:right="180" w:hanging="328"/>
        <w:spacing w:after="0" w:line="343" w:lineRule="auto"/>
        <w:tabs>
          <w:tab w:leader="none" w:pos="655" w:val="left"/>
        </w:tabs>
        <w:numPr>
          <w:ilvl w:val="0"/>
          <w:numId w:val="125"/>
        </w:numPr>
        <w:rPr>
          <w:rFonts w:ascii="Times New Roman" w:cs="Times New Roman" w:eastAsia="Times New Roman" w:hAnsi="Times New Roman"/>
          <w:sz w:val="22"/>
          <w:szCs w:val="22"/>
          <w:color w:val="auto"/>
        </w:rPr>
      </w:pPr>
      <w:r>
        <w:rPr>
          <w:rFonts w:ascii="Arial" w:cs="Arial" w:eastAsia="Arial" w:hAnsi="Arial"/>
          <w:sz w:val="20"/>
          <w:szCs w:val="20"/>
          <w:color w:val="auto"/>
        </w:rPr>
        <w:t>First major U.S. airline to ask all passengers to complete a health self-assessment during their check-in process based on recommendations from the Cleveland Clinic.</w:t>
      </w:r>
    </w:p>
    <w:p>
      <w:pPr>
        <w:spacing w:after="0" w:line="11" w:lineRule="exact"/>
        <w:rPr>
          <w:rFonts w:ascii="Times New Roman" w:cs="Times New Roman" w:eastAsia="Times New Roman" w:hAnsi="Times New Roman"/>
          <w:sz w:val="22"/>
          <w:szCs w:val="22"/>
          <w:color w:val="auto"/>
        </w:rPr>
      </w:pPr>
    </w:p>
    <w:p>
      <w:pPr>
        <w:ind w:left="660" w:right="160" w:hanging="328"/>
        <w:spacing w:after="0" w:line="343" w:lineRule="auto"/>
        <w:tabs>
          <w:tab w:leader="none" w:pos="655" w:val="left"/>
        </w:tabs>
        <w:numPr>
          <w:ilvl w:val="0"/>
          <w:numId w:val="125"/>
        </w:numPr>
        <w:rPr>
          <w:rFonts w:ascii="Times New Roman" w:cs="Times New Roman" w:eastAsia="Times New Roman" w:hAnsi="Times New Roman"/>
          <w:sz w:val="22"/>
          <w:szCs w:val="22"/>
          <w:color w:val="auto"/>
        </w:rPr>
      </w:pPr>
      <w:r>
        <w:rPr>
          <w:rFonts w:ascii="Arial" w:cs="Arial" w:eastAsia="Arial" w:hAnsi="Arial"/>
          <w:sz w:val="20"/>
          <w:szCs w:val="20"/>
          <w:color w:val="auto"/>
        </w:rPr>
        <w:t>First airline to contact customers when flights are more than 70% full to give them the opportunity to change their plans for free.</w:t>
      </w:r>
    </w:p>
    <w:p>
      <w:pPr>
        <w:spacing w:after="0" w:line="11" w:lineRule="exact"/>
        <w:rPr>
          <w:rFonts w:ascii="Times New Roman" w:cs="Times New Roman" w:eastAsia="Times New Roman" w:hAnsi="Times New Roman"/>
          <w:sz w:val="22"/>
          <w:szCs w:val="22"/>
          <w:color w:val="auto"/>
        </w:rPr>
      </w:pPr>
    </w:p>
    <w:p>
      <w:pPr>
        <w:ind w:left="660" w:right="180" w:hanging="328"/>
        <w:spacing w:after="0" w:line="343" w:lineRule="auto"/>
        <w:tabs>
          <w:tab w:leader="none" w:pos="655" w:val="left"/>
        </w:tabs>
        <w:numPr>
          <w:ilvl w:val="0"/>
          <w:numId w:val="125"/>
        </w:numPr>
        <w:rPr>
          <w:rFonts w:ascii="Times New Roman" w:cs="Times New Roman" w:eastAsia="Times New Roman" w:hAnsi="Times New Roman"/>
          <w:sz w:val="22"/>
          <w:szCs w:val="22"/>
          <w:color w:val="auto"/>
        </w:rPr>
      </w:pPr>
      <w:r>
        <w:rPr>
          <w:rFonts w:ascii="Arial" w:cs="Arial" w:eastAsia="Arial" w:hAnsi="Arial"/>
          <w:sz w:val="20"/>
          <w:szCs w:val="20"/>
          <w:color w:val="auto"/>
        </w:rPr>
        <w:t>First U.S. airline to introduce a tool like the Destination Travel Guide, a new interactive map tool on united.com and the United mobile app that allows customers to filter and view destinations' COVID-19 related travel restrictions.</w:t>
      </w:r>
    </w:p>
    <w:p>
      <w:pPr>
        <w:spacing w:after="0" w:line="11" w:lineRule="exact"/>
        <w:rPr>
          <w:rFonts w:ascii="Times New Roman" w:cs="Times New Roman" w:eastAsia="Times New Roman" w:hAnsi="Times New Roman"/>
          <w:sz w:val="22"/>
          <w:szCs w:val="22"/>
          <w:color w:val="auto"/>
        </w:rPr>
      </w:pPr>
    </w:p>
    <w:p>
      <w:pPr>
        <w:ind w:left="660" w:right="120" w:hanging="328"/>
        <w:spacing w:after="0" w:line="369" w:lineRule="auto"/>
        <w:tabs>
          <w:tab w:leader="none" w:pos="655" w:val="left"/>
        </w:tabs>
        <w:numPr>
          <w:ilvl w:val="0"/>
          <w:numId w:val="125"/>
        </w:numPr>
        <w:rPr>
          <w:rFonts w:ascii="Times New Roman" w:cs="Times New Roman" w:eastAsia="Times New Roman" w:hAnsi="Times New Roman"/>
          <w:sz w:val="22"/>
          <w:szCs w:val="22"/>
          <w:color w:val="auto"/>
        </w:rPr>
      </w:pPr>
      <w:r>
        <w:rPr>
          <w:rFonts w:ascii="Arial" w:cs="Arial" w:eastAsia="Arial" w:hAnsi="Arial"/>
          <w:sz w:val="20"/>
          <w:szCs w:val="20"/>
          <w:color w:val="auto"/>
        </w:rPr>
        <w:t>First U.S. airline to introduce an interactive map feature for customers on united.com, powered by Google Flight Search Enterprise Technology, to easily compare and shop for flights based 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15" w:right="37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United Airlines Reports Fourth-Quarter And Full-Year 2020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right="500"/>
        <w:spacing w:after="0" w:line="360" w:lineRule="auto"/>
        <w:rPr>
          <w:sz w:val="20"/>
          <w:szCs w:val="20"/>
          <w:color w:val="auto"/>
        </w:rPr>
      </w:pPr>
      <w:r>
        <w:rPr>
          <w:rFonts w:ascii="Arial" w:cs="Arial" w:eastAsia="Arial" w:hAnsi="Arial"/>
          <w:sz w:val="20"/>
          <w:szCs w:val="20"/>
          <w:color w:val="auto"/>
        </w:rPr>
        <w:t>departure city, budget, and location type. Customers can simultaneously compare travel to various destinations in a single search.</w:t>
      </w:r>
    </w:p>
    <w:p>
      <w:pPr>
        <w:spacing w:after="0" w:line="12" w:lineRule="exact"/>
        <w:rPr>
          <w:sz w:val="20"/>
          <w:szCs w:val="20"/>
          <w:color w:val="auto"/>
        </w:rPr>
      </w:pPr>
    </w:p>
    <w:p>
      <w:pPr>
        <w:ind w:left="660" w:hanging="328"/>
        <w:spacing w:after="0"/>
        <w:tabs>
          <w:tab w:leader="none" w:pos="660" w:val="left"/>
        </w:tabs>
        <w:numPr>
          <w:ilvl w:val="0"/>
          <w:numId w:val="126"/>
        </w:numPr>
        <w:rPr>
          <w:rFonts w:ascii="Times New Roman" w:cs="Times New Roman" w:eastAsia="Times New Roman" w:hAnsi="Times New Roman"/>
          <w:sz w:val="22"/>
          <w:szCs w:val="22"/>
          <w:color w:val="auto"/>
        </w:rPr>
      </w:pPr>
      <w:r>
        <w:rPr>
          <w:rFonts w:ascii="Arial" w:cs="Arial" w:eastAsia="Arial" w:hAnsi="Arial"/>
          <w:sz w:val="20"/>
          <w:szCs w:val="20"/>
          <w:color w:val="auto"/>
        </w:rPr>
        <w:t>First U.S. airline whose CEO took a 100% salary cut.</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Taking Care of Our Customers</w:t>
      </w:r>
    </w:p>
    <w:p>
      <w:pPr>
        <w:spacing w:after="0" w:line="137" w:lineRule="exact"/>
        <w:rPr>
          <w:sz w:val="20"/>
          <w:szCs w:val="20"/>
          <w:color w:val="auto"/>
        </w:rPr>
      </w:pPr>
    </w:p>
    <w:p>
      <w:pPr>
        <w:ind w:left="660" w:hanging="328"/>
        <w:spacing w:after="0" w:line="327" w:lineRule="auto"/>
        <w:tabs>
          <w:tab w:leader="none" w:pos="655" w:val="left"/>
        </w:tabs>
        <w:numPr>
          <w:ilvl w:val="0"/>
          <w:numId w:val="127"/>
        </w:numPr>
        <w:rPr>
          <w:rFonts w:ascii="Arial" w:cs="Arial" w:eastAsia="Arial" w:hAnsi="Arial"/>
          <w:sz w:val="22"/>
          <w:szCs w:val="22"/>
          <w:color w:val="auto"/>
        </w:rPr>
      </w:pPr>
      <w:r>
        <w:rPr>
          <w:rFonts w:ascii="Arial" w:cs="Arial" w:eastAsia="Arial" w:hAnsi="Arial"/>
          <w:sz w:val="20"/>
          <w:szCs w:val="20"/>
          <w:color w:val="auto"/>
        </w:rPr>
        <w:t>Launched United CleanPlus</w:t>
      </w:r>
      <w:r>
        <w:rPr>
          <w:rFonts w:ascii="Arial" w:cs="Arial" w:eastAsia="Arial" w:hAnsi="Arial"/>
          <w:sz w:val="25"/>
          <w:szCs w:val="25"/>
          <w:color w:val="auto"/>
          <w:vertAlign w:val="superscript"/>
        </w:rPr>
        <w:t>SM</w:t>
      </w:r>
      <w:r>
        <w:rPr>
          <w:rFonts w:ascii="Arial" w:cs="Arial" w:eastAsia="Arial" w:hAnsi="Arial"/>
          <w:sz w:val="20"/>
          <w:szCs w:val="20"/>
          <w:color w:val="auto"/>
        </w:rPr>
        <w:t xml:space="preserve"> to reinforce the company's commitment to putting health and safety at the forefront of the entire customer experience, with the goal of delivering an industry-leading standard of cleanliness, including partnerships with Clorox and experts from the Cleveland Clinic.</w:t>
      </w:r>
    </w:p>
    <w:p>
      <w:pPr>
        <w:spacing w:after="0" w:line="21" w:lineRule="exact"/>
        <w:rPr>
          <w:rFonts w:ascii="Arial" w:cs="Arial" w:eastAsia="Arial" w:hAnsi="Arial"/>
          <w:sz w:val="22"/>
          <w:szCs w:val="22"/>
          <w:color w:val="auto"/>
        </w:rPr>
      </w:pPr>
    </w:p>
    <w:p>
      <w:pPr>
        <w:ind w:left="660" w:right="60" w:hanging="328"/>
        <w:spacing w:after="0" w:line="343" w:lineRule="auto"/>
        <w:tabs>
          <w:tab w:leader="none" w:pos="655" w:val="left"/>
        </w:tabs>
        <w:numPr>
          <w:ilvl w:val="0"/>
          <w:numId w:val="127"/>
        </w:numPr>
        <w:rPr>
          <w:rFonts w:ascii="Arial" w:cs="Arial" w:eastAsia="Arial" w:hAnsi="Arial"/>
          <w:sz w:val="22"/>
          <w:szCs w:val="22"/>
          <w:color w:val="auto"/>
        </w:rPr>
      </w:pPr>
      <w:r>
        <w:rPr>
          <w:rFonts w:ascii="Arial" w:cs="Arial" w:eastAsia="Arial" w:hAnsi="Arial"/>
          <w:sz w:val="20"/>
          <w:szCs w:val="20"/>
          <w:color w:val="auto"/>
        </w:rPr>
        <w:t>First and only airline to maximize ventilation systems by running the auxiliary power on mainline aircraft during the entire boarding and deplaning process, so customers and crew get the important safety benefits provided by high-efficiency particulate air (HEPA) filtration systems.</w:t>
      </w:r>
    </w:p>
    <w:p>
      <w:pPr>
        <w:spacing w:after="0" w:line="20" w:lineRule="exact"/>
        <w:rPr>
          <w:rFonts w:ascii="Arial" w:cs="Arial" w:eastAsia="Arial" w:hAnsi="Arial"/>
          <w:sz w:val="22"/>
          <w:szCs w:val="22"/>
          <w:color w:val="auto"/>
        </w:rPr>
      </w:pPr>
    </w:p>
    <w:p>
      <w:pPr>
        <w:ind w:left="660" w:hanging="328"/>
        <w:spacing w:after="0"/>
        <w:tabs>
          <w:tab w:leader="none" w:pos="660" w:val="left"/>
        </w:tabs>
        <w:numPr>
          <w:ilvl w:val="0"/>
          <w:numId w:val="127"/>
        </w:numPr>
        <w:rPr>
          <w:rFonts w:ascii="Arial" w:cs="Arial" w:eastAsia="Arial" w:hAnsi="Arial"/>
          <w:sz w:val="22"/>
          <w:szCs w:val="22"/>
          <w:color w:val="auto"/>
        </w:rPr>
      </w:pPr>
      <w:r>
        <w:rPr>
          <w:rFonts w:ascii="Arial" w:cs="Arial" w:eastAsia="Arial" w:hAnsi="Arial"/>
          <w:sz w:val="20"/>
          <w:szCs w:val="20"/>
          <w:color w:val="auto"/>
        </w:rPr>
        <w:t>Electrostatic spraying aircraft interiors on all U.S. flights.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27"/>
        </w:numPr>
        <w:rPr>
          <w:rFonts w:ascii="Arial" w:cs="Arial" w:eastAsia="Arial" w:hAnsi="Arial"/>
          <w:sz w:val="22"/>
          <w:szCs w:val="22"/>
          <w:color w:val="auto"/>
        </w:rPr>
      </w:pPr>
      <w:r>
        <w:rPr>
          <w:rFonts w:ascii="Arial" w:cs="Arial" w:eastAsia="Arial" w:hAnsi="Arial"/>
          <w:sz w:val="20"/>
          <w:szCs w:val="20"/>
          <w:color w:val="auto"/>
        </w:rPr>
        <w:t>Began using new Clorox® Electrostatic Sprayers to disinfect airport terminals.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27"/>
        </w:numPr>
        <w:rPr>
          <w:rFonts w:ascii="Arial" w:cs="Arial" w:eastAsia="Arial" w:hAnsi="Arial"/>
          <w:sz w:val="22"/>
          <w:szCs w:val="22"/>
          <w:color w:val="auto"/>
        </w:rPr>
      </w:pPr>
      <w:r>
        <w:rPr>
          <w:rFonts w:ascii="Arial" w:cs="Arial" w:eastAsia="Arial" w:hAnsi="Arial"/>
          <w:sz w:val="20"/>
          <w:szCs w:val="20"/>
          <w:color w:val="auto"/>
        </w:rPr>
        <w:t>Introduced customer COVID-19 testing from Houston to Latin American and Caribbean destinations.</w:t>
      </w:r>
    </w:p>
    <w:p>
      <w:pPr>
        <w:spacing w:after="0" w:line="111" w:lineRule="exact"/>
        <w:rPr>
          <w:rFonts w:ascii="Arial" w:cs="Arial" w:eastAsia="Arial" w:hAnsi="Arial"/>
          <w:sz w:val="22"/>
          <w:szCs w:val="22"/>
          <w:color w:val="auto"/>
        </w:rPr>
      </w:pPr>
    </w:p>
    <w:p>
      <w:pPr>
        <w:ind w:left="660" w:right="260" w:hanging="328"/>
        <w:spacing w:after="0" w:line="339" w:lineRule="auto"/>
        <w:tabs>
          <w:tab w:leader="none" w:pos="655" w:val="left"/>
        </w:tabs>
        <w:numPr>
          <w:ilvl w:val="0"/>
          <w:numId w:val="127"/>
        </w:numPr>
        <w:rPr>
          <w:rFonts w:ascii="Arial" w:cs="Arial" w:eastAsia="Arial" w:hAnsi="Arial"/>
          <w:sz w:val="22"/>
          <w:szCs w:val="22"/>
          <w:color w:val="auto"/>
        </w:rPr>
      </w:pPr>
      <w:r>
        <w:rPr>
          <w:rFonts w:ascii="Arial" w:cs="Arial" w:eastAsia="Arial" w:hAnsi="Arial"/>
          <w:sz w:val="20"/>
          <w:szCs w:val="20"/>
          <w:color w:val="auto"/>
        </w:rPr>
        <w:t>Began working with the Centers for Disease Control (CDC) on the first contact tracing initiative for all international and domestic flights.</w:t>
      </w:r>
    </w:p>
    <w:p>
      <w:pPr>
        <w:spacing w:after="0" w:line="19" w:lineRule="exact"/>
        <w:rPr>
          <w:rFonts w:ascii="Arial" w:cs="Arial" w:eastAsia="Arial" w:hAnsi="Arial"/>
          <w:sz w:val="22"/>
          <w:szCs w:val="22"/>
          <w:color w:val="auto"/>
        </w:rPr>
      </w:pPr>
    </w:p>
    <w:p>
      <w:pPr>
        <w:ind w:left="660" w:right="200" w:hanging="328"/>
        <w:spacing w:after="0" w:line="339" w:lineRule="auto"/>
        <w:tabs>
          <w:tab w:leader="none" w:pos="655" w:val="left"/>
        </w:tabs>
        <w:numPr>
          <w:ilvl w:val="0"/>
          <w:numId w:val="127"/>
        </w:numPr>
        <w:rPr>
          <w:rFonts w:ascii="Arial" w:cs="Arial" w:eastAsia="Arial" w:hAnsi="Arial"/>
          <w:sz w:val="22"/>
          <w:szCs w:val="22"/>
          <w:color w:val="auto"/>
        </w:rPr>
      </w:pPr>
      <w:r>
        <w:rPr>
          <w:rFonts w:ascii="Arial" w:cs="Arial" w:eastAsia="Arial" w:hAnsi="Arial"/>
          <w:sz w:val="20"/>
          <w:szCs w:val="20"/>
          <w:color w:val="auto"/>
        </w:rPr>
        <w:t>Added Zoono Microbe Shield, an EPA-registered antimicrobial coating that forms a long-lasting bond with surfaces and inhibits the growth of microbes, to the airline's already rigorous safety and cleaning procedures.</w:t>
      </w:r>
    </w:p>
    <w:p>
      <w:pPr>
        <w:spacing w:after="0" w:line="19" w:lineRule="exact"/>
        <w:rPr>
          <w:rFonts w:ascii="Arial" w:cs="Arial" w:eastAsia="Arial" w:hAnsi="Arial"/>
          <w:sz w:val="22"/>
          <w:szCs w:val="22"/>
          <w:color w:val="auto"/>
        </w:rPr>
      </w:pPr>
    </w:p>
    <w:p>
      <w:pPr>
        <w:ind w:left="660" w:right="200" w:hanging="328"/>
        <w:spacing w:after="0" w:line="339" w:lineRule="auto"/>
        <w:tabs>
          <w:tab w:leader="none" w:pos="655" w:val="left"/>
        </w:tabs>
        <w:numPr>
          <w:ilvl w:val="0"/>
          <w:numId w:val="127"/>
        </w:numPr>
        <w:rPr>
          <w:rFonts w:ascii="Arial" w:cs="Arial" w:eastAsia="Arial" w:hAnsi="Arial"/>
          <w:sz w:val="22"/>
          <w:szCs w:val="22"/>
          <w:color w:val="auto"/>
        </w:rPr>
      </w:pPr>
      <w:r>
        <w:rPr>
          <w:rFonts w:ascii="Arial" w:cs="Arial" w:eastAsia="Arial" w:hAnsi="Arial"/>
          <w:sz w:val="20"/>
          <w:szCs w:val="20"/>
          <w:color w:val="auto"/>
        </w:rPr>
        <w:t>Launched an automated assistant chat function that gives customers a contactless option to receive immediate access to information about cleaning and safety procedures put in place due to COVID-19.</w:t>
      </w:r>
    </w:p>
    <w:p>
      <w:pPr>
        <w:spacing w:after="0" w:line="19" w:lineRule="exact"/>
        <w:rPr>
          <w:rFonts w:ascii="Arial" w:cs="Arial" w:eastAsia="Arial" w:hAnsi="Arial"/>
          <w:sz w:val="22"/>
          <w:szCs w:val="22"/>
          <w:color w:val="auto"/>
        </w:rPr>
      </w:pPr>
    </w:p>
    <w:p>
      <w:pPr>
        <w:ind w:left="660" w:right="160" w:hanging="328"/>
        <w:spacing w:after="0" w:line="339" w:lineRule="auto"/>
        <w:tabs>
          <w:tab w:leader="none" w:pos="655" w:val="left"/>
        </w:tabs>
        <w:numPr>
          <w:ilvl w:val="0"/>
          <w:numId w:val="127"/>
        </w:numPr>
        <w:rPr>
          <w:rFonts w:ascii="Arial" w:cs="Arial" w:eastAsia="Arial" w:hAnsi="Arial"/>
          <w:sz w:val="22"/>
          <w:szCs w:val="22"/>
          <w:color w:val="auto"/>
        </w:rPr>
      </w:pPr>
      <w:r>
        <w:rPr>
          <w:rFonts w:ascii="Arial" w:cs="Arial" w:eastAsia="Arial" w:hAnsi="Arial"/>
          <w:sz w:val="20"/>
          <w:szCs w:val="20"/>
          <w:color w:val="auto"/>
        </w:rPr>
        <w:t>Began cleaning pilot flight decks with Ultraviolet C (UVC) lighting technology on most aircraft at hub airports to disinfect the flight deck interior and continue providing pilots with a sanitary work environment.</w:t>
      </w:r>
    </w:p>
    <w:p>
      <w:pPr>
        <w:spacing w:after="0" w:line="19" w:lineRule="exact"/>
        <w:rPr>
          <w:rFonts w:ascii="Arial" w:cs="Arial" w:eastAsia="Arial" w:hAnsi="Arial"/>
          <w:sz w:val="22"/>
          <w:szCs w:val="22"/>
          <w:color w:val="auto"/>
        </w:rPr>
      </w:pPr>
    </w:p>
    <w:p>
      <w:pPr>
        <w:ind w:left="660" w:hanging="328"/>
        <w:spacing w:after="0"/>
        <w:tabs>
          <w:tab w:leader="none" w:pos="660" w:val="left"/>
        </w:tabs>
        <w:numPr>
          <w:ilvl w:val="0"/>
          <w:numId w:val="127"/>
        </w:numPr>
        <w:rPr>
          <w:rFonts w:ascii="Arial" w:cs="Arial" w:eastAsia="Arial" w:hAnsi="Arial"/>
          <w:sz w:val="22"/>
          <w:szCs w:val="22"/>
          <w:color w:val="auto"/>
        </w:rPr>
      </w:pPr>
      <w:r>
        <w:rPr>
          <w:rFonts w:ascii="Arial" w:cs="Arial" w:eastAsia="Arial" w:hAnsi="Arial"/>
          <w:sz w:val="20"/>
          <w:szCs w:val="20"/>
          <w:color w:val="auto"/>
        </w:rPr>
        <w:t>Expanded touchless check-in capabilities to kiosks at more than 215 airports.</w:t>
      </w:r>
    </w:p>
    <w:p>
      <w:pPr>
        <w:spacing w:after="0" w:line="111" w:lineRule="exact"/>
        <w:rPr>
          <w:rFonts w:ascii="Arial" w:cs="Arial" w:eastAsia="Arial" w:hAnsi="Arial"/>
          <w:sz w:val="22"/>
          <w:szCs w:val="22"/>
          <w:color w:val="auto"/>
        </w:rPr>
      </w:pPr>
    </w:p>
    <w:p>
      <w:pPr>
        <w:ind w:left="660" w:right="520" w:hanging="328"/>
        <w:spacing w:after="0" w:line="339" w:lineRule="auto"/>
        <w:tabs>
          <w:tab w:leader="none" w:pos="655" w:val="left"/>
        </w:tabs>
        <w:numPr>
          <w:ilvl w:val="0"/>
          <w:numId w:val="127"/>
        </w:numPr>
        <w:rPr>
          <w:rFonts w:ascii="Arial" w:cs="Arial" w:eastAsia="Arial" w:hAnsi="Arial"/>
          <w:sz w:val="22"/>
          <w:szCs w:val="22"/>
          <w:color w:val="auto"/>
        </w:rPr>
      </w:pPr>
      <w:r>
        <w:rPr>
          <w:rFonts w:ascii="Arial" w:cs="Arial" w:eastAsia="Arial" w:hAnsi="Arial"/>
          <w:sz w:val="20"/>
          <w:szCs w:val="20"/>
          <w:color w:val="auto"/>
        </w:rPr>
        <w:t>Launched free COVID-19 testing to all employees and checks their temperatures before they begin work at all U.S. airports.</w:t>
      </w:r>
    </w:p>
    <w:p>
      <w:pPr>
        <w:spacing w:after="0" w:line="19" w:lineRule="exact"/>
        <w:rPr>
          <w:rFonts w:ascii="Arial" w:cs="Arial" w:eastAsia="Arial" w:hAnsi="Arial"/>
          <w:sz w:val="22"/>
          <w:szCs w:val="22"/>
          <w:color w:val="auto"/>
        </w:rPr>
      </w:pPr>
    </w:p>
    <w:p>
      <w:pPr>
        <w:ind w:left="660" w:right="60" w:hanging="328"/>
        <w:spacing w:after="0" w:line="339" w:lineRule="auto"/>
        <w:tabs>
          <w:tab w:leader="none" w:pos="655" w:val="left"/>
        </w:tabs>
        <w:numPr>
          <w:ilvl w:val="0"/>
          <w:numId w:val="127"/>
        </w:numPr>
        <w:rPr>
          <w:rFonts w:ascii="Arial" w:cs="Arial" w:eastAsia="Arial" w:hAnsi="Arial"/>
          <w:sz w:val="22"/>
          <w:szCs w:val="22"/>
          <w:color w:val="auto"/>
        </w:rPr>
      </w:pPr>
      <w:r>
        <w:rPr>
          <w:rFonts w:ascii="Arial" w:cs="Arial" w:eastAsia="Arial" w:hAnsi="Arial"/>
          <w:sz w:val="20"/>
          <w:szCs w:val="20"/>
          <w:color w:val="auto"/>
        </w:rPr>
        <w:t>In May, started providing individually wrapped hand wipes and snack bag with pretzels, Stroopwafel and water to reduce touchpoints.</w:t>
      </w:r>
    </w:p>
    <w:p>
      <w:pPr>
        <w:spacing w:after="0" w:line="19" w:lineRule="exact"/>
        <w:rPr>
          <w:rFonts w:ascii="Arial" w:cs="Arial" w:eastAsia="Arial" w:hAnsi="Arial"/>
          <w:sz w:val="22"/>
          <w:szCs w:val="22"/>
          <w:color w:val="auto"/>
        </w:rPr>
      </w:pPr>
    </w:p>
    <w:p>
      <w:pPr>
        <w:ind w:left="660" w:hanging="328"/>
        <w:spacing w:after="0"/>
        <w:tabs>
          <w:tab w:leader="none" w:pos="660" w:val="left"/>
        </w:tabs>
        <w:numPr>
          <w:ilvl w:val="0"/>
          <w:numId w:val="127"/>
        </w:numPr>
        <w:rPr>
          <w:rFonts w:ascii="Arial" w:cs="Arial" w:eastAsia="Arial" w:hAnsi="Arial"/>
          <w:sz w:val="22"/>
          <w:szCs w:val="22"/>
          <w:color w:val="auto"/>
        </w:rPr>
      </w:pPr>
      <w:r>
        <w:rPr>
          <w:rFonts w:ascii="Arial" w:cs="Arial" w:eastAsia="Arial" w:hAnsi="Arial"/>
          <w:sz w:val="20"/>
          <w:szCs w:val="20"/>
          <w:color w:val="auto"/>
        </w:rPr>
        <w:t>Redesigned United’s Mobile App to be more accessible for people with visual disabilities.</w:t>
      </w:r>
    </w:p>
    <w:p>
      <w:pPr>
        <w:spacing w:after="0" w:line="111" w:lineRule="exact"/>
        <w:rPr>
          <w:rFonts w:ascii="Arial" w:cs="Arial" w:eastAsia="Arial" w:hAnsi="Arial"/>
          <w:sz w:val="22"/>
          <w:szCs w:val="22"/>
          <w:color w:val="auto"/>
        </w:rPr>
      </w:pPr>
    </w:p>
    <w:p>
      <w:pPr>
        <w:ind w:left="660" w:right="320" w:hanging="328"/>
        <w:spacing w:after="0" w:line="369" w:lineRule="auto"/>
        <w:tabs>
          <w:tab w:leader="none" w:pos="655" w:val="left"/>
        </w:tabs>
        <w:numPr>
          <w:ilvl w:val="0"/>
          <w:numId w:val="127"/>
        </w:numPr>
        <w:rPr>
          <w:rFonts w:ascii="Arial" w:cs="Arial" w:eastAsia="Arial" w:hAnsi="Arial"/>
          <w:sz w:val="22"/>
          <w:szCs w:val="22"/>
          <w:color w:val="auto"/>
        </w:rPr>
      </w:pPr>
      <w:r>
        <w:rPr>
          <w:rFonts w:ascii="Arial" w:cs="Arial" w:eastAsia="Arial" w:hAnsi="Arial"/>
          <w:sz w:val="20"/>
          <w:szCs w:val="20"/>
          <w:color w:val="auto"/>
        </w:rPr>
        <w:t>Announced changes to the MileagePlus Premier® program that will make it easier to earn status in 2021 for the 2022 program year.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15"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United Airlines Reports Fourth-Quarter And Full-Year 2020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hanging="328"/>
        <w:spacing w:after="0"/>
        <w:tabs>
          <w:tab w:leader="none" w:pos="660" w:val="left"/>
        </w:tabs>
        <w:numPr>
          <w:ilvl w:val="0"/>
          <w:numId w:val="128"/>
        </w:numPr>
        <w:rPr>
          <w:rFonts w:ascii="Arial" w:cs="Arial" w:eastAsia="Arial" w:hAnsi="Arial"/>
          <w:sz w:val="22"/>
          <w:szCs w:val="22"/>
          <w:color w:val="auto"/>
        </w:rPr>
      </w:pPr>
      <w:r>
        <w:rPr>
          <w:rFonts w:ascii="Arial" w:cs="Arial" w:eastAsia="Arial" w:hAnsi="Arial"/>
          <w:sz w:val="20"/>
          <w:szCs w:val="20"/>
          <w:color w:val="auto"/>
        </w:rPr>
        <w:t>Launched virtual, on-demand customer service at the airport.</w:t>
      </w:r>
    </w:p>
    <w:p>
      <w:pPr>
        <w:spacing w:after="0" w:line="30" w:lineRule="exact"/>
        <w:rPr>
          <w:rFonts w:ascii="Arial" w:cs="Arial" w:eastAsia="Arial" w:hAnsi="Arial"/>
          <w:sz w:val="22"/>
          <w:szCs w:val="22"/>
          <w:color w:val="auto"/>
        </w:rPr>
      </w:pPr>
    </w:p>
    <w:p>
      <w:pPr>
        <w:ind w:left="640" w:hanging="308"/>
        <w:spacing w:after="0"/>
        <w:tabs>
          <w:tab w:leader="none" w:pos="64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Announced plan to continue installing United Polaris® Business Class on Boeing 787 fleet.</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Reimagining the Route Network</w:t>
      </w:r>
    </w:p>
    <w:p>
      <w:pPr>
        <w:spacing w:after="0" w:line="137" w:lineRule="exact"/>
        <w:rPr>
          <w:sz w:val="20"/>
          <w:szCs w:val="20"/>
          <w:color w:val="auto"/>
        </w:rPr>
      </w:pPr>
    </w:p>
    <w:p>
      <w:pPr>
        <w:ind w:left="660" w:right="280" w:hanging="328"/>
        <w:spacing w:after="0" w:line="339" w:lineRule="auto"/>
        <w:tabs>
          <w:tab w:leader="none" w:pos="655" w:val="left"/>
        </w:tabs>
        <w:numPr>
          <w:ilvl w:val="0"/>
          <w:numId w:val="129"/>
        </w:numPr>
        <w:rPr>
          <w:rFonts w:ascii="Arial" w:cs="Arial" w:eastAsia="Arial" w:hAnsi="Arial"/>
          <w:sz w:val="22"/>
          <w:szCs w:val="22"/>
          <w:color w:val="auto"/>
        </w:rPr>
      </w:pPr>
      <w:r>
        <w:rPr>
          <w:rFonts w:ascii="Arial" w:cs="Arial" w:eastAsia="Arial" w:hAnsi="Arial"/>
          <w:sz w:val="20"/>
          <w:szCs w:val="20"/>
          <w:color w:val="auto"/>
        </w:rPr>
        <w:t>In 2020, started 43 domestic routes and 10 international routes, with 15 more international routes planned to launch in 2021.</w:t>
      </w:r>
    </w:p>
    <w:p>
      <w:pPr>
        <w:spacing w:after="0" w:line="19" w:lineRule="exact"/>
        <w:rPr>
          <w:rFonts w:ascii="Arial" w:cs="Arial" w:eastAsia="Arial" w:hAnsi="Arial"/>
          <w:sz w:val="22"/>
          <w:szCs w:val="22"/>
          <w:color w:val="auto"/>
        </w:rPr>
      </w:pPr>
    </w:p>
    <w:p>
      <w:pPr>
        <w:ind w:left="660" w:hanging="328"/>
        <w:spacing w:after="0"/>
        <w:tabs>
          <w:tab w:leader="none" w:pos="660" w:val="left"/>
        </w:tabs>
        <w:numPr>
          <w:ilvl w:val="0"/>
          <w:numId w:val="129"/>
        </w:numPr>
        <w:rPr>
          <w:rFonts w:ascii="Arial" w:cs="Arial" w:eastAsia="Arial" w:hAnsi="Arial"/>
          <w:sz w:val="22"/>
          <w:szCs w:val="22"/>
          <w:color w:val="auto"/>
        </w:rPr>
      </w:pPr>
      <w:r>
        <w:rPr>
          <w:rFonts w:ascii="Arial" w:cs="Arial" w:eastAsia="Arial" w:hAnsi="Arial"/>
          <w:sz w:val="20"/>
          <w:szCs w:val="20"/>
          <w:color w:val="auto"/>
        </w:rPr>
        <w:t>In 4Q, responded to Thanksgiving travel demand by adding over 1,400 domestic flights to the November schedule.</w:t>
      </w:r>
    </w:p>
    <w:p>
      <w:pPr>
        <w:spacing w:after="0" w:line="111" w:lineRule="exact"/>
        <w:rPr>
          <w:rFonts w:ascii="Arial" w:cs="Arial" w:eastAsia="Arial" w:hAnsi="Arial"/>
          <w:sz w:val="22"/>
          <w:szCs w:val="22"/>
          <w:color w:val="auto"/>
        </w:rPr>
      </w:pPr>
    </w:p>
    <w:p>
      <w:pPr>
        <w:ind w:left="660" w:right="400" w:hanging="328"/>
        <w:spacing w:after="0" w:line="339" w:lineRule="auto"/>
        <w:tabs>
          <w:tab w:leader="none" w:pos="655" w:val="left"/>
        </w:tabs>
        <w:numPr>
          <w:ilvl w:val="0"/>
          <w:numId w:val="129"/>
        </w:numPr>
        <w:rPr>
          <w:rFonts w:ascii="Arial" w:cs="Arial" w:eastAsia="Arial" w:hAnsi="Arial"/>
          <w:sz w:val="22"/>
          <w:szCs w:val="22"/>
          <w:color w:val="auto"/>
        </w:rPr>
      </w:pPr>
      <w:r>
        <w:rPr>
          <w:rFonts w:ascii="Arial" w:cs="Arial" w:eastAsia="Arial" w:hAnsi="Arial"/>
          <w:sz w:val="20"/>
          <w:szCs w:val="20"/>
          <w:color w:val="auto"/>
        </w:rPr>
        <w:t>In 4Q, expanded service to India with 4 daily flights including the addition of O’Hare to Delhi; United remains the only U.S. carrier to serve India.</w:t>
      </w:r>
    </w:p>
    <w:p>
      <w:pPr>
        <w:spacing w:after="0" w:line="19" w:lineRule="exact"/>
        <w:rPr>
          <w:rFonts w:ascii="Arial" w:cs="Arial" w:eastAsia="Arial" w:hAnsi="Arial"/>
          <w:sz w:val="22"/>
          <w:szCs w:val="22"/>
          <w:color w:val="auto"/>
        </w:rPr>
      </w:pPr>
    </w:p>
    <w:p>
      <w:pPr>
        <w:jc w:val="both"/>
        <w:ind w:left="660" w:hanging="328"/>
        <w:spacing w:after="0" w:line="343" w:lineRule="auto"/>
        <w:tabs>
          <w:tab w:leader="none" w:pos="655" w:val="left"/>
        </w:tabs>
        <w:numPr>
          <w:ilvl w:val="0"/>
          <w:numId w:val="129"/>
        </w:numPr>
        <w:rPr>
          <w:rFonts w:ascii="Arial" w:cs="Arial" w:eastAsia="Arial" w:hAnsi="Arial"/>
          <w:sz w:val="22"/>
          <w:szCs w:val="22"/>
          <w:color w:val="auto"/>
        </w:rPr>
      </w:pPr>
      <w:r>
        <w:rPr>
          <w:rFonts w:ascii="Arial" w:cs="Arial" w:eastAsia="Arial" w:hAnsi="Arial"/>
          <w:sz w:val="20"/>
          <w:szCs w:val="20"/>
          <w:color w:val="auto"/>
        </w:rPr>
        <w:t>Compared to September, United had nonstop service in 23 more domestic and 8 more international routes in October, 37 more domestic and 32 more international routes in November, and 95 more domestic and 53 more international routes in December.</w:t>
      </w:r>
    </w:p>
    <w:p>
      <w:pPr>
        <w:spacing w:after="0" w:line="20" w:lineRule="exact"/>
        <w:rPr>
          <w:rFonts w:ascii="Arial" w:cs="Arial" w:eastAsia="Arial" w:hAnsi="Arial"/>
          <w:sz w:val="22"/>
          <w:szCs w:val="22"/>
          <w:color w:val="auto"/>
        </w:rPr>
      </w:pPr>
    </w:p>
    <w:p>
      <w:pPr>
        <w:ind w:left="660" w:right="480" w:hanging="328"/>
        <w:spacing w:after="0" w:line="334" w:lineRule="auto"/>
        <w:tabs>
          <w:tab w:leader="none" w:pos="655" w:val="left"/>
        </w:tabs>
        <w:numPr>
          <w:ilvl w:val="0"/>
          <w:numId w:val="129"/>
        </w:numPr>
        <w:rPr>
          <w:rFonts w:ascii="Arial" w:cs="Arial" w:eastAsia="Arial" w:hAnsi="Arial"/>
          <w:sz w:val="22"/>
          <w:szCs w:val="22"/>
          <w:color w:val="auto"/>
        </w:rPr>
      </w:pPr>
      <w:r>
        <w:rPr>
          <w:rFonts w:ascii="Arial" w:cs="Arial" w:eastAsia="Arial" w:hAnsi="Arial"/>
          <w:sz w:val="20"/>
          <w:szCs w:val="20"/>
          <w:color w:val="auto"/>
        </w:rPr>
        <w:t>Announced plans to return service to New York/JFK after a five-year absence, with two daily round-trips to both San Francisco and Los Angeles starting in February 2021.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Assisting the Communities We Serve</w:t>
      </w:r>
    </w:p>
    <w:p>
      <w:pPr>
        <w:spacing w:after="0" w:line="110" w:lineRule="exact"/>
        <w:rPr>
          <w:sz w:val="20"/>
          <w:szCs w:val="20"/>
          <w:color w:val="auto"/>
        </w:rPr>
      </w:pPr>
    </w:p>
    <w:p>
      <w:pPr>
        <w:ind w:left="660" w:right="100" w:hanging="328"/>
        <w:spacing w:after="0" w:line="355" w:lineRule="auto"/>
        <w:tabs>
          <w:tab w:leader="none" w:pos="648"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Through a combination of cargo-only flights and passenger flights, United has transported more than 401 million pounds of freight, which includes 87 million pounds of vital shipments, such as COVID-19 vaccines, medical kits, PPE, pharmaceuticals, and medical equipment, and more than 3.4 million pounds of military mail and packages.</w:t>
      </w:r>
    </w:p>
    <w:p>
      <w:pPr>
        <w:spacing w:after="0" w:line="18" w:lineRule="exact"/>
        <w:rPr>
          <w:rFonts w:ascii="Arial" w:cs="Arial" w:eastAsia="Arial" w:hAnsi="Arial"/>
          <w:sz w:val="20"/>
          <w:szCs w:val="20"/>
          <w:color w:val="auto"/>
        </w:rPr>
      </w:pPr>
    </w:p>
    <w:p>
      <w:pPr>
        <w:ind w:left="660" w:right="360" w:hanging="328"/>
        <w:spacing w:after="0" w:line="339" w:lineRule="auto"/>
        <w:tabs>
          <w:tab w:leader="none" w:pos="655" w:val="left"/>
        </w:tabs>
        <w:numPr>
          <w:ilvl w:val="0"/>
          <w:numId w:val="130"/>
        </w:numPr>
        <w:rPr>
          <w:rFonts w:ascii="Arial" w:cs="Arial" w:eastAsia="Arial" w:hAnsi="Arial"/>
          <w:sz w:val="22"/>
          <w:szCs w:val="22"/>
          <w:color w:val="auto"/>
        </w:rPr>
      </w:pPr>
      <w:r>
        <w:rPr>
          <w:rFonts w:ascii="Arial" w:cs="Arial" w:eastAsia="Arial" w:hAnsi="Arial"/>
          <w:sz w:val="20"/>
          <w:szCs w:val="20"/>
          <w:color w:val="auto"/>
        </w:rPr>
        <w:t>Booked over 2,900 free flights for medical professionals to support COVID-19 response in New Jersey/New York and California.</w:t>
      </w:r>
    </w:p>
    <w:p>
      <w:pPr>
        <w:spacing w:after="0" w:line="19" w:lineRule="exact"/>
        <w:rPr>
          <w:rFonts w:ascii="Arial" w:cs="Arial" w:eastAsia="Arial" w:hAnsi="Arial"/>
          <w:sz w:val="22"/>
          <w:szCs w:val="22"/>
          <w:color w:val="auto"/>
        </w:rPr>
      </w:pPr>
    </w:p>
    <w:p>
      <w:pPr>
        <w:ind w:left="660" w:right="280" w:hanging="328"/>
        <w:spacing w:after="0" w:line="339" w:lineRule="auto"/>
        <w:tabs>
          <w:tab w:leader="none" w:pos="655" w:val="left"/>
        </w:tabs>
        <w:numPr>
          <w:ilvl w:val="0"/>
          <w:numId w:val="130"/>
        </w:numPr>
        <w:rPr>
          <w:rFonts w:ascii="Arial" w:cs="Arial" w:eastAsia="Arial" w:hAnsi="Arial"/>
          <w:sz w:val="22"/>
          <w:szCs w:val="22"/>
          <w:color w:val="auto"/>
        </w:rPr>
      </w:pPr>
      <w:r>
        <w:rPr>
          <w:rFonts w:ascii="Arial" w:cs="Arial" w:eastAsia="Arial" w:hAnsi="Arial"/>
          <w:sz w:val="20"/>
          <w:szCs w:val="20"/>
          <w:color w:val="auto"/>
        </w:rPr>
        <w:t>Using crowdsourcing platform - Miles on a Mission - donated more than 11 million miles for charities like the Thurgood Marshall College Fund, College to Congress, and Compass to Care.</w:t>
      </w:r>
    </w:p>
    <w:p>
      <w:pPr>
        <w:spacing w:after="0" w:line="19" w:lineRule="exact"/>
        <w:rPr>
          <w:rFonts w:ascii="Arial" w:cs="Arial" w:eastAsia="Arial" w:hAnsi="Arial"/>
          <w:sz w:val="22"/>
          <w:szCs w:val="22"/>
          <w:color w:val="auto"/>
        </w:rPr>
      </w:pPr>
    </w:p>
    <w:p>
      <w:pPr>
        <w:ind w:left="660" w:right="340" w:hanging="328"/>
        <w:spacing w:after="0" w:line="339" w:lineRule="auto"/>
        <w:tabs>
          <w:tab w:leader="none" w:pos="655" w:val="left"/>
        </w:tabs>
        <w:numPr>
          <w:ilvl w:val="0"/>
          <w:numId w:val="130"/>
        </w:numPr>
        <w:rPr>
          <w:rFonts w:ascii="Arial" w:cs="Arial" w:eastAsia="Arial" w:hAnsi="Arial"/>
          <w:sz w:val="22"/>
          <w:szCs w:val="22"/>
          <w:color w:val="auto"/>
        </w:rPr>
      </w:pPr>
      <w:r>
        <w:rPr>
          <w:rFonts w:ascii="Arial" w:cs="Arial" w:eastAsia="Arial" w:hAnsi="Arial"/>
          <w:sz w:val="20"/>
          <w:szCs w:val="20"/>
          <w:color w:val="auto"/>
        </w:rPr>
        <w:t>More than 19.2 million miles were donated by MileagePlus members and 7.6 million miles were matched by United to help organizations providing relief during COVID-19.</w:t>
      </w:r>
    </w:p>
    <w:p>
      <w:pPr>
        <w:spacing w:after="0" w:line="19" w:lineRule="exact"/>
        <w:rPr>
          <w:rFonts w:ascii="Arial" w:cs="Arial" w:eastAsia="Arial" w:hAnsi="Arial"/>
          <w:sz w:val="22"/>
          <w:szCs w:val="22"/>
          <w:color w:val="auto"/>
        </w:rPr>
      </w:pPr>
    </w:p>
    <w:p>
      <w:pPr>
        <w:ind w:left="660" w:right="280" w:hanging="328"/>
        <w:spacing w:after="0" w:line="339" w:lineRule="auto"/>
        <w:tabs>
          <w:tab w:leader="none" w:pos="655" w:val="left"/>
        </w:tabs>
        <w:numPr>
          <w:ilvl w:val="0"/>
          <w:numId w:val="130"/>
        </w:numPr>
        <w:rPr>
          <w:rFonts w:ascii="Arial" w:cs="Arial" w:eastAsia="Arial" w:hAnsi="Arial"/>
          <w:sz w:val="22"/>
          <w:szCs w:val="22"/>
          <w:color w:val="auto"/>
        </w:rPr>
      </w:pPr>
      <w:r>
        <w:rPr>
          <w:rFonts w:ascii="Arial" w:cs="Arial" w:eastAsia="Arial" w:hAnsi="Arial"/>
          <w:sz w:val="20"/>
          <w:szCs w:val="20"/>
          <w:color w:val="auto"/>
        </w:rPr>
        <w:t>Donated nearly 1.2 million pounds of food from United Polaris lounges, United Club locations, and catering kitchens to local food banks and charities.</w:t>
      </w:r>
    </w:p>
    <w:p>
      <w:pPr>
        <w:spacing w:after="0" w:line="19" w:lineRule="exact"/>
        <w:rPr>
          <w:rFonts w:ascii="Arial" w:cs="Arial" w:eastAsia="Arial" w:hAnsi="Arial"/>
          <w:sz w:val="22"/>
          <w:szCs w:val="22"/>
          <w:color w:val="auto"/>
        </w:rPr>
      </w:pPr>
    </w:p>
    <w:p>
      <w:pPr>
        <w:ind w:left="660" w:hanging="328"/>
        <w:spacing w:after="0"/>
        <w:tabs>
          <w:tab w:leader="none" w:pos="660" w:val="left"/>
        </w:tabs>
        <w:numPr>
          <w:ilvl w:val="0"/>
          <w:numId w:val="130"/>
        </w:numPr>
        <w:rPr>
          <w:rFonts w:ascii="Arial" w:cs="Arial" w:eastAsia="Arial" w:hAnsi="Arial"/>
          <w:sz w:val="22"/>
          <w:szCs w:val="22"/>
          <w:color w:val="auto"/>
        </w:rPr>
      </w:pPr>
      <w:r>
        <w:rPr>
          <w:rFonts w:ascii="Arial" w:cs="Arial" w:eastAsia="Arial" w:hAnsi="Arial"/>
          <w:sz w:val="20"/>
          <w:szCs w:val="20"/>
          <w:color w:val="auto"/>
        </w:rPr>
        <w:t>Over 7,500 face masks were made from upcycled unused employee uniforms.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30"/>
        </w:numPr>
        <w:rPr>
          <w:rFonts w:ascii="Arial" w:cs="Arial" w:eastAsia="Arial" w:hAnsi="Arial"/>
          <w:sz w:val="22"/>
          <w:szCs w:val="22"/>
          <w:color w:val="auto"/>
        </w:rPr>
      </w:pPr>
      <w:r>
        <w:rPr>
          <w:rFonts w:ascii="Arial" w:cs="Arial" w:eastAsia="Arial" w:hAnsi="Arial"/>
          <w:sz w:val="20"/>
          <w:szCs w:val="20"/>
          <w:color w:val="auto"/>
        </w:rPr>
        <w:t>More than 800 gallons of hand sanitizer produced by United employees in San Francisco for use by United employees.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30"/>
        </w:numPr>
        <w:rPr>
          <w:rFonts w:ascii="Arial" w:cs="Arial" w:eastAsia="Arial" w:hAnsi="Arial"/>
          <w:sz w:val="22"/>
          <w:szCs w:val="22"/>
          <w:color w:val="auto"/>
        </w:rPr>
      </w:pPr>
      <w:r>
        <w:rPr>
          <w:rFonts w:ascii="Arial" w:cs="Arial" w:eastAsia="Arial" w:hAnsi="Arial"/>
          <w:sz w:val="20"/>
          <w:szCs w:val="20"/>
          <w:color w:val="auto"/>
        </w:rPr>
        <w:t>Donated 15,000 pillows, 2,800 amenity kits, and 5,000 self-care products to charities and homeless shelters.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United Airlines Reports Fourth-Quarter And Full-Year 2020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right="240" w:hanging="328"/>
        <w:spacing w:after="0" w:line="339" w:lineRule="auto"/>
        <w:tabs>
          <w:tab w:leader="none" w:pos="655" w:val="left"/>
        </w:tabs>
        <w:numPr>
          <w:ilvl w:val="0"/>
          <w:numId w:val="131"/>
        </w:numPr>
        <w:rPr>
          <w:rFonts w:ascii="Arial" w:cs="Arial" w:eastAsia="Arial" w:hAnsi="Arial"/>
          <w:sz w:val="22"/>
          <w:szCs w:val="22"/>
          <w:color w:val="auto"/>
        </w:rPr>
      </w:pPr>
      <w:r>
        <w:rPr>
          <w:rFonts w:ascii="Arial" w:cs="Arial" w:eastAsia="Arial" w:hAnsi="Arial"/>
          <w:sz w:val="20"/>
          <w:szCs w:val="20"/>
          <w:color w:val="auto"/>
        </w:rPr>
        <w:t>More than 2.2 million pounds of food and household goods were processed by United employees at the Houston Food Bank.</w:t>
      </w:r>
    </w:p>
    <w:p>
      <w:pPr>
        <w:spacing w:after="0" w:line="19" w:lineRule="exact"/>
        <w:rPr>
          <w:rFonts w:ascii="Arial" w:cs="Arial" w:eastAsia="Arial" w:hAnsi="Arial"/>
          <w:sz w:val="22"/>
          <w:szCs w:val="22"/>
          <w:color w:val="auto"/>
        </w:rPr>
      </w:pPr>
    </w:p>
    <w:p>
      <w:pPr>
        <w:ind w:left="660" w:hanging="328"/>
        <w:spacing w:after="0"/>
        <w:tabs>
          <w:tab w:leader="none" w:pos="660" w:val="left"/>
        </w:tabs>
        <w:numPr>
          <w:ilvl w:val="0"/>
          <w:numId w:val="131"/>
        </w:numPr>
        <w:rPr>
          <w:rFonts w:ascii="Arial" w:cs="Arial" w:eastAsia="Arial" w:hAnsi="Arial"/>
          <w:sz w:val="22"/>
          <w:szCs w:val="22"/>
          <w:color w:val="auto"/>
        </w:rPr>
      </w:pPr>
      <w:r>
        <w:rPr>
          <w:rFonts w:ascii="Arial" w:cs="Arial" w:eastAsia="Arial" w:hAnsi="Arial"/>
          <w:sz w:val="20"/>
          <w:szCs w:val="20"/>
          <w:color w:val="auto"/>
        </w:rPr>
        <w:t>More than 2,500 United employees worldwide have volunteered, with over 36,800 hours served.</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Additional Noteworthy Accomplishments</w:t>
      </w:r>
    </w:p>
    <w:p>
      <w:pPr>
        <w:spacing w:after="0" w:line="137" w:lineRule="exact"/>
        <w:rPr>
          <w:sz w:val="20"/>
          <w:szCs w:val="20"/>
          <w:color w:val="auto"/>
        </w:rPr>
      </w:pPr>
    </w:p>
    <w:p>
      <w:pPr>
        <w:ind w:left="660" w:hanging="328"/>
        <w:spacing w:after="0" w:line="340" w:lineRule="auto"/>
        <w:tabs>
          <w:tab w:leader="none" w:pos="655" w:val="left"/>
        </w:tabs>
        <w:numPr>
          <w:ilvl w:val="0"/>
          <w:numId w:val="132"/>
        </w:numPr>
        <w:rPr>
          <w:rFonts w:ascii="Arial" w:cs="Arial" w:eastAsia="Arial" w:hAnsi="Arial"/>
          <w:sz w:val="22"/>
          <w:szCs w:val="22"/>
          <w:color w:val="auto"/>
        </w:rPr>
      </w:pPr>
      <w:r>
        <w:rPr>
          <w:rFonts w:ascii="Arial" w:cs="Arial" w:eastAsia="Arial" w:hAnsi="Arial"/>
          <w:sz w:val="20"/>
          <w:szCs w:val="20"/>
          <w:color w:val="auto"/>
        </w:rPr>
        <w:t>For the ninth consecutive year received a perfect score of 100% on the Corporate Equality Index (CEI), a premier benchmarking survey and report on corporate policies and practices related to LGBTQ+ workplace equality, administered by the Human Rights Campaign (HRC) Foundation.</w:t>
      </w:r>
    </w:p>
    <w:p>
      <w:pPr>
        <w:spacing w:after="0" w:line="2" w:lineRule="exact"/>
        <w:rPr>
          <w:rFonts w:ascii="Arial" w:cs="Arial" w:eastAsia="Arial" w:hAnsi="Arial"/>
          <w:sz w:val="22"/>
          <w:szCs w:val="22"/>
          <w:color w:val="auto"/>
        </w:rPr>
      </w:pPr>
    </w:p>
    <w:p>
      <w:pPr>
        <w:ind w:left="660" w:right="20" w:hanging="328"/>
        <w:spacing w:after="0" w:line="355" w:lineRule="auto"/>
        <w:tabs>
          <w:tab w:leader="none" w:pos="648" w:val="left"/>
        </w:tabs>
        <w:numPr>
          <w:ilvl w:val="0"/>
          <w:numId w:val="132"/>
        </w:numPr>
        <w:rPr>
          <w:rFonts w:ascii="Arial" w:cs="Arial" w:eastAsia="Arial" w:hAnsi="Arial"/>
          <w:sz w:val="20"/>
          <w:szCs w:val="20"/>
          <w:color w:val="auto"/>
        </w:rPr>
      </w:pPr>
      <w:r>
        <w:rPr>
          <w:rFonts w:ascii="Arial" w:cs="Arial" w:eastAsia="Arial" w:hAnsi="Arial"/>
          <w:sz w:val="20"/>
          <w:szCs w:val="20"/>
          <w:color w:val="auto"/>
        </w:rPr>
        <w:t>Honored by DiversityInc with their "DiversityInc Top 50" designation, lauding the airline's leadership in promoting diversity through a diversity-focused talent pipeline and talent development, leadership accountability and a top supplier diversity program.</w:t>
      </w:r>
    </w:p>
    <w:p>
      <w:pPr>
        <w:spacing w:after="0" w:line="18" w:lineRule="exact"/>
        <w:rPr>
          <w:rFonts w:ascii="Arial" w:cs="Arial" w:eastAsia="Arial" w:hAnsi="Arial"/>
          <w:sz w:val="20"/>
          <w:szCs w:val="20"/>
          <w:color w:val="auto"/>
        </w:rPr>
      </w:pPr>
    </w:p>
    <w:p>
      <w:pPr>
        <w:ind w:left="660" w:right="160" w:hanging="328"/>
        <w:spacing w:after="0" w:line="335" w:lineRule="auto"/>
        <w:tabs>
          <w:tab w:leader="none" w:pos="655" w:val="left"/>
        </w:tabs>
        <w:numPr>
          <w:ilvl w:val="0"/>
          <w:numId w:val="132"/>
        </w:numPr>
        <w:rPr>
          <w:rFonts w:ascii="Arial" w:cs="Arial" w:eastAsia="Arial" w:hAnsi="Arial"/>
          <w:sz w:val="22"/>
          <w:szCs w:val="22"/>
          <w:color w:val="auto"/>
        </w:rPr>
      </w:pPr>
      <w:r>
        <w:rPr>
          <w:rFonts w:ascii="Arial" w:cs="Arial" w:eastAsia="Arial" w:hAnsi="Arial"/>
          <w:sz w:val="20"/>
          <w:szCs w:val="20"/>
          <w:color w:val="auto"/>
        </w:rPr>
        <w:t>Recognized for the fifth consecutive year as a top-scoring company and best place to work for disability inclusion with a perfect score of 100 on the 2020 Disability Equality Index (DEI).</w:t>
      </w:r>
    </w:p>
    <w:p>
      <w:pPr>
        <w:ind w:left="640" w:hanging="308"/>
        <w:spacing w:after="0"/>
        <w:tabs>
          <w:tab w:leader="none" w:pos="64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Teamed up with Peerspace to bundle flights with work and meeting spaces for remotely distanced companies.</w:t>
      </w:r>
    </w:p>
    <w:p>
      <w:pPr>
        <w:spacing w:after="0" w:line="134" w:lineRule="exact"/>
        <w:rPr>
          <w:rFonts w:ascii="Arial" w:cs="Arial" w:eastAsia="Arial" w:hAnsi="Arial"/>
          <w:sz w:val="20"/>
          <w:szCs w:val="20"/>
          <w:color w:val="auto"/>
        </w:rPr>
      </w:pPr>
    </w:p>
    <w:p>
      <w:pPr>
        <w:ind w:left="660" w:hanging="328"/>
        <w:spacing w:after="0"/>
        <w:tabs>
          <w:tab w:leader="none" w:pos="660" w:val="left"/>
        </w:tabs>
        <w:numPr>
          <w:ilvl w:val="0"/>
          <w:numId w:val="132"/>
        </w:numPr>
        <w:rPr>
          <w:rFonts w:ascii="Arial" w:cs="Arial" w:eastAsia="Arial" w:hAnsi="Arial"/>
          <w:sz w:val="22"/>
          <w:szCs w:val="22"/>
          <w:color w:val="auto"/>
        </w:rPr>
      </w:pPr>
      <w:r>
        <w:rPr>
          <w:rFonts w:ascii="Arial" w:cs="Arial" w:eastAsia="Arial" w:hAnsi="Arial"/>
          <w:sz w:val="20"/>
          <w:szCs w:val="20"/>
          <w:color w:val="auto"/>
        </w:rPr>
        <w:t>Named best overall airline in the world by Global Traveler Readers.</w:t>
      </w:r>
    </w:p>
    <w:p>
      <w:pPr>
        <w:spacing w:after="0" w:line="111" w:lineRule="exact"/>
        <w:rPr>
          <w:rFonts w:ascii="Arial" w:cs="Arial" w:eastAsia="Arial" w:hAnsi="Arial"/>
          <w:sz w:val="22"/>
          <w:szCs w:val="22"/>
          <w:color w:val="auto"/>
        </w:rPr>
      </w:pPr>
    </w:p>
    <w:p>
      <w:pPr>
        <w:ind w:left="660" w:right="20" w:hanging="328"/>
        <w:spacing w:after="0" w:line="339" w:lineRule="auto"/>
        <w:tabs>
          <w:tab w:leader="none" w:pos="655" w:val="left"/>
        </w:tabs>
        <w:numPr>
          <w:ilvl w:val="0"/>
          <w:numId w:val="132"/>
        </w:numPr>
        <w:rPr>
          <w:rFonts w:ascii="Arial" w:cs="Arial" w:eastAsia="Arial" w:hAnsi="Arial"/>
          <w:sz w:val="22"/>
          <w:szCs w:val="22"/>
          <w:color w:val="auto"/>
        </w:rPr>
      </w:pPr>
      <w:r>
        <w:rPr>
          <w:rFonts w:ascii="Arial" w:cs="Arial" w:eastAsia="Arial" w:hAnsi="Arial"/>
          <w:sz w:val="20"/>
          <w:szCs w:val="20"/>
          <w:color w:val="auto"/>
        </w:rPr>
        <w:t>Selected by the Commission on Presidential Debates as the official airline for the 2020 Presidential and Vice Presidential Debates.</w:t>
      </w:r>
    </w:p>
    <w:p>
      <w:pPr>
        <w:spacing w:after="0" w:line="19" w:lineRule="exact"/>
        <w:rPr>
          <w:rFonts w:ascii="Arial" w:cs="Arial" w:eastAsia="Arial" w:hAnsi="Arial"/>
          <w:sz w:val="22"/>
          <w:szCs w:val="22"/>
          <w:color w:val="auto"/>
        </w:rPr>
      </w:pPr>
    </w:p>
    <w:p>
      <w:pPr>
        <w:ind w:left="660" w:right="440" w:hanging="328"/>
        <w:spacing w:after="0" w:line="335" w:lineRule="auto"/>
        <w:tabs>
          <w:tab w:leader="none" w:pos="655" w:val="left"/>
        </w:tabs>
        <w:numPr>
          <w:ilvl w:val="0"/>
          <w:numId w:val="132"/>
        </w:numPr>
        <w:rPr>
          <w:rFonts w:ascii="Arial" w:cs="Arial" w:eastAsia="Arial" w:hAnsi="Arial"/>
          <w:sz w:val="22"/>
          <w:szCs w:val="22"/>
          <w:color w:val="auto"/>
        </w:rPr>
      </w:pPr>
      <w:r>
        <w:rPr>
          <w:rFonts w:ascii="Arial" w:cs="Arial" w:eastAsia="Arial" w:hAnsi="Arial"/>
          <w:sz w:val="20"/>
          <w:szCs w:val="20"/>
          <w:color w:val="auto"/>
        </w:rPr>
        <w:t>Announced signing of The Board Challenge and committed to adding a second Black board member to the Board of Directors.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_________________________________________________________________________</w:t>
      </w:r>
    </w:p>
    <w:p>
      <w:pPr>
        <w:spacing w:after="0" w:line="61" w:lineRule="exact"/>
        <w:rPr>
          <w:sz w:val="20"/>
          <w:szCs w:val="20"/>
          <w:color w:val="auto"/>
        </w:rPr>
      </w:pPr>
    </w:p>
    <w:p>
      <w:pPr>
        <w:ind w:right="160" w:firstLine="8"/>
        <w:spacing w:after="0" w:line="225" w:lineRule="auto"/>
        <w:tabs>
          <w:tab w:leader="none" w:pos="68" w:val="left"/>
        </w:tabs>
        <w:numPr>
          <w:ilvl w:val="0"/>
          <w:numId w:val="133"/>
        </w:numPr>
        <w:rPr>
          <w:rFonts w:ascii="Arial" w:cs="Arial" w:eastAsia="Arial" w:hAnsi="Arial"/>
          <w:sz w:val="16"/>
          <w:szCs w:val="16"/>
          <w:color w:val="auto"/>
          <w:vertAlign w:val="superscript"/>
        </w:rPr>
      </w:pPr>
      <w:r>
        <w:rPr>
          <w:rFonts w:ascii="Arial" w:cs="Arial" w:eastAsia="Arial" w:hAnsi="Arial"/>
          <w:sz w:val="13"/>
          <w:szCs w:val="13"/>
          <w:color w:val="auto"/>
        </w:rPr>
        <w:t>Total available liquidity includes cash and cash equivalents, short-term investments and $1 billion available under our undrawn revolving credit facility, as well as $7 billion available under the CARES Act loan program.</w:t>
      </w:r>
    </w:p>
    <w:p>
      <w:pPr>
        <w:ind w:right="420"/>
        <w:spacing w:after="0" w:line="21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2</w:t>
      </w:r>
      <w:r>
        <w:rPr>
          <w:rFonts w:ascii="Arial" w:cs="Arial" w:eastAsia="Arial" w:hAnsi="Arial"/>
          <w:sz w:val="13"/>
          <w:szCs w:val="13"/>
          <w:color w:val="auto"/>
        </w:rPr>
        <w:t xml:space="preserve"> Excludes operating and non-operating special charges, and unrealized gains and losses on investments. Reconciliations of non-GAAP financial measures to the most directly comparable GAAP measures are included in the tables accompanying this release.</w:t>
      </w:r>
    </w:p>
    <w:p>
      <w:pPr>
        <w:spacing w:after="0" w:line="1" w:lineRule="exact"/>
        <w:rPr>
          <w:rFonts w:ascii="Arial" w:cs="Arial" w:eastAsia="Arial" w:hAnsi="Arial"/>
          <w:sz w:val="16"/>
          <w:szCs w:val="16"/>
          <w:color w:val="auto"/>
          <w:vertAlign w:val="superscript"/>
        </w:rPr>
      </w:pPr>
    </w:p>
    <w:p>
      <w:pPr>
        <w:spacing w:after="0" w:line="19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3</w:t>
      </w:r>
      <w:r>
        <w:rPr>
          <w:rFonts w:ascii="Arial" w:cs="Arial" w:eastAsia="Arial" w:hAnsi="Arial"/>
          <w:sz w:val="13"/>
          <w:szCs w:val="13"/>
          <w:color w:val="auto"/>
        </w:rPr>
        <w:t xml:space="preserve"> Reconciliations of non-GAAP financial measures to the most directly comparable GAAP measures are included in the tables accompanying this release.</w:t>
      </w:r>
    </w:p>
    <w:p>
      <w:pPr>
        <w:ind w:right="60"/>
        <w:spacing w:after="0" w:line="227"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4</w:t>
      </w:r>
      <w:r>
        <w:rPr>
          <w:rFonts w:ascii="Arial" w:cs="Arial" w:eastAsia="Arial" w:hAnsi="Arial"/>
          <w:sz w:val="13"/>
          <w:szCs w:val="13"/>
          <w:color w:val="auto"/>
        </w:rPr>
        <w:t xml:space="preserve"> Cash burn, as previously guided, is defined as: Net cash from operations, less investing and financing activities. Proceeds from the issuance of new debt (excluding expected aircraft financing), government grants associated with the Payroll Support Program of the CARES Act, issuance of new stock, net proceeds from the sale of short-term and other investments and changes in certain restricted cash balances are not included in this figure. Core cash burn is defined as: Cash burn, as further adjusted to exclude: debt principal payments, timing of certain payments, capital expenditures (net of flight equipment purchase deposit returns), investments in the recovery and severance payments. Amounts may not add due to rounding. See the tables accompanying this release for further information.</w:t>
      </w:r>
    </w:p>
    <w:p>
      <w:pPr>
        <w:spacing w:after="0" w:line="2" w:lineRule="exact"/>
        <w:rPr>
          <w:rFonts w:ascii="Arial" w:cs="Arial" w:eastAsia="Arial" w:hAnsi="Arial"/>
          <w:sz w:val="16"/>
          <w:szCs w:val="16"/>
          <w:color w:val="auto"/>
          <w:vertAlign w:val="superscript"/>
        </w:rPr>
      </w:pPr>
    </w:p>
    <w:p>
      <w:pPr>
        <w:ind w:right="300"/>
        <w:spacing w:after="0" w:line="213"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5</w:t>
      </w:r>
      <w:r>
        <w:rPr>
          <w:rFonts w:ascii="Arial" w:cs="Arial" w:eastAsia="Arial" w:hAnsi="Arial"/>
          <w:sz w:val="13"/>
          <w:szCs w:val="13"/>
          <w:color w:val="auto"/>
        </w:rPr>
        <w:t xml:space="preserve"> Timing of certain payments refers to exclusion of payments in the quarter that had been deferred from prior periods or additions of payments that were deferred to a future period to maximize cash preservation.</w:t>
      </w:r>
    </w:p>
    <w:p>
      <w:pPr>
        <w:spacing w:after="0" w:line="1" w:lineRule="exact"/>
        <w:rPr>
          <w:rFonts w:ascii="Arial" w:cs="Arial" w:eastAsia="Arial" w:hAnsi="Arial"/>
          <w:sz w:val="16"/>
          <w:szCs w:val="16"/>
          <w:color w:val="auto"/>
          <w:vertAlign w:val="superscript"/>
        </w:rPr>
      </w:pPr>
    </w:p>
    <w:p>
      <w:pPr>
        <w:spacing w:after="0"/>
        <w:rPr>
          <w:rFonts w:ascii="Arial" w:cs="Arial" w:eastAsia="Arial" w:hAnsi="Arial"/>
          <w:sz w:val="16"/>
          <w:szCs w:val="16"/>
          <w:color w:val="auto"/>
          <w:vertAlign w:val="superscript"/>
        </w:rPr>
      </w:pPr>
      <w:r>
        <w:rPr>
          <w:rFonts w:ascii="Arial" w:cs="Arial" w:eastAsia="Arial" w:hAnsi="Arial"/>
          <w:sz w:val="16"/>
          <w:szCs w:val="16"/>
          <w:color w:val="auto"/>
          <w:vertAlign w:val="superscript"/>
        </w:rPr>
        <w:t>6</w:t>
      </w:r>
      <w:r>
        <w:rPr>
          <w:rFonts w:ascii="Arial" w:cs="Arial" w:eastAsia="Arial" w:hAnsi="Arial"/>
          <w:sz w:val="13"/>
          <w:szCs w:val="13"/>
          <w:color w:val="auto"/>
        </w:rPr>
        <w:t xml:space="preserve"> Investments in the recovery primarily include, but are not limited to, spending on engine and airframe maintenance to prepare for the efficient operations ramp up as air travel demand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5"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United Airlines Reports Fourth-Quarter And Full-Year 2020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Earnings Call</w:t>
      </w:r>
    </w:p>
    <w:p>
      <w:pPr>
        <w:spacing w:after="0" w:line="110" w:lineRule="exact"/>
        <w:rPr>
          <w:sz w:val="20"/>
          <w:szCs w:val="20"/>
          <w:color w:val="auto"/>
        </w:rPr>
      </w:pPr>
    </w:p>
    <w:p>
      <w:pPr>
        <w:ind w:right="280" w:firstLine="648"/>
        <w:spacing w:after="0" w:line="352" w:lineRule="auto"/>
        <w:rPr>
          <w:sz w:val="20"/>
          <w:szCs w:val="20"/>
          <w:color w:val="auto"/>
        </w:rPr>
      </w:pPr>
      <w:r>
        <w:rPr>
          <w:rFonts w:ascii="Arial" w:cs="Arial" w:eastAsia="Arial" w:hAnsi="Arial"/>
          <w:sz w:val="20"/>
          <w:szCs w:val="20"/>
          <w:color w:val="auto"/>
        </w:rPr>
        <w:t>UAL will hold a conference call to discuss fourth-quarter and full-year 2020 financial results as well as its financial and operational outlook for the first quarter 2021, on Thursday, January 21, at 9:30 a.m. CT/10:30 a.m. ET. A live, listen-only webcast of the conference call will be available at ir.united.com.</w:t>
      </w:r>
    </w:p>
    <w:p>
      <w:pPr>
        <w:spacing w:after="0" w:line="1" w:lineRule="exact"/>
        <w:rPr>
          <w:sz w:val="20"/>
          <w:szCs w:val="20"/>
          <w:color w:val="auto"/>
        </w:rPr>
      </w:pPr>
    </w:p>
    <w:p>
      <w:pPr>
        <w:ind w:right="40" w:firstLine="648"/>
        <w:spacing w:after="0" w:line="351" w:lineRule="auto"/>
        <w:rPr>
          <w:sz w:val="20"/>
          <w:szCs w:val="20"/>
          <w:color w:val="auto"/>
        </w:rPr>
      </w:pPr>
      <w:r>
        <w:rPr>
          <w:rFonts w:ascii="Arial" w:cs="Arial" w:eastAsia="Arial" w:hAnsi="Arial"/>
          <w:sz w:val="20"/>
          <w:szCs w:val="20"/>
          <w:color w:val="auto"/>
        </w:rPr>
        <w:t>The webcast will be available for replay within 24 hours of the conference call and then archived on the website for three months.</w:t>
      </w:r>
    </w:p>
    <w:p>
      <w:pPr>
        <w:jc w:val="center"/>
        <w:ind w:right="-19"/>
        <w:spacing w:after="0"/>
        <w:rPr>
          <w:sz w:val="20"/>
          <w:szCs w:val="20"/>
          <w:color w:val="auto"/>
        </w:rPr>
      </w:pPr>
      <w:r>
        <w:rPr>
          <w:rFonts w:ascii="Arial" w:cs="Arial" w:eastAsia="Arial" w:hAnsi="Arial"/>
          <w:sz w:val="20"/>
          <w:szCs w:val="20"/>
          <w:b w:val="1"/>
          <w:bCs w:val="1"/>
          <w:color w:val="auto"/>
        </w:rPr>
        <w:t>About United</w:t>
      </w:r>
    </w:p>
    <w:p>
      <w:pPr>
        <w:spacing w:after="0" w:line="110" w:lineRule="exact"/>
        <w:rPr>
          <w:sz w:val="20"/>
          <w:szCs w:val="20"/>
          <w:color w:val="auto"/>
        </w:rPr>
      </w:pPr>
    </w:p>
    <w:p>
      <w:pPr>
        <w:ind w:right="380" w:firstLine="648"/>
        <w:spacing w:after="0" w:line="372" w:lineRule="auto"/>
        <w:rPr>
          <w:sz w:val="20"/>
          <w:szCs w:val="20"/>
          <w:color w:val="auto"/>
        </w:rPr>
      </w:pPr>
      <w:r>
        <w:rPr>
          <w:rFonts w:ascii="Arial" w:cs="Arial" w:eastAsia="Arial" w:hAnsi="Arial"/>
          <w:sz w:val="20"/>
          <w:szCs w:val="20"/>
          <w:color w:val="auto"/>
        </w:rPr>
        <w:t>United's shared purpose is "Connecting People. Uniting the World." For more information, visit united.com, follow @United on Twitter and Instagram or connect on Facebook. The common stock of United's parent, United Airlines Holdings, Inc., is traded on the Nasdaq under the symbol "UAL".</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Safe Harbor Statement under the Private Securities Litigation Reform Act of 1995: </w:t>
      </w:r>
      <w:r>
        <w:rPr>
          <w:rFonts w:ascii="Arial" w:cs="Arial" w:eastAsia="Arial" w:hAnsi="Arial"/>
          <w:sz w:val="19"/>
          <w:szCs w:val="19"/>
          <w:color w:val="auto"/>
        </w:rPr>
        <w:t>Certain statements in this release,</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statements regarding our outlook for the first quarter 2021, our 2023 adjusted EBITDA margin target and our cost savings plans related to preparing for a recovery, are forward-looking and thus reflect our current expectations and beliefs with respect to certain current and future events and anticipated financial and operating performance. Such forward-looking statements are and will be subject to many risks and uncertainties relating to our operations and business environment that may cause actual results to differ materially from any future results expressed or implied in such forward-looking statements. Words such as "expects," "will," "plans," "anticipates," "indicates," "remains," "believes," "estimates," "forecast," "guidance," "outlook," "goals," "targets" and similar expressions are intended to identify forward-looking statements. Additionally, forward-looking statements include statements that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release are based upon information available to us on the date of this release. We undertake no obligation to publicly update or revise any forward-looking statement, whether as a result of new information, future events, changed circumstances or otherwise, except as required by applicable law. Our actual results could differ materially from these forward-looking statements due to numerous factors including, without limitation, the following: the duration and spread of the ongoing global COVID-19 pandemic and the outbreak of any other disease or similar public health threat and the impact on our business, results of operations and financial condition; the lenders' ability to accelerate the MileagePlus indebtedness, foreclose upon the collateral securing the MileagePlus indebtedness or exercise other remedies if we are not able to comply with the covenants in the MileagePlus financing agreements; the effects of borrowing pursuant to the Loan Program under the CARES Act and the effects of the grant and promissory note through the Payroll Support Program under the CARES Act; the costs and availability of financing; our significant amount of financial leverage from fixed obligations and ability to seek additional liquidity and maintain adequate liquidity; our ability to comply with the terms of our various financing arrangements; our ability to utilize our net operating losses to offset future taxable income; the material disruption of our strategic operating plan as a result of the COVID-19 pandemic and our ability to execute our strategic operating plans in the long term; general economic conditions (including interest rates, foreign currency exchange rates, investment or credit market conditions, crude oil prices, costs of aircraft fuel and energy refining capacity in relevant markets); risks of doing business globally, including instability and political developments that may impact our operations in certain countries; demand for travel and the impact that global economic and political conditions have on customer travel patterns; our capacity decisions and the capacity decisions of our competitors; competitive pressures on pricing and on demand; changes in aircraft fuel prices; disruptions in our supply of aircraft fuel; our ability to cost-effectively hedge against increases in the price of aircraft fuel, if we decide to do so; the effects of any technology failures or cybersecurity or significant data breaches; disruptions to services provided by third-party service providers; potential reputational or other impact</w:t>
      </w:r>
    </w:p>
    <w:p>
      <w:pPr>
        <w:sectPr>
          <w:pgSz w:w="11900" w:h="16838" w:orient="portrait"/>
          <w:cols w:equalWidth="0" w:num="1">
            <w:col w:w="11220"/>
          </w:cols>
          <w:pgMar w:left="320" w:top="115" w:right="3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United Airlines Reports Fourth-Quarter And Full-Year 2020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from adverse events involving our aircraft or operations, the aircraft or operations of our regional carriers or our code share partners or the aircraft or operations of another airline; our ability to attract and retain customers; the effects of any terrorist attacks, international hostilities or other security events, or the fear of such events; the mandatory grounding of aircraft in our fleet; disruptions to our regional network, as a result of the COVID-19 pandemic or otherwise; the impact of regulatory, investigative and legal proceedings and legal compliance risks; the success of our investments in other airlines, including in other parts of the world, which involve significant challenges and risks, particularly given the impact of the COVID-19 pandemic; industry consolidation or changes in airline alliances; the ability of other air carriers with whom we have alliances or partnerships to provide the services contemplated by the respective arrangements with such carriers; costs associated with any modification or termination of our aircraft orders; disruptions in the availability of aircraft, parts or support from our suppliers; our ability to maintain satisfactory labor relations and the results of any collective bargaining agreement process with our union groups; any disruptions to operations due to any potential actions by our labor groups; labor costs; the impact of any management changes; extended interruptions or disruptions in service at major airports where we operate; U.S. or foreign governmental legislation, regulation and other actions (including Open Skies agreements, environmental regulations and the United Kingdom's withdrawal from the European Union); the seasonality of the airline industry; weather conditions; the costs and availability of aviation and other insurance; our ability to realize the full value of our intangible assets and long-lived assets; any impact to our reputation or brand image; and other risks and uncertainties set forth under Part I, Item 1A., "Risk Factors," of our Annual Report on Form 10-K for the fiscal year ended December 31, 2019, as updated by our Quarterly Report on Form 10-Q for the quarter ended September 30, 2020 and our Current Report on Form 8-K filed on the date hereof, as well as other risks and uncertainties set forth from time to time in the reports we file with the U.S. Securities and Exchange Commission.</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-tables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20" w:top="115" w:right="37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United Airlines Reports Fourth-Quarter And Full-Year 2020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UNITED AIRLINES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STATEMENTS OF CONSOLIDATED OPERATIONS (UNAUDITED)</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4"/>
          </w:tcPr>
          <w:p>
            <w:pPr>
              <w:jc w:val="right"/>
              <w:ind w:right="39"/>
              <w:spacing w:after="0"/>
              <w:rPr>
                <w:sz w:val="20"/>
                <w:szCs w:val="20"/>
                <w:color w:val="auto"/>
              </w:rPr>
            </w:pPr>
            <w:r>
              <w:rPr>
                <w:rFonts w:ascii="Arial" w:cs="Arial" w:eastAsia="Arial" w:hAnsi="Arial"/>
                <w:sz w:val="16"/>
                <w:szCs w:val="16"/>
                <w:color w:val="auto"/>
              </w:rPr>
              <w:t>Three Months Ended</w:t>
            </w:r>
          </w:p>
        </w:tc>
        <w:tc>
          <w:tcPr>
            <w:tcW w:w="108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4"/>
          </w:tcPr>
          <w:p>
            <w:pPr>
              <w:jc w:val="right"/>
              <w:ind w:right="459"/>
              <w:spacing w:after="0"/>
              <w:rPr>
                <w:sz w:val="20"/>
                <w:szCs w:val="20"/>
                <w:color w:val="auto"/>
              </w:rPr>
            </w:pPr>
            <w:r>
              <w:rPr>
                <w:rFonts w:ascii="Arial" w:cs="Arial" w:eastAsia="Arial" w:hAnsi="Arial"/>
                <w:sz w:val="16"/>
                <w:szCs w:val="16"/>
                <w:color w:val="auto"/>
              </w:rPr>
              <w:t>Year Ended</w:t>
            </w:r>
          </w:p>
        </w:tc>
        <w:tc>
          <w:tcPr>
            <w:tcW w:w="108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8"/>
              </w:rPr>
              <w:t>%</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40" w:type="dxa"/>
            <w:vAlign w:val="bottom"/>
            <w:gridSpan w:val="4"/>
            <w:vMerge w:val="restart"/>
          </w:tcPr>
          <w:p>
            <w:pPr>
              <w:jc w:val="right"/>
              <w:ind w:right="279"/>
              <w:spacing w:after="0"/>
              <w:rPr>
                <w:sz w:val="20"/>
                <w:szCs w:val="20"/>
                <w:color w:val="auto"/>
              </w:rPr>
            </w:pPr>
            <w:r>
              <w:rPr>
                <w:rFonts w:ascii="Arial" w:cs="Arial" w:eastAsia="Arial" w:hAnsi="Arial"/>
                <w:sz w:val="16"/>
                <w:szCs w:val="16"/>
                <w:color w:val="auto"/>
              </w:rPr>
              <w:t>December 31,</w:t>
            </w:r>
          </w:p>
        </w:tc>
        <w:tc>
          <w:tcPr>
            <w:tcW w:w="108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80" w:type="dxa"/>
            <w:vAlign w:val="bottom"/>
            <w:gridSpan w:val="4"/>
            <w:vMerge w:val="restart"/>
          </w:tcPr>
          <w:p>
            <w:pPr>
              <w:jc w:val="right"/>
              <w:ind w:right="339"/>
              <w:spacing w:after="0"/>
              <w:rPr>
                <w:sz w:val="20"/>
                <w:szCs w:val="20"/>
                <w:color w:val="auto"/>
              </w:rPr>
            </w:pPr>
            <w:r>
              <w:rPr>
                <w:rFonts w:ascii="Arial" w:cs="Arial" w:eastAsia="Arial" w:hAnsi="Arial"/>
                <w:sz w:val="16"/>
                <w:szCs w:val="16"/>
                <w:color w:val="auto"/>
              </w:rPr>
              <w:t>December 31,</w:t>
            </w:r>
          </w:p>
        </w:tc>
        <w:tc>
          <w:tcPr>
            <w:tcW w:w="108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vMerge w:val="restart"/>
          </w:tcPr>
          <w:p>
            <w:pPr>
              <w:jc w:val="center"/>
              <w:ind w:right="500"/>
              <w:spacing w:after="0" w:line="162" w:lineRule="exact"/>
              <w:rPr>
                <w:sz w:val="20"/>
                <w:szCs w:val="20"/>
                <w:color w:val="auto"/>
              </w:rPr>
            </w:pPr>
            <w:r>
              <w:rPr>
                <w:rFonts w:ascii="Arial" w:cs="Arial" w:eastAsia="Arial" w:hAnsi="Arial"/>
                <w:sz w:val="16"/>
                <w:szCs w:val="16"/>
                <w:color w:val="auto"/>
              </w:rPr>
              <w:t>Increase/</w:t>
            </w:r>
          </w:p>
        </w:tc>
        <w:tc>
          <w:tcPr>
            <w:tcW w:w="18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vMerge w:val="restart"/>
          </w:tcPr>
          <w:p>
            <w:pPr>
              <w:jc w:val="center"/>
              <w:ind w:right="380"/>
              <w:spacing w:after="0" w:line="162" w:lineRule="exact"/>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20"/>
              <w:spacing w:after="0"/>
              <w:rPr>
                <w:sz w:val="20"/>
                <w:szCs w:val="20"/>
                <w:color w:val="auto"/>
              </w:rPr>
            </w:pPr>
            <w:r>
              <w:rPr>
                <w:rFonts w:ascii="Arial" w:cs="Arial" w:eastAsia="Arial" w:hAnsi="Arial"/>
                <w:sz w:val="16"/>
                <w:szCs w:val="16"/>
                <w:color w:val="auto"/>
              </w:rPr>
              <w:t>(In millions, except per share data)</w:t>
            </w:r>
          </w:p>
        </w:tc>
        <w:tc>
          <w:tcPr>
            <w:tcW w:w="100" w:type="dxa"/>
            <w:vAlign w:val="bottom"/>
          </w:tcPr>
          <w:p>
            <w:pPr>
              <w:spacing w:after="0" w:line="20" w:lineRule="exact"/>
              <w:rPr>
                <w:sz w:val="1"/>
                <w:szCs w:val="1"/>
                <w:color w:val="auto"/>
              </w:rPr>
            </w:pPr>
          </w:p>
        </w:tc>
        <w:tc>
          <w:tcPr>
            <w:tcW w:w="720" w:type="dxa"/>
            <w:vAlign w:val="bottom"/>
            <w:vMerge w:val="restart"/>
          </w:tcPr>
          <w:p>
            <w:pPr>
              <w:jc w:val="right"/>
              <w:ind w:right="15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vMerge w:val="restart"/>
          </w:tcPr>
          <w:p>
            <w:pPr>
              <w:jc w:val="right"/>
              <w:ind w:right="13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vMerge w:val="restart"/>
          </w:tcPr>
          <w:p>
            <w:pPr>
              <w:jc w:val="right"/>
              <w:ind w:right="15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6"/>
                <w:szCs w:val="16"/>
                <w:color w:val="auto"/>
              </w:rPr>
              <w:t>(Decrease)</w:t>
            </w: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revenue:</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6"/>
                <w:szCs w:val="16"/>
                <w:color w:val="auto"/>
              </w:rPr>
              <w:t>Passenger</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2,410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9,933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(75.7)</w:t>
            </w:r>
          </w:p>
        </w:tc>
        <w:tc>
          <w:tcPr>
            <w:tcW w:w="5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11,805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39,625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(70.2)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Cargo</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operating revenue</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(30.8)</w:t>
            </w:r>
          </w:p>
        </w:tc>
        <w:tc>
          <w:tcPr>
            <w:tcW w:w="5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2,455</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(22.5)</w:t>
            </w:r>
          </w:p>
        </w:tc>
        <w:tc>
          <w:tcPr>
            <w:tcW w:w="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operating revenue</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15,355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43,259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4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6"/>
                <w:szCs w:val="16"/>
                <w:color w:val="auto"/>
              </w:rPr>
              <w:t>Salaries and related costs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3,078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(29.6)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9,522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12,071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(21.1)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Aircraft fuel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6"/>
                <w:szCs w:val="16"/>
                <w:color w:val="auto"/>
              </w:rPr>
              <w:t>Regional capacity purchase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(32.6)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2,849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(28.4)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Landing fees and other rent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2,288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Aircraft maintenance materials and outside repairs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6"/>
                <w:szCs w:val="16"/>
                <w:color w:val="auto"/>
              </w:rPr>
              <w:t>Distribution expenses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(80.8)</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1,651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(72.2)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Aircraft rent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6"/>
                <w:szCs w:val="16"/>
                <w:color w:val="auto"/>
              </w:rPr>
              <w:t>Special charges (credits)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1460" w:type="dxa"/>
            <w:vAlign w:val="bottom"/>
            <w:gridSpan w:val="2"/>
          </w:tcPr>
          <w:p>
            <w:pPr>
              <w:ind w:left="70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1360" w:type="dxa"/>
            <w:vAlign w:val="bottom"/>
            <w:gridSpan w:val="2"/>
          </w:tcPr>
          <w:p>
            <w:pPr>
              <w:ind w:left="70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operating expense</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10,027</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(44.7)</w:t>
            </w:r>
          </w:p>
        </w:tc>
        <w:tc>
          <w:tcPr>
            <w:tcW w:w="5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21,714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38,958</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(44.3)</w:t>
            </w:r>
          </w:p>
        </w:tc>
        <w:tc>
          <w:tcPr>
            <w:tcW w:w="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4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861</w:t>
            </w:r>
          </w:p>
        </w:tc>
        <w:tc>
          <w:tcPr>
            <w:tcW w:w="120" w:type="dxa"/>
            <w:vAlign w:val="bottom"/>
          </w:tcPr>
          <w:p>
            <w:pPr>
              <w:spacing w:after="0"/>
              <w:rPr>
                <w:sz w:val="18"/>
                <w:szCs w:val="18"/>
                <w:color w:val="auto"/>
              </w:rPr>
            </w:pPr>
          </w:p>
        </w:tc>
        <w:tc>
          <w:tcPr>
            <w:tcW w:w="1460" w:type="dxa"/>
            <w:vAlign w:val="bottom"/>
            <w:gridSpan w:val="2"/>
          </w:tcPr>
          <w:p>
            <w:pPr>
              <w:ind w:left="70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4,301</w:t>
            </w:r>
          </w:p>
        </w:tc>
        <w:tc>
          <w:tcPr>
            <w:tcW w:w="100" w:type="dxa"/>
            <w:vAlign w:val="bottom"/>
          </w:tcPr>
          <w:p>
            <w:pPr>
              <w:spacing w:after="0"/>
              <w:rPr>
                <w:sz w:val="18"/>
                <w:szCs w:val="18"/>
                <w:color w:val="auto"/>
              </w:rPr>
            </w:pPr>
          </w:p>
        </w:tc>
        <w:tc>
          <w:tcPr>
            <w:tcW w:w="1360" w:type="dxa"/>
            <w:vAlign w:val="bottom"/>
            <w:gridSpan w:val="2"/>
          </w:tcPr>
          <w:p>
            <w:pPr>
              <w:ind w:left="70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6"/>
                <w:szCs w:val="16"/>
                <w:color w:val="auto"/>
              </w:rPr>
              <w:t>Nonoperating income (expense):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6"/>
                <w:szCs w:val="16"/>
                <w:color w:val="auto"/>
              </w:rPr>
              <w:t>Interest capitalized</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(15.0)</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(16.5)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6"/>
                <w:szCs w:val="16"/>
                <w:color w:val="auto"/>
              </w:rPr>
              <w:t>Unrealized gains (losses) on investments,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24.7</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1360" w:type="dxa"/>
            <w:vAlign w:val="bottom"/>
            <w:gridSpan w:val="2"/>
          </w:tcPr>
          <w:p>
            <w:pPr>
              <w:ind w:left="70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Miscellaneous, net</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NM</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nonoperating expense</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NM</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88"/>
        </w:trPr>
        <w:tc>
          <w:tcPr>
            <w:tcW w:w="4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844</w:t>
            </w:r>
          </w:p>
        </w:tc>
        <w:tc>
          <w:tcPr>
            <w:tcW w:w="120" w:type="dxa"/>
            <w:vAlign w:val="bottom"/>
          </w:tcPr>
          <w:p>
            <w:pPr>
              <w:spacing w:after="0"/>
              <w:rPr>
                <w:sz w:val="18"/>
                <w:szCs w:val="18"/>
                <w:color w:val="auto"/>
              </w:rPr>
            </w:pPr>
          </w:p>
        </w:tc>
        <w:tc>
          <w:tcPr>
            <w:tcW w:w="1460" w:type="dxa"/>
            <w:vAlign w:val="bottom"/>
            <w:gridSpan w:val="2"/>
          </w:tcPr>
          <w:p>
            <w:pPr>
              <w:ind w:left="70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(8,822)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3,914</w:t>
            </w:r>
          </w:p>
        </w:tc>
        <w:tc>
          <w:tcPr>
            <w:tcW w:w="100" w:type="dxa"/>
            <w:vAlign w:val="bottom"/>
          </w:tcPr>
          <w:p>
            <w:pPr>
              <w:spacing w:after="0"/>
              <w:rPr>
                <w:sz w:val="18"/>
                <w:szCs w:val="18"/>
                <w:color w:val="auto"/>
              </w:rPr>
            </w:pPr>
          </w:p>
        </w:tc>
        <w:tc>
          <w:tcPr>
            <w:tcW w:w="1360" w:type="dxa"/>
            <w:vAlign w:val="bottom"/>
            <w:gridSpan w:val="2"/>
          </w:tcPr>
          <w:p>
            <w:pPr>
              <w:ind w:left="70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NM</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5"/>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NM</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3,009</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earnings (loss)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NM</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weighted average shares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17.2</w:t>
            </w:r>
          </w:p>
        </w:tc>
        <w:tc>
          <w:tcPr>
            <w:tcW w:w="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7.5</w:t>
            </w: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253.4</w:t>
            </w:r>
          </w:p>
        </w:tc>
        <w:tc>
          <w:tcPr>
            <w:tcW w:w="108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279.4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259.9</w:t>
            </w: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80"/>
        <w:spacing w:after="0"/>
        <w:rPr>
          <w:sz w:val="20"/>
          <w:szCs w:val="20"/>
          <w:color w:val="auto"/>
        </w:rPr>
      </w:pPr>
      <w:r>
        <w:rPr>
          <w:rFonts w:ascii="Arial" w:cs="Arial" w:eastAsia="Arial" w:hAnsi="Arial"/>
          <w:sz w:val="16"/>
          <w:szCs w:val="16"/>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320" w:top="115" w:right="39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United Airlines Reports Fourth-Quarter And Full-Year 2020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PASSENGER REVENUE INFORMATION AND STATISTICS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gridSpan w:val="10"/>
          </w:tcPr>
          <w:p>
            <w:pPr>
              <w:spacing w:after="0"/>
              <w:rPr>
                <w:sz w:val="20"/>
                <w:szCs w:val="20"/>
                <w:color w:val="auto"/>
              </w:rPr>
            </w:pPr>
            <w:r>
              <w:rPr>
                <w:rFonts w:ascii="Arial" w:cs="Arial" w:eastAsia="Arial" w:hAnsi="Arial"/>
                <w:sz w:val="16"/>
                <w:szCs w:val="16"/>
                <w:b w:val="1"/>
                <w:bCs w:val="1"/>
                <w:color w:val="auto"/>
              </w:rPr>
              <w:t>Passenger revenue information is as follows (in millions, except for percentage changes):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vMerge w:val="restart"/>
          </w:tcPr>
          <w:p>
            <w:pPr>
              <w:jc w:val="center"/>
              <w:ind w:right="39"/>
              <w:spacing w:after="0"/>
              <w:rPr>
                <w:sz w:val="20"/>
                <w:szCs w:val="20"/>
                <w:color w:val="auto"/>
              </w:rPr>
            </w:pPr>
            <w:r>
              <w:rPr>
                <w:rFonts w:ascii="Arial" w:cs="Arial" w:eastAsia="Arial" w:hAnsi="Arial"/>
                <w:sz w:val="16"/>
                <w:szCs w:val="16"/>
                <w:color w:val="auto"/>
              </w:rPr>
              <w:t>4Q 2020</w:t>
            </w:r>
          </w:p>
        </w:tc>
        <w:tc>
          <w:tcPr>
            <w:tcW w:w="100" w:type="dxa"/>
            <w:vAlign w:val="bottom"/>
          </w:tcPr>
          <w:p>
            <w:pPr>
              <w:spacing w:after="0"/>
              <w:rPr>
                <w:sz w:val="22"/>
                <w:szCs w:val="22"/>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rPr>
              <w:t>Passenger</w:t>
            </w: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color w:val="auto"/>
              </w:rPr>
              <w:t>Available</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auto"/>
              </w:rPr>
              <w:t>4Q 2020</w:t>
            </w:r>
          </w:p>
        </w:tc>
        <w:tc>
          <w:tcPr>
            <w:tcW w:w="1100" w:type="dxa"/>
            <w:vAlign w:val="bottom"/>
          </w:tcPr>
          <w:p>
            <w:pPr>
              <w:jc w:val="center"/>
              <w:spacing w:after="0"/>
              <w:rPr>
                <w:sz w:val="20"/>
                <w:szCs w:val="20"/>
                <w:color w:val="auto"/>
              </w:rPr>
            </w:pPr>
            <w:r>
              <w:rPr>
                <w:rFonts w:ascii="Arial" w:cs="Arial" w:eastAsia="Arial" w:hAnsi="Arial"/>
                <w:sz w:val="16"/>
                <w:szCs w:val="16"/>
                <w:color w:val="auto"/>
              </w:rPr>
              <w:t>4Q 2020</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rPr>
              <w:t>Revenue</w:t>
            </w:r>
          </w:p>
        </w:tc>
        <w:tc>
          <w:tcPr>
            <w:tcW w:w="1200" w:type="dxa"/>
            <w:vAlign w:val="bottom"/>
            <w:gridSpan w:val="2"/>
            <w:vMerge w:val="restart"/>
          </w:tcPr>
          <w:p>
            <w:pPr>
              <w:ind w:left="140"/>
              <w:spacing w:after="0"/>
              <w:rPr>
                <w:sz w:val="20"/>
                <w:szCs w:val="20"/>
                <w:color w:val="auto"/>
              </w:rPr>
            </w:pPr>
            <w:r>
              <w:rPr>
                <w:rFonts w:ascii="Arial" w:cs="Arial" w:eastAsia="Arial" w:hAnsi="Arial"/>
                <w:sz w:val="16"/>
                <w:szCs w:val="16"/>
                <w:color w:val="auto"/>
              </w:rPr>
              <w:t>PRASM vs.</w:t>
            </w:r>
          </w:p>
        </w:tc>
        <w:tc>
          <w:tcPr>
            <w:tcW w:w="1200" w:type="dxa"/>
            <w:vAlign w:val="bottom"/>
            <w:gridSpan w:val="2"/>
            <w:vMerge w:val="restart"/>
          </w:tcPr>
          <w:p>
            <w:pPr>
              <w:ind w:left="260"/>
              <w:spacing w:after="0"/>
              <w:rPr>
                <w:sz w:val="20"/>
                <w:szCs w:val="20"/>
                <w:color w:val="auto"/>
              </w:rPr>
            </w:pPr>
            <w:r>
              <w:rPr>
                <w:rFonts w:ascii="Arial" w:cs="Arial" w:eastAsia="Arial" w:hAnsi="Arial"/>
                <w:sz w:val="16"/>
                <w:szCs w:val="16"/>
                <w:color w:val="auto"/>
              </w:rPr>
              <w:t>Yield vs.</w:t>
            </w:r>
          </w:p>
        </w:tc>
        <w:tc>
          <w:tcPr>
            <w:tcW w:w="122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rPr>
              <w:t>Seat Miles</w:t>
            </w:r>
          </w:p>
        </w:tc>
        <w:tc>
          <w:tcPr>
            <w:tcW w:w="1200" w:type="dxa"/>
            <w:vAlign w:val="bottom"/>
            <w:gridSpan w:val="2"/>
            <w:vMerge w:val="continue"/>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Passenger</w:t>
            </w:r>
          </w:p>
        </w:tc>
        <w:tc>
          <w:tcPr>
            <w:tcW w:w="100" w:type="dxa"/>
            <w:vAlign w:val="bottom"/>
          </w:tcPr>
          <w:p>
            <w:pPr>
              <w:spacing w:after="0"/>
              <w:rPr>
                <w:sz w:val="14"/>
                <w:szCs w:val="14"/>
                <w:color w:val="auto"/>
              </w:rPr>
            </w:pPr>
          </w:p>
        </w:tc>
        <w:tc>
          <w:tcPr>
            <w:tcW w:w="12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rPr>
              <w:t>vs.</w:t>
            </w:r>
          </w:p>
        </w:tc>
        <w:tc>
          <w:tcPr>
            <w:tcW w:w="120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2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97"/>
              </w:rPr>
              <w:t>vs.</w:t>
            </w:r>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rPr>
              <w:t>Available Seat</w:t>
            </w: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rPr>
              <w:t>Passenger</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color w:val="auto"/>
                <w:w w:val="99"/>
              </w:rPr>
              <w:t>Revenue</w:t>
            </w: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rPr>
              <w:t>4Q 2019</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rPr>
              <w:t>4Q 2019</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rPr>
              <w:t>4Q 2019</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color w:val="auto"/>
              </w:rPr>
              <w:t>4Q 2019</w:t>
            </w: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color w:val="auto"/>
              </w:rPr>
              <w:t>Miles</w:t>
            </w:r>
          </w:p>
        </w:tc>
        <w:tc>
          <w:tcPr>
            <w:tcW w:w="1100" w:type="dxa"/>
            <w:vAlign w:val="bottom"/>
          </w:tcPr>
          <w:p>
            <w:pPr>
              <w:jc w:val="center"/>
              <w:spacing w:after="0"/>
              <w:rPr>
                <w:sz w:val="20"/>
                <w:szCs w:val="20"/>
                <w:color w:val="auto"/>
              </w:rPr>
            </w:pPr>
            <w:r>
              <w:rPr>
                <w:rFonts w:ascii="Arial" w:cs="Arial" w:eastAsia="Arial" w:hAnsi="Arial"/>
                <w:sz w:val="16"/>
                <w:szCs w:val="16"/>
                <w:color w:val="auto"/>
              </w:rPr>
              <w:t>Miles</w:t>
            </w:r>
          </w:p>
        </w:tc>
        <w:tc>
          <w:tcPr>
            <w:tcW w:w="0" w:type="dxa"/>
            <w:vAlign w:val="bottom"/>
          </w:tcPr>
          <w:p>
            <w:pPr>
              <w:spacing w:after="0"/>
              <w:rPr>
                <w:sz w:val="1"/>
                <w:szCs w:val="1"/>
                <w:color w:val="auto"/>
              </w:rPr>
            </w:pPr>
          </w:p>
        </w:tc>
      </w:tr>
      <w:tr>
        <w:trPr>
          <w:trHeight w:val="209"/>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1,797</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(71.6%)</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(39.9%)</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(22.2%)</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(52.8%)</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19,166</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12,417</w:t>
            </w:r>
          </w:p>
        </w:tc>
        <w:tc>
          <w:tcPr>
            <w:tcW w:w="0" w:type="dxa"/>
            <w:vAlign w:val="bottom"/>
          </w:tcPr>
          <w:p>
            <w:pPr>
              <w:spacing w:after="0"/>
              <w:rPr>
                <w:sz w:val="1"/>
                <w:szCs w:val="1"/>
                <w:color w:val="auto"/>
              </w:rPr>
            </w:pPr>
          </w:p>
        </w:tc>
      </w:tr>
      <w:tr>
        <w:trPr>
          <w:trHeight w:val="257"/>
        </w:trPr>
        <w:tc>
          <w:tcPr>
            <w:tcW w:w="2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Atlantic</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(87.7%)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(71.5%)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(32.0%)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(56.8%)</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w:t>
            </w: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Pacific</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(47.2%)</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(82.6%)</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1,935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Latin America</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2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(64.8%)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(42.9%)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(16.0%)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(38.3%)</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4,123</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2,331</w:t>
            </w: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613</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(55.0%)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(62.1%)</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11,525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4,654</w:t>
            </w:r>
          </w:p>
        </w:tc>
        <w:tc>
          <w:tcPr>
            <w:tcW w:w="0" w:type="dxa"/>
            <w:vAlign w:val="bottom"/>
          </w:tcPr>
          <w:p>
            <w:pPr>
              <w:spacing w:after="0"/>
              <w:rPr>
                <w:sz w:val="1"/>
                <w:szCs w:val="1"/>
                <w:color w:val="auto"/>
              </w:rPr>
            </w:pPr>
          </w:p>
        </w:tc>
      </w:tr>
      <w:tr>
        <w:trPr>
          <w:trHeight w:val="257"/>
        </w:trPr>
        <w:tc>
          <w:tcPr>
            <w:tcW w:w="29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color w:val="auto"/>
              </w:rPr>
              <w:t>Consolidated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2,410</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(43.8%)</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(16.6%)</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(56.8%)</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30,691</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17,071</w:t>
            </w: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40" w:type="dxa"/>
            <w:vAlign w:val="bottom"/>
          </w:tcPr>
          <w:p>
            <w:pPr>
              <w:spacing w:after="0"/>
              <w:rPr>
                <w:sz w:val="20"/>
                <w:szCs w:val="20"/>
                <w:color w:val="auto"/>
              </w:rPr>
            </w:pPr>
            <w:r>
              <w:rPr>
                <w:rFonts w:ascii="Arial" w:cs="Arial" w:eastAsia="Arial" w:hAnsi="Arial"/>
                <w:sz w:val="16"/>
                <w:szCs w:val="16"/>
                <w:b w:val="1"/>
                <w:bCs w:val="1"/>
                <w:color w:val="auto"/>
              </w:rPr>
              <w:t>Select operating statistics are as follows: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4"/>
          </w:tcPr>
          <w:p>
            <w:pPr>
              <w:jc w:val="right"/>
              <w:ind w:right="219"/>
              <w:spacing w:after="0"/>
              <w:rPr>
                <w:sz w:val="20"/>
                <w:szCs w:val="20"/>
                <w:color w:val="auto"/>
              </w:rPr>
            </w:pPr>
            <w:r>
              <w:rPr>
                <w:rFonts w:ascii="Arial" w:cs="Arial" w:eastAsia="Arial" w:hAnsi="Arial"/>
                <w:sz w:val="16"/>
                <w:szCs w:val="16"/>
                <w:color w:val="auto"/>
              </w:rPr>
              <w:t>Three Months Ended</w:t>
            </w:r>
          </w:p>
        </w:tc>
        <w:tc>
          <w:tcPr>
            <w:tcW w:w="100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8"/>
              </w:rPr>
              <w:t>%</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4"/>
          </w:tcPr>
          <w:p>
            <w:pPr>
              <w:jc w:val="right"/>
              <w:ind w:right="599"/>
              <w:spacing w:after="0"/>
              <w:rPr>
                <w:sz w:val="20"/>
                <w:szCs w:val="20"/>
                <w:color w:val="auto"/>
              </w:rPr>
            </w:pPr>
            <w:r>
              <w:rPr>
                <w:rFonts w:ascii="Arial" w:cs="Arial" w:eastAsia="Arial" w:hAnsi="Arial"/>
                <w:sz w:val="16"/>
                <w:szCs w:val="16"/>
                <w:color w:val="auto"/>
              </w:rPr>
              <w:t>Year Ended</w:t>
            </w:r>
          </w:p>
        </w:tc>
        <w:tc>
          <w:tcPr>
            <w:tcW w:w="102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98"/>
              </w:rPr>
              <w:t>%</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920" w:type="dxa"/>
            <w:vAlign w:val="bottom"/>
            <w:gridSpan w:val="4"/>
            <w:vMerge w:val="restart"/>
          </w:tcPr>
          <w:p>
            <w:pPr>
              <w:jc w:val="right"/>
              <w:ind w:right="479"/>
              <w:spacing w:after="0"/>
              <w:rPr>
                <w:sz w:val="20"/>
                <w:szCs w:val="20"/>
                <w:color w:val="auto"/>
              </w:rPr>
            </w:pPr>
            <w:r>
              <w:rPr>
                <w:rFonts w:ascii="Arial" w:cs="Arial" w:eastAsia="Arial" w:hAnsi="Arial"/>
                <w:sz w:val="16"/>
                <w:szCs w:val="16"/>
                <w:color w:val="auto"/>
              </w:rPr>
              <w:t>December 31,</w:t>
            </w:r>
          </w:p>
        </w:tc>
        <w:tc>
          <w:tcPr>
            <w:tcW w:w="100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980" w:type="dxa"/>
            <w:vAlign w:val="bottom"/>
            <w:gridSpan w:val="4"/>
            <w:vMerge w:val="restart"/>
          </w:tcPr>
          <w:p>
            <w:pPr>
              <w:jc w:val="right"/>
              <w:ind w:right="479"/>
              <w:spacing w:after="0"/>
              <w:rPr>
                <w:sz w:val="20"/>
                <w:szCs w:val="20"/>
                <w:color w:val="auto"/>
              </w:rPr>
            </w:pPr>
            <w:r>
              <w:rPr>
                <w:rFonts w:ascii="Arial" w:cs="Arial" w:eastAsia="Arial" w:hAnsi="Arial"/>
                <w:sz w:val="16"/>
                <w:szCs w:val="16"/>
                <w:color w:val="auto"/>
              </w:rPr>
              <w:t>December 31,</w:t>
            </w:r>
          </w:p>
        </w:tc>
        <w:tc>
          <w:tcPr>
            <w:tcW w:w="102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480"/>
              <w:spacing w:after="0" w:line="142" w:lineRule="exact"/>
              <w:rPr>
                <w:sz w:val="20"/>
                <w:szCs w:val="20"/>
                <w:color w:val="auto"/>
              </w:rPr>
            </w:pPr>
            <w:r>
              <w:rPr>
                <w:rFonts w:ascii="Arial" w:cs="Arial" w:eastAsia="Arial" w:hAnsi="Arial"/>
                <w:sz w:val="16"/>
                <w:szCs w:val="16"/>
                <w:color w:val="auto"/>
              </w:rPr>
              <w:t>Increase/</w:t>
            </w:r>
          </w:p>
        </w:tc>
        <w:tc>
          <w:tcPr>
            <w:tcW w:w="18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420"/>
              <w:spacing w:after="0" w:line="142" w:lineRule="exact"/>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6"/>
                <w:szCs w:val="16"/>
                <w:color w:val="auto"/>
              </w:rPr>
              <w:t>(Decrease)</w:t>
            </w:r>
          </w:p>
        </w:tc>
        <w:tc>
          <w:tcPr>
            <w:tcW w:w="180" w:type="dxa"/>
            <w:vAlign w:val="bottom"/>
          </w:tcPr>
          <w:p>
            <w:pPr>
              <w:spacing w:after="0"/>
              <w:rPr>
                <w:sz w:val="18"/>
                <w:szCs w:val="18"/>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0"/>
        </w:trPr>
        <w:tc>
          <w:tcPr>
            <w:tcW w:w="4040" w:type="dxa"/>
            <w:vAlign w:val="bottom"/>
          </w:tcPr>
          <w:p>
            <w:pPr>
              <w:ind w:left="360"/>
              <w:spacing w:after="0"/>
              <w:rPr>
                <w:sz w:val="20"/>
                <w:szCs w:val="20"/>
                <w:color w:val="auto"/>
              </w:rPr>
            </w:pPr>
            <w:r>
              <w:rPr>
                <w:rFonts w:ascii="Arial" w:cs="Arial" w:eastAsia="Arial" w:hAnsi="Arial"/>
                <w:sz w:val="16"/>
                <w:szCs w:val="16"/>
                <w:color w:val="auto"/>
              </w:rPr>
              <w:t>Passengers (thousands)</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14,850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40,306</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(63.2)</w:t>
            </w:r>
          </w:p>
        </w:tc>
        <w:tc>
          <w:tcPr>
            <w:tcW w:w="4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57,761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162,443</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Revenue passenger miles (millions)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17,071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58,633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73,883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239,360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6"/>
                <w:szCs w:val="16"/>
                <w:color w:val="auto"/>
              </w:rPr>
              <w:t>Available seat miles (millions)</w:t>
            </w:r>
          </w:p>
        </w:tc>
        <w:tc>
          <w:tcPr>
            <w:tcW w:w="20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30,691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71,038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(56.8)</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122,804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284,999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(56.9)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Passenger load factor:</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540"/>
              <w:spacing w:after="0"/>
              <w:rPr>
                <w:sz w:val="20"/>
                <w:szCs w:val="20"/>
                <w:color w:val="auto"/>
              </w:rPr>
            </w:pPr>
            <w:r>
              <w:rPr>
                <w:rFonts w:ascii="Arial" w:cs="Arial" w:eastAsia="Arial" w:hAnsi="Arial"/>
                <w:sz w:val="16"/>
                <w:szCs w:val="16"/>
                <w:color w:val="auto"/>
              </w:rPr>
              <w:t>Consolidated</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55.6 %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82.5 %</w:t>
            </w:r>
          </w:p>
        </w:tc>
        <w:tc>
          <w:tcPr>
            <w:tcW w:w="100" w:type="dxa"/>
            <w:vAlign w:val="bottom"/>
          </w:tcPr>
          <w:p>
            <w:pPr>
              <w:spacing w:after="0"/>
              <w:rPr>
                <w:sz w:val="18"/>
                <w:szCs w:val="18"/>
                <w:color w:val="auto"/>
              </w:rPr>
            </w:pPr>
          </w:p>
        </w:tc>
        <w:tc>
          <w:tcPr>
            <w:tcW w:w="1380" w:type="dxa"/>
            <w:vAlign w:val="bottom"/>
            <w:gridSpan w:val="2"/>
          </w:tcPr>
          <w:p>
            <w:pPr>
              <w:ind w:left="460"/>
              <w:spacing w:after="0"/>
              <w:rPr>
                <w:sz w:val="20"/>
                <w:szCs w:val="20"/>
                <w:color w:val="auto"/>
              </w:rPr>
            </w:pPr>
            <w:r>
              <w:rPr>
                <w:rFonts w:ascii="Arial" w:cs="Arial" w:eastAsia="Arial" w:hAnsi="Arial"/>
                <w:sz w:val="16"/>
                <w:szCs w:val="16"/>
                <w:color w:val="auto"/>
              </w:rPr>
              <w:t>(26.9) pts.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84.0 %</w:t>
            </w:r>
          </w:p>
        </w:tc>
        <w:tc>
          <w:tcPr>
            <w:tcW w:w="120" w:type="dxa"/>
            <w:vAlign w:val="bottom"/>
          </w:tcPr>
          <w:p>
            <w:pPr>
              <w:spacing w:after="0"/>
              <w:rPr>
                <w:sz w:val="18"/>
                <w:szCs w:val="18"/>
                <w:color w:val="auto"/>
              </w:rPr>
            </w:pPr>
          </w:p>
        </w:tc>
        <w:tc>
          <w:tcPr>
            <w:tcW w:w="1320" w:type="dxa"/>
            <w:vAlign w:val="bottom"/>
            <w:gridSpan w:val="2"/>
          </w:tcPr>
          <w:p>
            <w:pPr>
              <w:ind w:left="460"/>
              <w:spacing w:after="0"/>
              <w:rPr>
                <w:sz w:val="20"/>
                <w:szCs w:val="20"/>
                <w:color w:val="auto"/>
              </w:rPr>
            </w:pPr>
            <w:r>
              <w:rPr>
                <w:rFonts w:ascii="Arial" w:cs="Arial" w:eastAsia="Arial" w:hAnsi="Arial"/>
                <w:sz w:val="16"/>
                <w:szCs w:val="16"/>
                <w:color w:val="auto"/>
              </w:rPr>
              <w:t>(23.8) pts.</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Domestic</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83.8 %</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(19.0) pts.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85.2 %</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(22.0) pts.</w:t>
            </w:r>
          </w:p>
        </w:tc>
        <w:tc>
          <w:tcPr>
            <w:tcW w:w="0" w:type="dxa"/>
            <w:vAlign w:val="bottom"/>
          </w:tcPr>
          <w:p>
            <w:pPr>
              <w:spacing w:after="0"/>
              <w:rPr>
                <w:sz w:val="1"/>
                <w:szCs w:val="1"/>
                <w:color w:val="auto"/>
              </w:rPr>
            </w:pPr>
          </w:p>
        </w:tc>
      </w:tr>
      <w:tr>
        <w:trPr>
          <w:trHeight w:val="216"/>
        </w:trPr>
        <w:tc>
          <w:tcPr>
            <w:tcW w:w="4040" w:type="dxa"/>
            <w:vAlign w:val="bottom"/>
          </w:tcPr>
          <w:p>
            <w:pPr>
              <w:ind w:left="540"/>
              <w:spacing w:after="0"/>
              <w:rPr>
                <w:sz w:val="20"/>
                <w:szCs w:val="20"/>
                <w:color w:val="auto"/>
              </w:rPr>
            </w:pPr>
            <w:r>
              <w:rPr>
                <w:rFonts w:ascii="Arial" w:cs="Arial" w:eastAsia="Arial" w:hAnsi="Arial"/>
                <w:sz w:val="16"/>
                <w:szCs w:val="16"/>
                <w:color w:val="auto"/>
              </w:rPr>
              <w:t>International</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80.8 %</w:t>
            </w:r>
          </w:p>
        </w:tc>
        <w:tc>
          <w:tcPr>
            <w:tcW w:w="100" w:type="dxa"/>
            <w:vAlign w:val="bottom"/>
          </w:tcPr>
          <w:p>
            <w:pPr>
              <w:spacing w:after="0"/>
              <w:rPr>
                <w:sz w:val="18"/>
                <w:szCs w:val="18"/>
                <w:color w:val="auto"/>
              </w:rPr>
            </w:pPr>
          </w:p>
        </w:tc>
        <w:tc>
          <w:tcPr>
            <w:tcW w:w="1380" w:type="dxa"/>
            <w:vAlign w:val="bottom"/>
            <w:gridSpan w:val="2"/>
          </w:tcPr>
          <w:p>
            <w:pPr>
              <w:ind w:left="460"/>
              <w:spacing w:after="0"/>
              <w:rPr>
                <w:sz w:val="20"/>
                <w:szCs w:val="20"/>
                <w:color w:val="auto"/>
              </w:rPr>
            </w:pPr>
            <w:r>
              <w:rPr>
                <w:rFonts w:ascii="Arial" w:cs="Arial" w:eastAsia="Arial" w:hAnsi="Arial"/>
                <w:sz w:val="16"/>
                <w:szCs w:val="16"/>
                <w:color w:val="auto"/>
              </w:rPr>
              <w:t>(40.4) pts.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82.4 %</w:t>
            </w:r>
          </w:p>
        </w:tc>
        <w:tc>
          <w:tcPr>
            <w:tcW w:w="120" w:type="dxa"/>
            <w:vAlign w:val="bottom"/>
          </w:tcPr>
          <w:p>
            <w:pPr>
              <w:spacing w:after="0"/>
              <w:rPr>
                <w:sz w:val="18"/>
                <w:szCs w:val="18"/>
                <w:color w:val="auto"/>
              </w:rPr>
            </w:pPr>
          </w:p>
        </w:tc>
        <w:tc>
          <w:tcPr>
            <w:tcW w:w="1320" w:type="dxa"/>
            <w:vAlign w:val="bottom"/>
            <w:gridSpan w:val="2"/>
          </w:tcPr>
          <w:p>
            <w:pPr>
              <w:ind w:left="460"/>
              <w:spacing w:after="0"/>
              <w:rPr>
                <w:sz w:val="20"/>
                <w:szCs w:val="20"/>
                <w:color w:val="auto"/>
              </w:rPr>
            </w:pPr>
            <w:r>
              <w:rPr>
                <w:rFonts w:ascii="Arial" w:cs="Arial" w:eastAsia="Arial" w:hAnsi="Arial"/>
                <w:sz w:val="16"/>
                <w:szCs w:val="16"/>
                <w:color w:val="auto"/>
              </w:rPr>
              <w:t>(27.3) pts.</w:t>
            </w:r>
          </w:p>
        </w:tc>
        <w:tc>
          <w:tcPr>
            <w:tcW w:w="0" w:type="dxa"/>
            <w:vAlign w:val="bottom"/>
          </w:tcPr>
          <w:p>
            <w:pPr>
              <w:spacing w:after="0"/>
              <w:rPr>
                <w:sz w:val="1"/>
                <w:szCs w:val="1"/>
                <w:color w:val="auto"/>
              </w:rPr>
            </w:pPr>
          </w:p>
        </w:tc>
      </w:tr>
      <w:tr>
        <w:trPr>
          <w:trHeight w:val="162"/>
        </w:trPr>
        <w:tc>
          <w:tcPr>
            <w:tcW w:w="404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Passenger revenue per available seat mile</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7.85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13.98</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9.61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13.90</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(cents)</w:t>
            </w: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6"/>
                <w:szCs w:val="16"/>
                <w:color w:val="auto"/>
              </w:rPr>
              <w:t>Total revenue per available seat mile (cents)</w:t>
            </w:r>
          </w:p>
        </w:tc>
        <w:tc>
          <w:tcPr>
            <w:tcW w:w="20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11.12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15.33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(27.5)</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15.18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(17.7)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4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Average yield per revenue passenger mile</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14.12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16.94</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15.98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16.55</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(cents)</w:t>
            </w: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6"/>
                <w:szCs w:val="16"/>
                <w:color w:val="auto"/>
              </w:rPr>
              <w:t>Cargo ton miles (millions)</w:t>
            </w:r>
          </w:p>
        </w:tc>
        <w:tc>
          <w:tcPr>
            <w:tcW w:w="20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835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889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(6.1)</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2,711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3,329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(18.6)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Aircraft in fleet at end of period</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1,372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6"/>
                <w:szCs w:val="16"/>
                <w:color w:val="auto"/>
              </w:rPr>
              <w:t>Average stage length (miles)</w:t>
            </w:r>
          </w:p>
        </w:tc>
        <w:tc>
          <w:tcPr>
            <w:tcW w:w="20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1,292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1,446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(10.7)</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1,307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1,460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Employee headcount (in thousands)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95.9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95.9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6"/>
                <w:szCs w:val="16"/>
                <w:color w:val="auto"/>
              </w:rPr>
              <w:t>Average aircraft fuel price per gallon</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2.10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(35.7)</w:t>
            </w:r>
          </w:p>
        </w:tc>
        <w:tc>
          <w:tcPr>
            <w:tcW w:w="4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2.09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Fuel gallons consumed (millions)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1,071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4,292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See Part II, Item 6, Selected Financial Data, of UAL's Annual Report on Form 10-K for the fiscal year ended December 31, 2019, for definitions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these statistics.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1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United Airlines Reports Fourth-Quarter And Full-Year 2020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40"/>
        <w:spacing w:after="0" w:line="262" w:lineRule="auto"/>
        <w:rPr>
          <w:sz w:val="20"/>
          <w:szCs w:val="20"/>
          <w:color w:val="auto"/>
        </w:rPr>
      </w:pPr>
      <w:r>
        <w:rPr>
          <w:rFonts w:ascii="Arial" w:cs="Arial" w:eastAsia="Arial" w:hAnsi="Arial"/>
          <w:sz w:val="16"/>
          <w:szCs w:val="16"/>
          <w:b w:val="1"/>
          <w:bCs w:val="1"/>
          <w:color w:val="auto"/>
        </w:rPr>
        <w:t xml:space="preserve">Cash burn: </w:t>
      </w:r>
      <w:r>
        <w:rPr>
          <w:rFonts w:ascii="Arial" w:cs="Arial" w:eastAsia="Arial" w:hAnsi="Arial"/>
          <w:sz w:val="16"/>
          <w:szCs w:val="16"/>
          <w:color w:val="auto"/>
        </w:rPr>
        <w:t>The company's management views "cash burn" as an important measure in monitoring liquidity in order to assess the company's cash needs</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the impact of certain extraordinary actions or events, and the company believes this provides useful information to investors about the company's liquidity position. In light of the transition to recovery in 2021, the company is now presenting "core cash burn", which the company believes better reflects the core operational performance of the company's business.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6"/>
                <w:szCs w:val="16"/>
                <w:color w:val="auto"/>
              </w:rPr>
              <w:t>Three Months Ended</w:t>
            </w:r>
          </w:p>
        </w:tc>
        <w:tc>
          <w:tcPr>
            <w:tcW w:w="220" w:type="dxa"/>
            <w:vAlign w:val="bottom"/>
          </w:tcPr>
          <w:p>
            <w:pPr>
              <w:spacing w:after="0"/>
              <w:rPr>
                <w:sz w:val="16"/>
                <w:szCs w:val="16"/>
                <w:color w:val="auto"/>
              </w:rPr>
            </w:pPr>
          </w:p>
        </w:tc>
        <w:tc>
          <w:tcPr>
            <w:tcW w:w="2060" w:type="dxa"/>
            <w:vAlign w:val="bottom"/>
            <w:gridSpan w:val="2"/>
          </w:tcPr>
          <w:p>
            <w:pPr>
              <w:ind w:left="100"/>
              <w:spacing w:after="0"/>
              <w:rPr>
                <w:sz w:val="20"/>
                <w:szCs w:val="20"/>
                <w:color w:val="auto"/>
              </w:rPr>
            </w:pPr>
            <w:r>
              <w:rPr>
                <w:rFonts w:ascii="Arial" w:cs="Arial" w:eastAsia="Arial" w:hAnsi="Arial"/>
                <w:sz w:val="16"/>
                <w:szCs w:val="16"/>
                <w:color w:val="auto"/>
              </w:rPr>
              <w:t>Three Months Ended</w:t>
            </w:r>
          </w:p>
        </w:tc>
        <w:tc>
          <w:tcPr>
            <w:tcW w:w="220" w:type="dxa"/>
            <w:vAlign w:val="bottom"/>
          </w:tcPr>
          <w:p>
            <w:pPr>
              <w:spacing w:after="0"/>
              <w:rPr>
                <w:sz w:val="16"/>
                <w:szCs w:val="16"/>
                <w:color w:val="auto"/>
              </w:rPr>
            </w:pPr>
          </w:p>
        </w:tc>
        <w:tc>
          <w:tcPr>
            <w:tcW w:w="1960" w:type="dxa"/>
            <w:vAlign w:val="bottom"/>
          </w:tcPr>
          <w:p>
            <w:pPr>
              <w:jc w:val="right"/>
              <w:ind w:right="259"/>
              <w:spacing w:after="0"/>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6"/>
                <w:szCs w:val="16"/>
                <w:color w:val="auto"/>
              </w:rPr>
              <w:t>June 30, 2020</w:t>
            </w:r>
          </w:p>
        </w:tc>
        <w:tc>
          <w:tcPr>
            <w:tcW w:w="220" w:type="dxa"/>
            <w:vAlign w:val="bottom"/>
          </w:tcPr>
          <w:p>
            <w:pPr>
              <w:spacing w:after="0"/>
              <w:rPr>
                <w:sz w:val="18"/>
                <w:szCs w:val="18"/>
                <w:color w:val="auto"/>
              </w:rPr>
            </w:pPr>
          </w:p>
        </w:tc>
        <w:tc>
          <w:tcPr>
            <w:tcW w:w="2060" w:type="dxa"/>
            <w:vAlign w:val="bottom"/>
            <w:gridSpan w:val="2"/>
          </w:tcPr>
          <w:p>
            <w:pPr>
              <w:ind w:left="140"/>
              <w:spacing w:after="0"/>
              <w:rPr>
                <w:sz w:val="20"/>
                <w:szCs w:val="20"/>
                <w:color w:val="auto"/>
              </w:rPr>
            </w:pPr>
            <w:r>
              <w:rPr>
                <w:rFonts w:ascii="Arial" w:cs="Arial" w:eastAsia="Arial" w:hAnsi="Arial"/>
                <w:sz w:val="16"/>
                <w:szCs w:val="16"/>
                <w:color w:val="auto"/>
              </w:rPr>
              <w:t>September 30, 2020</w:t>
            </w:r>
          </w:p>
        </w:tc>
        <w:tc>
          <w:tcPr>
            <w:tcW w:w="220" w:type="dxa"/>
            <w:vAlign w:val="bottom"/>
          </w:tcPr>
          <w:p>
            <w:pPr>
              <w:spacing w:after="0"/>
              <w:rPr>
                <w:sz w:val="18"/>
                <w:szCs w:val="18"/>
                <w:color w:val="auto"/>
              </w:rPr>
            </w:pPr>
          </w:p>
        </w:tc>
        <w:tc>
          <w:tcPr>
            <w:tcW w:w="1960" w:type="dxa"/>
            <w:vAlign w:val="bottom"/>
          </w:tcPr>
          <w:p>
            <w:pPr>
              <w:jc w:val="right"/>
              <w:ind w:right="299"/>
              <w:spacing w:after="0"/>
              <w:rPr>
                <w:sz w:val="20"/>
                <w:szCs w:val="20"/>
                <w:color w:val="auto"/>
              </w:rPr>
            </w:pPr>
            <w:r>
              <w:rPr>
                <w:rFonts w:ascii="Arial" w:cs="Arial" w:eastAsia="Arial" w:hAnsi="Arial"/>
                <w:sz w:val="16"/>
                <w:szCs w:val="16"/>
                <w:color w:val="auto"/>
              </w:rPr>
              <w:t>December 31, 2020</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by operating activities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(2,137)</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6"/>
                <w:szCs w:val="16"/>
                <w:color w:val="auto"/>
              </w:rPr>
              <w:t>Cash flows provided by investing activities</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812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provided by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3,064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6,786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(1,656)</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6"/>
                <w:szCs w:val="16"/>
                <w:color w:val="auto"/>
              </w:rPr>
              <w:t>Adjusted to remove:</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CARES Act Payroll Support Program ("PSP") grant</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6"/>
                <w:szCs w:val="16"/>
                <w:color w:val="auto"/>
              </w:rPr>
              <w:t>PSP Note</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 issuances</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6"/>
                <w:szCs w:val="16"/>
                <w:color w:val="auto"/>
              </w:rPr>
              <w:t>Net proceeds from sale of short-term and other investments</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Secured debt (net of discount and fees)</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6"/>
                <w:szCs w:val="16"/>
                <w:color w:val="auto"/>
              </w:rPr>
              <w:t>Increase in certain restricted cash balances</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CARES Act secured loan</w:t>
            </w: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adjustments</w:t>
            </w:r>
          </w:p>
        </w:tc>
        <w:tc>
          <w:tcPr>
            <w:tcW w:w="22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6,687</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9,040</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1,366</w:t>
            </w:r>
          </w:p>
        </w:tc>
        <w:tc>
          <w:tcPr>
            <w:tcW w:w="0" w:type="dxa"/>
            <w:vAlign w:val="bottom"/>
          </w:tcPr>
          <w:p>
            <w:pPr>
              <w:spacing w:after="0"/>
              <w:rPr>
                <w:sz w:val="1"/>
                <w:szCs w:val="1"/>
                <w:color w:val="auto"/>
              </w:rPr>
            </w:pPr>
          </w:p>
        </w:tc>
      </w:tr>
      <w:tr>
        <w:trPr>
          <w:trHeight w:val="234"/>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Cash Burn</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Days in the period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35"/>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daily cash burn</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Further adjusted to remove: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Debt principal and severance payments (a)</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6"/>
                <w:szCs w:val="16"/>
                <w:color w:val="auto"/>
              </w:rPr>
              <w:t>Timing of certain payments</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62"/>
        </w:trPr>
        <w:tc>
          <w:tcPr>
            <w:tcW w:w="45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Capital expenditures, net of flight equipment purchase</w:t>
            </w:r>
          </w:p>
        </w:tc>
        <w:tc>
          <w:tcPr>
            <w:tcW w:w="220" w:type="dxa"/>
            <w:vAlign w:val="bottom"/>
            <w:shd w:val="clear" w:color="auto" w:fill="CCEEFF"/>
          </w:tcPr>
          <w:p>
            <w:pPr>
              <w:spacing w:after="0"/>
              <w:rPr>
                <w:sz w:val="14"/>
                <w:szCs w:val="14"/>
                <w:color w:val="auto"/>
              </w:rPr>
            </w:pPr>
          </w:p>
        </w:tc>
        <w:tc>
          <w:tcPr>
            <w:tcW w:w="1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deposit returns</w:t>
            </w:r>
          </w:p>
        </w:tc>
        <w:tc>
          <w:tcPr>
            <w:tcW w:w="220" w:type="dxa"/>
            <w:vAlign w:val="bottom"/>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6"/>
                <w:szCs w:val="16"/>
                <w:color w:val="auto"/>
              </w:rPr>
              <w:t>Investments in the recovery</w:t>
            </w:r>
          </w:p>
        </w:tc>
        <w:tc>
          <w:tcPr>
            <w:tcW w:w="220" w:type="dxa"/>
            <w:vAlign w:val="bottom"/>
          </w:tcPr>
          <w:p>
            <w:pPr>
              <w:spacing w:after="0"/>
              <w:rPr>
                <w:sz w:val="18"/>
                <w:szCs w:val="18"/>
                <w:color w:val="auto"/>
              </w:rPr>
            </w:pPr>
          </w:p>
        </w:tc>
        <w:tc>
          <w:tcPr>
            <w:tcW w:w="2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additional adjustments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10"/>
        </w:trPr>
        <w:tc>
          <w:tcPr>
            <w:tcW w:w="4500" w:type="dxa"/>
            <w:vAlign w:val="bottom"/>
          </w:tcPr>
          <w:p>
            <w:pPr>
              <w:ind w:left="20"/>
              <w:spacing w:after="0"/>
              <w:rPr>
                <w:sz w:val="20"/>
                <w:szCs w:val="20"/>
                <w:color w:val="auto"/>
              </w:rPr>
            </w:pPr>
            <w:r>
              <w:rPr>
                <w:rFonts w:ascii="Arial" w:cs="Arial" w:eastAsia="Arial" w:hAnsi="Arial"/>
                <w:sz w:val="16"/>
                <w:szCs w:val="16"/>
                <w:color w:val="auto"/>
              </w:rPr>
              <w:t>Core cash burn</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(1,712)</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Days in the period</w:t>
            </w:r>
          </w:p>
        </w:tc>
        <w:tc>
          <w:tcPr>
            <w:tcW w:w="2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0"/>
        </w:trPr>
        <w:tc>
          <w:tcPr>
            <w:tcW w:w="4500" w:type="dxa"/>
            <w:vAlign w:val="bottom"/>
          </w:tcPr>
          <w:p>
            <w:pPr>
              <w:ind w:left="20"/>
              <w:spacing w:after="0"/>
              <w:rPr>
                <w:sz w:val="20"/>
                <w:szCs w:val="20"/>
                <w:color w:val="auto"/>
              </w:rPr>
            </w:pPr>
            <w:r>
              <w:rPr>
                <w:rFonts w:ascii="Arial" w:cs="Arial" w:eastAsia="Arial" w:hAnsi="Arial"/>
                <w:sz w:val="16"/>
                <w:szCs w:val="16"/>
                <w:color w:val="auto"/>
              </w:rPr>
              <w:t>Average daily core cash burn</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 Fourth quarter amounts include interest payments on extinguished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42773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1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United Airlines Reports Fourth-Quarter And Full-Year 2020 Results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NON-GAAP FINANCIAL RECONCILIATION</w:t>
      </w:r>
    </w:p>
    <w:p>
      <w:pPr>
        <w:spacing w:after="0" w:line="174"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UAL evaluates its financial performance utilizing various accounting principles generally accepted in the United States of America (GAAP) and Non-GAAP financial measures, including adjusted earnings before interest, taxes, depreciation and amortization (adjusted EBITDA), adjusted operating income (loss), adjusted operating margin, adjusted pre-tax income (loss), adjusted pre-tax margin, adjusted net income (loss), adjusted diluted earnings (loss) per share and CASM, excluding special charges, third-party business expenses, fuel, and profit sharing, among others. UAL believes that adjusting for special charges and for nonoperating credit losses and nonoperating special termination benefits and settlement losses is useful to investors because these items are not indicative of UAL's ongoing performance. UAL believes that adjusting for unrealized (gains) losses on investments, net is useful to investors because those unrealized gains or losses may not ultimately be realized on a cash basis. UAL believes that adjusting for interest expense related to finance leases of Embraer ERJ 145 aircraft is useful to investors because of the accelerated recognition of interest expense.</w:t>
      </w:r>
    </w:p>
    <w:p>
      <w:pPr>
        <w:spacing w:after="0" w:line="210"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CASM is a common metric used in the airline industry to measure an airline's cost structure and efficiency. UAL reports CASM excluding special charges, third-party business expenses, fuel and profit sharing. UAL believes that adjusting for special charges is useful to investors because special charges are not indicative of UAL's ongoing performance. UAL also believes that excluding third-party business expenses, such as maintenance, ground handling and catering services for third parties, provides more meaningful disclosure because these expenses are not directly related to UAL's core business. UAL also believes that excluding fuel costs from certain measures is useful to investors because it provides an additional measure of management's performance excluding the effects of a significant cost item over which management has limited influence. UAL excludes profit sharing because this exclusion allows investors to better understand and analyze our operating cost performance and provides a more meaningful comparison of our core operating costs to the airline industry.</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Reconciliations of reported non-GAAP financial measures to the most directly comparable GAAP financial measures are included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2140" w:type="dxa"/>
            <w:vAlign w:val="bottom"/>
            <w:gridSpan w:val="4"/>
          </w:tcPr>
          <w:p>
            <w:pPr>
              <w:jc w:val="right"/>
              <w:ind w:right="239"/>
              <w:spacing w:after="0"/>
              <w:rPr>
                <w:sz w:val="20"/>
                <w:szCs w:val="20"/>
                <w:color w:val="auto"/>
              </w:rPr>
            </w:pPr>
            <w:r>
              <w:rPr>
                <w:rFonts w:ascii="Arial" w:cs="Arial" w:eastAsia="Arial" w:hAnsi="Arial"/>
                <w:sz w:val="16"/>
                <w:szCs w:val="16"/>
                <w:color w:val="auto"/>
              </w:rPr>
              <w:t>Three Months Ended</w:t>
            </w:r>
          </w:p>
        </w:tc>
        <w:tc>
          <w:tcPr>
            <w:tcW w:w="104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7"/>
          </w:tcPr>
          <w:p>
            <w:pPr>
              <w:jc w:val="center"/>
              <w:ind w:right="600"/>
              <w:spacing w:after="0"/>
              <w:rPr>
                <w:sz w:val="20"/>
                <w:szCs w:val="20"/>
                <w:color w:val="auto"/>
              </w:rPr>
            </w:pPr>
            <w:r>
              <w:rPr>
                <w:rFonts w:ascii="Arial" w:cs="Arial" w:eastAsia="Arial" w:hAnsi="Arial"/>
                <w:sz w:val="16"/>
                <w:szCs w:val="16"/>
                <w:color w:val="auto"/>
                <w:w w:val="99"/>
              </w:rPr>
              <w:t>Year Ended</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5040" w:type="dxa"/>
            <w:vAlign w:val="bottom"/>
          </w:tcPr>
          <w:p>
            <w:pPr>
              <w:spacing w:after="0"/>
              <w:rPr>
                <w:sz w:val="8"/>
                <w:szCs w:val="8"/>
                <w:color w:val="auto"/>
              </w:rPr>
            </w:pPr>
          </w:p>
        </w:tc>
        <w:tc>
          <w:tcPr>
            <w:tcW w:w="2140" w:type="dxa"/>
            <w:vAlign w:val="bottom"/>
            <w:gridSpan w:val="4"/>
            <w:vMerge w:val="restart"/>
          </w:tcPr>
          <w:p>
            <w:pPr>
              <w:ind w:left="560"/>
              <w:spacing w:after="0"/>
              <w:rPr>
                <w:sz w:val="20"/>
                <w:szCs w:val="20"/>
                <w:color w:val="auto"/>
              </w:rPr>
            </w:pPr>
            <w:r>
              <w:rPr>
                <w:rFonts w:ascii="Arial" w:cs="Arial" w:eastAsia="Arial" w:hAnsi="Arial"/>
                <w:sz w:val="16"/>
                <w:szCs w:val="16"/>
                <w:color w:val="auto"/>
              </w:rPr>
              <w:t>December 31,</w:t>
            </w:r>
          </w:p>
        </w:tc>
        <w:tc>
          <w:tcPr>
            <w:tcW w:w="10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20" w:type="dxa"/>
            <w:vAlign w:val="bottom"/>
            <w:gridSpan w:val="6"/>
            <w:vMerge w:val="restart"/>
          </w:tcPr>
          <w:p>
            <w:pPr>
              <w:jc w:val="center"/>
              <w:ind w:right="179"/>
              <w:spacing w:after="0"/>
              <w:rPr>
                <w:sz w:val="20"/>
                <w:szCs w:val="20"/>
                <w:color w:val="auto"/>
              </w:rPr>
            </w:pPr>
            <w:r>
              <w:rPr>
                <w:rFonts w:ascii="Arial" w:cs="Arial" w:eastAsia="Arial" w:hAnsi="Arial"/>
                <w:sz w:val="16"/>
                <w:szCs w:val="16"/>
                <w:color w:val="auto"/>
              </w:rPr>
              <w:t>December 31,</w:t>
            </w:r>
          </w:p>
        </w:tc>
        <w:tc>
          <w:tcPr>
            <w:tcW w:w="160" w:type="dxa"/>
            <w:vAlign w:val="bottom"/>
            <w:gridSpan w:val="2"/>
            <w:vMerge w:val="restart"/>
          </w:tcPr>
          <w:p>
            <w:pPr>
              <w:spacing w:after="0"/>
              <w:rPr>
                <w:sz w:val="8"/>
                <w:szCs w:val="8"/>
                <w:color w:val="auto"/>
              </w:rPr>
            </w:pPr>
          </w:p>
        </w:tc>
        <w:tc>
          <w:tcPr>
            <w:tcW w:w="9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040" w:type="dxa"/>
            <w:vAlign w:val="bottom"/>
          </w:tcPr>
          <w:p>
            <w:pPr>
              <w:spacing w:after="0"/>
              <w:rPr>
                <w:sz w:val="10"/>
                <w:szCs w:val="10"/>
                <w:color w:val="auto"/>
              </w:rPr>
            </w:pPr>
          </w:p>
        </w:tc>
        <w:tc>
          <w:tcPr>
            <w:tcW w:w="214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center"/>
              <w:spacing w:after="0" w:line="162" w:lineRule="exact"/>
              <w:rPr>
                <w:sz w:val="20"/>
                <w:szCs w:val="20"/>
                <w:color w:val="auto"/>
              </w:rPr>
            </w:pPr>
            <w:r>
              <w:rPr>
                <w:rFonts w:ascii="Arial" w:cs="Arial" w:eastAsia="Arial" w:hAnsi="Arial"/>
                <w:sz w:val="16"/>
                <w:szCs w:val="16"/>
                <w:color w:val="auto"/>
              </w:rPr>
              <w:t>Increase/</w:t>
            </w:r>
          </w:p>
        </w:tc>
        <w:tc>
          <w:tcPr>
            <w:tcW w:w="1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6"/>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960" w:type="dxa"/>
            <w:vAlign w:val="bottom"/>
            <w:gridSpan w:val="2"/>
            <w:vMerge w:val="restart"/>
          </w:tcPr>
          <w:p>
            <w:pPr>
              <w:jc w:val="center"/>
              <w:ind w:right="120"/>
              <w:spacing w:after="0" w:line="162" w:lineRule="exact"/>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20" w:type="dxa"/>
            <w:vAlign w:val="bottom"/>
            <w:vMerge w:val="restart"/>
          </w:tcPr>
          <w:p>
            <w:pPr>
              <w:jc w:val="right"/>
              <w:ind w:right="25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line="20" w:lineRule="exact"/>
              <w:rPr>
                <w:sz w:val="1"/>
                <w:szCs w:val="1"/>
                <w:color w:val="auto"/>
              </w:rPr>
            </w:pPr>
          </w:p>
        </w:tc>
        <w:tc>
          <w:tcPr>
            <w:tcW w:w="1020" w:type="dxa"/>
            <w:vAlign w:val="bottom"/>
            <w:gridSpan w:val="2"/>
            <w:vMerge w:val="restart"/>
          </w:tcPr>
          <w:p>
            <w:pPr>
              <w:jc w:val="right"/>
              <w:ind w:right="23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900" w:type="dxa"/>
            <w:vAlign w:val="bottom"/>
            <w:gridSpan w:val="5"/>
            <w:vMerge w:val="restart"/>
          </w:tcPr>
          <w:p>
            <w:pPr>
              <w:jc w:val="right"/>
              <w:ind w:right="13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(Decrease)</w:t>
            </w:r>
          </w:p>
        </w:tc>
        <w:tc>
          <w:tcPr>
            <w:tcW w:w="90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CASM (cents)</w:t>
            </w: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6"/>
                <w:szCs w:val="16"/>
                <w:color w:val="auto"/>
              </w:rPr>
              <w:t>Cost per available seat mile (CASM) (GAAP)</w:t>
            </w:r>
          </w:p>
        </w:tc>
        <w:tc>
          <w:tcPr>
            <w:tcW w:w="1020" w:type="dxa"/>
            <w:vAlign w:val="bottom"/>
          </w:tcPr>
          <w:p>
            <w:pPr>
              <w:jc w:val="right"/>
              <w:spacing w:after="0"/>
              <w:rPr>
                <w:sz w:val="20"/>
                <w:szCs w:val="20"/>
                <w:color w:val="auto"/>
              </w:rPr>
            </w:pPr>
            <w:r>
              <w:rPr>
                <w:rFonts w:ascii="Arial" w:cs="Arial" w:eastAsia="Arial" w:hAnsi="Arial"/>
                <w:sz w:val="16"/>
                <w:szCs w:val="16"/>
                <w:color w:val="auto"/>
              </w:rPr>
              <w:t>18.07</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14.11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17.68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ind w:left="500"/>
              <w:spacing w:after="0"/>
              <w:rPr>
                <w:sz w:val="20"/>
                <w:szCs w:val="20"/>
                <w:color w:val="auto"/>
              </w:rPr>
            </w:pPr>
            <w:r>
              <w:rPr>
                <w:rFonts w:ascii="Arial" w:cs="Arial" w:eastAsia="Arial" w:hAnsi="Arial"/>
                <w:sz w:val="16"/>
                <w:szCs w:val="16"/>
                <w:color w:val="auto"/>
              </w:rPr>
              <w:t>29.3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Special charges</w:t>
            </w:r>
          </w:p>
        </w:tc>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(0.49)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6"/>
                <w:szCs w:val="16"/>
                <w:color w:val="auto"/>
              </w:rPr>
              <w:t>Third-party business expenses</w:t>
            </w:r>
          </w:p>
        </w:tc>
        <w:tc>
          <w:tcPr>
            <w:tcW w:w="102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ind w:left="500"/>
              <w:spacing w:after="0"/>
              <w:rPr>
                <w:sz w:val="20"/>
                <w:szCs w:val="20"/>
                <w:color w:val="auto"/>
              </w:rPr>
            </w:pPr>
            <w:r>
              <w:rPr>
                <w:rFonts w:ascii="Arial" w:cs="Arial" w:eastAsia="Arial" w:hAnsi="Arial"/>
                <w:sz w:val="16"/>
                <w:szCs w:val="16"/>
                <w:color w:val="auto"/>
              </w:rPr>
              <w:t>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Fuel expense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6"/>
                <w:szCs w:val="16"/>
                <w:color w:val="auto"/>
              </w:rPr>
              <w:t>Profit sharing</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0.17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ind w:right="3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0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CASM, excluding special charges, third-party business expenses,</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4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vMerge w:val="restart"/>
            <w:shd w:val="clear" w:color="auto" w:fill="CCEEFF"/>
          </w:tcPr>
          <w:p>
            <w:pPr>
              <w:ind w:left="500"/>
              <w:spacing w:after="0"/>
              <w:rPr>
                <w:sz w:val="20"/>
                <w:szCs w:val="20"/>
                <w:color w:val="auto"/>
              </w:rPr>
            </w:pPr>
            <w:r>
              <w:rPr>
                <w:rFonts w:ascii="Arial" w:cs="Arial" w:eastAsia="Arial" w:hAnsi="Arial"/>
                <w:sz w:val="16"/>
                <w:szCs w:val="16"/>
                <w:color w:val="auto"/>
              </w:rPr>
              <w:t>67.8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fuel, and profit sharing (Non-GAAP)</w:t>
            </w: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gridSpan w:val="2"/>
            <w:vMerge w:val="continue"/>
            <w:shd w:val="clear" w:color="auto" w:fill="CCEEFF"/>
          </w:tcPr>
          <w:p>
            <w:pPr>
              <w:spacing w:after="0"/>
              <w:rPr>
                <w:sz w:val="18"/>
                <w:szCs w:val="18"/>
                <w:color w:val="auto"/>
              </w:rPr>
            </w:pPr>
          </w:p>
        </w:tc>
        <w:tc>
          <w:tcPr>
            <w:tcW w:w="104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3"/>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vMerge w:val="continue"/>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NM Not Meaningful</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50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Adjusted EBITDA</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6"/>
          </w:tcPr>
          <w:p>
            <w:pPr>
              <w:jc w:val="center"/>
              <w:ind w:right="160"/>
              <w:spacing w:after="0"/>
              <w:rPr>
                <w:sz w:val="20"/>
                <w:szCs w:val="20"/>
                <w:color w:val="auto"/>
              </w:rPr>
            </w:pPr>
            <w:r>
              <w:rPr>
                <w:rFonts w:ascii="Arial" w:cs="Arial" w:eastAsia="Arial" w:hAnsi="Arial"/>
                <w:sz w:val="16"/>
                <w:szCs w:val="16"/>
                <w:color w:val="auto"/>
                <w:w w:val="99"/>
              </w:rPr>
              <w:t>Year Ended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vMerge w:val="continue"/>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color w:val="auto"/>
              </w:rPr>
              <w:t>December 31,</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39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2019</w:t>
            </w:r>
          </w:p>
        </w:tc>
        <w:tc>
          <w:tcPr>
            <w:tcW w:w="9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420" w:type="dxa"/>
            <w:vAlign w:val="bottom"/>
            <w:gridSpan w:val="4"/>
          </w:tcPr>
          <w:p>
            <w:pPr>
              <w:jc w:val="right"/>
              <w:spacing w:after="0"/>
              <w:rPr>
                <w:sz w:val="20"/>
                <w:szCs w:val="20"/>
                <w:color w:val="auto"/>
              </w:rPr>
            </w:pPr>
            <w:r>
              <w:rPr>
                <w:rFonts w:ascii="Arial" w:cs="Arial" w:eastAsia="Arial" w:hAnsi="Arial"/>
                <w:sz w:val="16"/>
                <w:szCs w:val="16"/>
                <w:color w:val="auto"/>
              </w:rPr>
              <w:t>(7,069)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Adjusted for:</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20" w:type="dxa"/>
            <w:vAlign w:val="bottom"/>
            <w:gridSpan w:val="4"/>
          </w:tcPr>
          <w:p>
            <w:pPr>
              <w:jc w:val="right"/>
              <w:spacing w:after="0"/>
              <w:rPr>
                <w:sz w:val="20"/>
                <w:szCs w:val="20"/>
                <w:color w:val="auto"/>
              </w:rPr>
            </w:pPr>
            <w:r>
              <w:rPr>
                <w:rFonts w:ascii="Arial" w:cs="Arial" w:eastAsia="Arial" w:hAnsi="Arial"/>
                <w:sz w:val="16"/>
                <w:szCs w:val="16"/>
                <w:color w:val="auto"/>
              </w:rPr>
              <w:t>2,488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2,288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Interest expense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20"/>
              <w:spacing w:after="0"/>
              <w:rPr>
                <w:sz w:val="20"/>
                <w:szCs w:val="20"/>
                <w:color w:val="auto"/>
              </w:rPr>
            </w:pPr>
            <w:r>
              <w:rPr>
                <w:rFonts w:ascii="Arial" w:cs="Arial" w:eastAsia="Arial" w:hAnsi="Arial"/>
                <w:sz w:val="16"/>
                <w:szCs w:val="16"/>
                <w:color w:val="auto"/>
              </w:rPr>
              <w:t>Interest capitalized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ind w:left="520"/>
              <w:spacing w:after="0"/>
              <w:rPr>
                <w:sz w:val="20"/>
                <w:szCs w:val="20"/>
                <w:color w:val="auto"/>
              </w:rPr>
            </w:pPr>
            <w:r>
              <w:rPr>
                <w:rFonts w:ascii="Arial" w:cs="Arial" w:eastAsia="Arial" w:hAnsi="Arial"/>
                <w:sz w:val="16"/>
                <w:szCs w:val="16"/>
                <w:color w:val="auto"/>
              </w:rPr>
              <w:t>(85)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Interest income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20"/>
              <w:spacing w:after="0"/>
              <w:rPr>
                <w:sz w:val="20"/>
                <w:szCs w:val="20"/>
                <w:color w:val="auto"/>
              </w:rPr>
            </w:pPr>
            <w:r>
              <w:rPr>
                <w:rFonts w:ascii="Arial" w:cs="Arial" w:eastAsia="Arial" w:hAnsi="Arial"/>
                <w:sz w:val="16"/>
                <w:szCs w:val="16"/>
                <w:color w:val="auto"/>
              </w:rPr>
              <w:t>Income tax expense (benefit)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20" w:type="dxa"/>
            <w:vAlign w:val="bottom"/>
            <w:gridSpan w:val="4"/>
          </w:tcPr>
          <w:p>
            <w:pPr>
              <w:jc w:val="right"/>
              <w:spacing w:after="0"/>
              <w:rPr>
                <w:sz w:val="20"/>
                <w:szCs w:val="20"/>
                <w:color w:val="auto"/>
              </w:rPr>
            </w:pPr>
            <w:r>
              <w:rPr>
                <w:rFonts w:ascii="Arial" w:cs="Arial" w:eastAsia="Arial" w:hAnsi="Arial"/>
                <w:sz w:val="16"/>
                <w:szCs w:val="16"/>
                <w:color w:val="auto"/>
              </w:rPr>
              <w:t>(1,753)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905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3"/>
            <w:shd w:val="clear" w:color="auto" w:fill="CCEEFF"/>
          </w:tcPr>
          <w:p>
            <w:pPr>
              <w:ind w:left="420"/>
              <w:spacing w:after="0"/>
              <w:rPr>
                <w:sz w:val="20"/>
                <w:szCs w:val="20"/>
                <w:color w:val="auto"/>
              </w:rPr>
            </w:pPr>
            <w:r>
              <w:rPr>
                <w:rFonts w:ascii="Arial" w:cs="Arial" w:eastAsia="Arial" w:hAnsi="Arial"/>
                <w:sz w:val="16"/>
                <w:szCs w:val="16"/>
                <w:color w:val="auto"/>
              </w:rPr>
              <w:t>Special charges (credit) and unrealized (gains) losses on investments, net</w:t>
            </w:r>
          </w:p>
        </w:tc>
        <w:tc>
          <w:tcPr>
            <w:tcW w:w="2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93</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160" w:type="dxa"/>
            <w:vAlign w:val="bottom"/>
            <w:gridSpan w:val="3"/>
          </w:tcPr>
          <w:p>
            <w:pPr>
              <w:ind w:left="180"/>
              <w:spacing w:after="0" w:line="142" w:lineRule="exact"/>
              <w:rPr>
                <w:sz w:val="20"/>
                <w:szCs w:val="20"/>
                <w:color w:val="auto"/>
              </w:rPr>
            </w:pPr>
            <w:r>
              <w:rPr>
                <w:rFonts w:ascii="Arial" w:cs="Arial" w:eastAsia="Arial" w:hAnsi="Arial"/>
                <w:sz w:val="16"/>
                <w:szCs w:val="16"/>
                <w:color w:val="auto"/>
              </w:rPr>
              <w:t>Adjusted EBITDA, excluding special charges and unrealized (gains) losses on</w:t>
            </w:r>
          </w:p>
        </w:tc>
        <w:tc>
          <w:tcPr>
            <w:tcW w:w="1020" w:type="dxa"/>
            <w:vAlign w:val="bottom"/>
            <w:gridSpan w:val="2"/>
            <w:vMerge w:val="restart"/>
          </w:tcPr>
          <w:p>
            <w:pPr>
              <w:jc w:val="right"/>
              <w:ind w:right="579"/>
              <w:spacing w:after="0"/>
              <w:rPr>
                <w:sz w:val="20"/>
                <w:szCs w:val="20"/>
                <w:color w:val="auto"/>
              </w:rPr>
            </w:pPr>
            <w:r>
              <w:rPr>
                <w:rFonts w:ascii="Arial" w:cs="Arial" w:eastAsia="Arial" w:hAnsi="Arial"/>
                <w:sz w:val="16"/>
                <w:szCs w:val="16"/>
                <w:color w:val="auto"/>
              </w:rPr>
              <w:t>$</w:t>
            </w:r>
          </w:p>
        </w:tc>
        <w:tc>
          <w:tcPr>
            <w:tcW w:w="1420" w:type="dxa"/>
            <w:vAlign w:val="bottom"/>
            <w:gridSpan w:val="4"/>
            <w:vMerge w:val="restart"/>
          </w:tcPr>
          <w:p>
            <w:pPr>
              <w:jc w:val="right"/>
              <w:spacing w:after="0"/>
              <w:rPr>
                <w:sz w:val="20"/>
                <w:szCs w:val="20"/>
                <w:color w:val="auto"/>
              </w:rPr>
            </w:pPr>
            <w:r>
              <w:rPr>
                <w:rFonts w:ascii="Arial" w:cs="Arial" w:eastAsia="Arial" w:hAnsi="Arial"/>
                <w:sz w:val="16"/>
                <w:szCs w:val="16"/>
                <w:color w:val="auto"/>
              </w:rPr>
              <w:t>(6,430)</w:t>
            </w:r>
          </w:p>
        </w:tc>
        <w:tc>
          <w:tcPr>
            <w:tcW w:w="520" w:type="dxa"/>
            <w:vAlign w:val="bottom"/>
            <w:gridSpan w:val="3"/>
            <w:vMerge w:val="restart"/>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color w:val="auto"/>
              </w:rPr>
              <w:t>6,808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180"/>
              <w:spacing w:after="0"/>
              <w:rPr>
                <w:sz w:val="20"/>
                <w:szCs w:val="20"/>
                <w:color w:val="auto"/>
              </w:rPr>
            </w:pPr>
            <w:r>
              <w:rPr>
                <w:rFonts w:ascii="Arial" w:cs="Arial" w:eastAsia="Arial" w:hAnsi="Arial"/>
                <w:sz w:val="16"/>
                <w:szCs w:val="16"/>
                <w:color w:val="auto"/>
              </w:rPr>
              <w:t>investments, net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20" w:type="dxa"/>
            <w:vAlign w:val="bottom"/>
            <w:gridSpan w:val="4"/>
            <w:vMerge w:val="continue"/>
          </w:tcPr>
          <w:p>
            <w:pPr>
              <w:spacing w:after="0"/>
              <w:rPr>
                <w:sz w:val="16"/>
                <w:szCs w:val="16"/>
                <w:color w:val="auto"/>
              </w:rPr>
            </w:pPr>
          </w:p>
        </w:tc>
        <w:tc>
          <w:tcPr>
            <w:tcW w:w="5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Adjusted EBITDA margin</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4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15"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United Airlines Reports Fourth-Quarter And Full-Year 2020 Results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UNITED AIRLINES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NON-GAAP FINANCIAL RECONCILIATION (Continued)</w:t>
      </w:r>
    </w:p>
    <w:p>
      <w:pPr>
        <w:spacing w:after="0" w:line="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UAL believes that adjusting capital expenditures for assets acquired through the issuance of debt, finance leases and other financial liabilities is useful to investors in order to appropriately reflect the total amounts spent on capital expenditures. UAL also believes that adjusting net cash provided by (used in) operating activities for capital expenditures, adjusted capital expenditures, and aircraft operating lease additions is useful to allow investors to evaluate the company's ability to generate cash that is available for debt service or general corporate initiatives.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5"/>
          </w:tcPr>
          <w:p>
            <w:pPr>
              <w:jc w:val="center"/>
              <w:ind w:right="420"/>
              <w:spacing w:after="0"/>
              <w:rPr>
                <w:sz w:val="20"/>
                <w:szCs w:val="20"/>
                <w:color w:val="auto"/>
              </w:rPr>
            </w:pPr>
            <w:r>
              <w:rPr>
                <w:rFonts w:ascii="Arial" w:cs="Arial" w:eastAsia="Arial" w:hAnsi="Arial"/>
                <w:sz w:val="16"/>
                <w:szCs w:val="16"/>
                <w:color w:val="auto"/>
              </w:rPr>
              <w:t>Three Months Ended</w:t>
            </w:r>
          </w:p>
        </w:tc>
        <w:tc>
          <w:tcPr>
            <w:tcW w:w="22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Year Ended</w:t>
            </w:r>
          </w:p>
        </w:tc>
        <w:tc>
          <w:tcPr>
            <w:tcW w:w="680" w:type="dxa"/>
            <w:vAlign w:val="bottom"/>
          </w:tcPr>
          <w:p>
            <w:pPr>
              <w:spacing w:after="0"/>
              <w:rPr>
                <w:sz w:val="16"/>
                <w:szCs w:val="16"/>
                <w:color w:val="auto"/>
              </w:rPr>
            </w:pPr>
          </w:p>
        </w:tc>
      </w:tr>
      <w:tr>
        <w:trPr>
          <w:trHeight w:val="216"/>
        </w:trPr>
        <w:tc>
          <w:tcPr>
            <w:tcW w:w="6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5"/>
          </w:tcPr>
          <w:p>
            <w:pPr>
              <w:jc w:val="center"/>
              <w:ind w:right="420"/>
              <w:spacing w:after="0"/>
              <w:rPr>
                <w:sz w:val="20"/>
                <w:szCs w:val="20"/>
                <w:color w:val="auto"/>
              </w:rPr>
            </w:pPr>
            <w:r>
              <w:rPr>
                <w:rFonts w:ascii="Arial" w:cs="Arial" w:eastAsia="Arial" w:hAnsi="Arial"/>
                <w:sz w:val="16"/>
                <w:szCs w:val="16"/>
                <w:color w:val="auto"/>
              </w:rPr>
              <w:t>December 31,</w:t>
            </w:r>
          </w:p>
        </w:tc>
        <w:tc>
          <w:tcPr>
            <w:tcW w:w="220" w:type="dxa"/>
            <w:vAlign w:val="bottom"/>
          </w:tcPr>
          <w:p>
            <w:pPr>
              <w:spacing w:after="0"/>
              <w:rPr>
                <w:sz w:val="18"/>
                <w:szCs w:val="18"/>
                <w:color w:val="auto"/>
              </w:rPr>
            </w:pPr>
          </w:p>
        </w:tc>
        <w:tc>
          <w:tcPr>
            <w:tcW w:w="1960" w:type="dxa"/>
            <w:vAlign w:val="bottom"/>
            <w:gridSpan w:val="4"/>
          </w:tcPr>
          <w:p>
            <w:pPr>
              <w:jc w:val="right"/>
              <w:ind w:right="499"/>
              <w:spacing w:after="0"/>
              <w:rPr>
                <w:sz w:val="20"/>
                <w:szCs w:val="20"/>
                <w:color w:val="auto"/>
              </w:rPr>
            </w:pPr>
            <w:r>
              <w:rPr>
                <w:rFonts w:ascii="Arial" w:cs="Arial" w:eastAsia="Arial" w:hAnsi="Arial"/>
                <w:sz w:val="16"/>
                <w:szCs w:val="16"/>
                <w:color w:val="auto"/>
              </w:rPr>
              <w:t>December 31,</w:t>
            </w:r>
          </w:p>
        </w:tc>
      </w:tr>
      <w:tr>
        <w:trPr>
          <w:trHeight w:val="21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 xml:space="preserve">Capital Expenditures </w:t>
            </w:r>
            <w:r>
              <w:rPr>
                <w:rFonts w:ascii="Arial" w:cs="Arial" w:eastAsia="Arial" w:hAnsi="Arial"/>
                <w:sz w:val="16"/>
                <w:szCs w:val="16"/>
                <w:color w:val="auto"/>
              </w:rPr>
              <w:t>(in millions)</w:t>
            </w: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2020</w:t>
            </w:r>
          </w:p>
        </w:tc>
        <w:tc>
          <w:tcPr>
            <w:tcW w:w="16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2019</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2020</w:t>
            </w:r>
          </w:p>
        </w:tc>
        <w:tc>
          <w:tcPr>
            <w:tcW w:w="16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95"/>
              </w:rPr>
              <w:t>2019</w:t>
            </w:r>
          </w:p>
        </w:tc>
      </w:tr>
      <w:tr>
        <w:trPr>
          <w:trHeight w:val="20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 net of flight equipment purchase deposit returns (GAAP)</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4,528</w:t>
            </w:r>
          </w:p>
        </w:tc>
      </w:tr>
      <w:tr>
        <w:trPr>
          <w:trHeight w:val="216"/>
        </w:trPr>
        <w:tc>
          <w:tcPr>
            <w:tcW w:w="6400" w:type="dxa"/>
            <w:vAlign w:val="bottom"/>
          </w:tcPr>
          <w:p>
            <w:pPr>
              <w:ind w:left="360"/>
              <w:spacing w:after="0"/>
              <w:rPr>
                <w:sz w:val="20"/>
                <w:szCs w:val="20"/>
                <w:color w:val="auto"/>
              </w:rPr>
            </w:pPr>
            <w:r>
              <w:rPr>
                <w:rFonts w:ascii="Arial" w:cs="Arial" w:eastAsia="Arial" w:hAnsi="Arial"/>
                <w:sz w:val="16"/>
                <w:szCs w:val="16"/>
                <w:color w:val="auto"/>
              </w:rPr>
              <w:t>Property and equipment acquired through the issuance of debt and other</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493</w:t>
            </w: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and equipment acquired through finance leases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6400" w:type="dxa"/>
            <w:vAlign w:val="bottom"/>
          </w:tcPr>
          <w:p>
            <w:pPr>
              <w:ind w:left="360"/>
              <w:spacing w:after="0"/>
              <w:rPr>
                <w:sz w:val="20"/>
                <w:szCs w:val="20"/>
                <w:color w:val="auto"/>
              </w:rPr>
            </w:pPr>
            <w:r>
              <w:rPr>
                <w:rFonts w:ascii="Arial" w:cs="Arial" w:eastAsia="Arial" w:hAnsi="Arial"/>
                <w:sz w:val="16"/>
                <w:szCs w:val="16"/>
                <w:color w:val="auto"/>
              </w:rPr>
              <w:t>Property and equipment acquired through other financial liabilities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 to property and equipment acquired through other financial liabilities (a)</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400" w:type="dxa"/>
            <w:vAlign w:val="bottom"/>
          </w:tcPr>
          <w:p>
            <w:pPr>
              <w:ind w:left="20"/>
              <w:spacing w:after="0"/>
              <w:rPr>
                <w:sz w:val="20"/>
                <w:szCs w:val="20"/>
                <w:color w:val="auto"/>
              </w:rPr>
            </w:pPr>
            <w:r>
              <w:rPr>
                <w:rFonts w:ascii="Arial" w:cs="Arial" w:eastAsia="Arial" w:hAnsi="Arial"/>
                <w:sz w:val="16"/>
                <w:szCs w:val="16"/>
                <w:color w:val="auto"/>
              </w:rPr>
              <w:t>Adjusted capital expenditures (Non-GAAP)</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1,393</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3,489</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5,043</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16"/>
        </w:trPr>
        <w:tc>
          <w:tcPr>
            <w:tcW w:w="6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216"/>
        </w:trPr>
        <w:tc>
          <w:tcPr>
            <w:tcW w:w="6400" w:type="dxa"/>
            <w:vAlign w:val="bottom"/>
          </w:tcPr>
          <w:p>
            <w:pPr>
              <w:ind w:left="20"/>
              <w:spacing w:after="0"/>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16"/>
                <w:szCs w:val="16"/>
                <w:color w:val="auto"/>
              </w:rPr>
              <w:t>(in millions)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 (GAAP)</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6,909</w:t>
            </w:r>
          </w:p>
        </w:tc>
      </w:tr>
      <w:tr>
        <w:trPr>
          <w:trHeight w:val="216"/>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Less capital expenditures, net of flight equipment purchase deposit returns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1,767</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4,528</w:t>
            </w:r>
          </w:p>
        </w:tc>
      </w:tr>
      <w:tr>
        <w:trPr>
          <w:trHeight w:val="235"/>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 net of financings (Non-GAAP)</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(2,274)</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(5,860)</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 (GAAP)</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6,909</w:t>
            </w:r>
          </w:p>
        </w:tc>
      </w:tr>
      <w:tr>
        <w:trPr>
          <w:trHeight w:val="216"/>
        </w:trPr>
        <w:tc>
          <w:tcPr>
            <w:tcW w:w="6400" w:type="dxa"/>
            <w:vAlign w:val="bottom"/>
          </w:tcPr>
          <w:p>
            <w:pPr>
              <w:ind w:left="360"/>
              <w:spacing w:after="0"/>
              <w:rPr>
                <w:sz w:val="20"/>
                <w:szCs w:val="20"/>
                <w:color w:val="auto"/>
              </w:rPr>
            </w:pPr>
            <w:r>
              <w:rPr>
                <w:rFonts w:ascii="Arial" w:cs="Arial" w:eastAsia="Arial" w:hAnsi="Arial"/>
                <w:sz w:val="16"/>
                <w:szCs w:val="16"/>
                <w:color w:val="auto"/>
              </w:rPr>
              <w:t>Less adjusted capital expenditures (Non-GAAP)</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1,393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3,489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5,043</w:t>
            </w: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Less aircraft operating lease additions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09"/>
        </w:trPr>
        <w:tc>
          <w:tcPr>
            <w:tcW w:w="6400" w:type="dxa"/>
            <w:vAlign w:val="bottom"/>
          </w:tcPr>
          <w:p>
            <w:pPr>
              <w:ind w:left="20"/>
              <w:spacing w:after="0"/>
              <w:rPr>
                <w:sz w:val="20"/>
                <w:szCs w:val="20"/>
                <w:color w:val="auto"/>
              </w:rPr>
            </w:pPr>
            <w:r>
              <w:rPr>
                <w:rFonts w:ascii="Arial" w:cs="Arial" w:eastAsia="Arial" w:hAnsi="Arial"/>
                <w:sz w:val="16"/>
                <w:szCs w:val="16"/>
                <w:color w:val="auto"/>
              </w:rPr>
              <w:t>Free cash flow (Non-GAAP)</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(2,799)</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(7,753)</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1,810</w:t>
            </w:r>
          </w:p>
        </w:tc>
      </w:tr>
      <w:tr>
        <w:trPr>
          <w:trHeight w:val="21"/>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20" w:right="160" w:firstLine="6"/>
        <w:spacing w:after="0" w:line="218" w:lineRule="auto"/>
        <w:tabs>
          <w:tab w:leader="none" w:pos="263"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 2020, United entered into agreements with third parties to finance through sale and leaseback transactions new Boeing model 787-9 aircraft and Boeing model 737 MAX aircraft subject to purchase agreements between United and Boeing. In connection with the delivery of each aircraft from Boeing, United assigned its right to purchase such aircraft to the buyer, and simultaneous with the buyer's purchase from Boeing, United entered into a long-term lease for such aircraft with the buyer as lessor. Fifteen Boeing model aircraft were delivered in 2020 under these transactions (and each is presently subject to a long-term lease to United). Upon delivery, the company accounted for the aircraft which have a repurchase option at a price other than fair value as part of Flight equipment on the company's balance sheet and the related obligation as Other current liabilities and Other financial liabilities from sale-leasebacks (noncurrent) since they do not qualify for sale recognition. If the repurchase option is not exercised, these aircraft will be accounted for as leased assets at the time of the option expiration and the related assets and liabilities will be adjusted to the present value of the remaining lease payments at that time. This adjustment reflects the difference between the recorded amounts and the present value of future lease payments at inception. The remaining aircraft in this transaction that qualify for sale recognition are recorded as Operating lease right-of-use assets and lease liabilities on the company's balance sheet after recognition of related gains or losses on such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320" w:top="115" w:right="5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United Airlines Reports Fourth-Quarter And Full-Year 2020 Results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UNITED AIRLINES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NON-GAAP FINANCIAL RECONCILIATION (Continued)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5"/>
          </w:tcPr>
          <w:p>
            <w:pPr>
              <w:jc w:val="center"/>
              <w:ind w:right="280"/>
              <w:spacing w:after="0"/>
              <w:rPr>
                <w:sz w:val="20"/>
                <w:szCs w:val="20"/>
                <w:color w:val="auto"/>
              </w:rPr>
            </w:pPr>
            <w:r>
              <w:rPr>
                <w:rFonts w:ascii="Arial" w:cs="Arial" w:eastAsia="Arial" w:hAnsi="Arial"/>
                <w:sz w:val="16"/>
                <w:szCs w:val="16"/>
                <w:color w:val="auto"/>
              </w:rPr>
              <w:t>Three Months Ended</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5"/>
          </w:tcPr>
          <w:p>
            <w:pPr>
              <w:ind w:left="360"/>
              <w:spacing w:after="0"/>
              <w:rPr>
                <w:sz w:val="20"/>
                <w:szCs w:val="20"/>
                <w:color w:val="auto"/>
              </w:rPr>
            </w:pPr>
            <w:r>
              <w:rPr>
                <w:rFonts w:ascii="Arial" w:cs="Arial" w:eastAsia="Arial" w:hAnsi="Arial"/>
                <w:sz w:val="16"/>
                <w:szCs w:val="16"/>
                <w:color w:val="auto"/>
              </w:rPr>
              <w:t>Year Ended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94"/>
        </w:trPr>
        <w:tc>
          <w:tcPr>
            <w:tcW w:w="3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80" w:type="dxa"/>
            <w:vAlign w:val="bottom"/>
            <w:gridSpan w:val="5"/>
            <w:vMerge w:val="restart"/>
          </w:tcPr>
          <w:p>
            <w:pPr>
              <w:jc w:val="center"/>
              <w:ind w:right="300"/>
              <w:spacing w:after="0"/>
              <w:rPr>
                <w:sz w:val="20"/>
                <w:szCs w:val="20"/>
                <w:color w:val="auto"/>
              </w:rPr>
            </w:pPr>
            <w:r>
              <w:rPr>
                <w:rFonts w:ascii="Arial" w:cs="Arial" w:eastAsia="Arial" w:hAnsi="Arial"/>
                <w:sz w:val="16"/>
                <w:szCs w:val="16"/>
                <w:color w:val="auto"/>
              </w:rPr>
              <w:t>December 31,</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900" w:type="dxa"/>
            <w:vAlign w:val="bottom"/>
            <w:gridSpan w:val="5"/>
            <w:vMerge w:val="restart"/>
          </w:tcPr>
          <w:p>
            <w:pPr>
              <w:ind w:left="300"/>
              <w:spacing w:after="0"/>
              <w:rPr>
                <w:sz w:val="20"/>
                <w:szCs w:val="20"/>
                <w:color w:val="auto"/>
              </w:rPr>
            </w:pPr>
            <w:r>
              <w:rPr>
                <w:rFonts w:ascii="Arial" w:cs="Arial" w:eastAsia="Arial" w:hAnsi="Arial"/>
                <w:sz w:val="16"/>
                <w:szCs w:val="16"/>
                <w:color w:val="auto"/>
              </w:rPr>
              <w:t>December 31,</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ind w:right="40"/>
              <w:spacing w:after="0" w:line="162" w:lineRule="exact"/>
              <w:rPr>
                <w:sz w:val="20"/>
                <w:szCs w:val="20"/>
                <w:color w:val="auto"/>
              </w:rPr>
            </w:pPr>
            <w:r>
              <w:rPr>
                <w:rFonts w:ascii="Arial" w:cs="Arial" w:eastAsia="Arial" w:hAnsi="Arial"/>
                <w:sz w:val="16"/>
                <w:szCs w:val="16"/>
                <w:color w:val="auto"/>
              </w:rPr>
              <w:t>Increase/</w:t>
            </w:r>
          </w:p>
        </w:tc>
        <w:tc>
          <w:tcPr>
            <w:tcW w:w="120" w:type="dxa"/>
            <w:vAlign w:val="bottom"/>
          </w:tcPr>
          <w:p>
            <w:pPr>
              <w:spacing w:after="0"/>
              <w:rPr>
                <w:sz w:val="10"/>
                <w:szCs w:val="10"/>
                <w:color w:val="auto"/>
              </w:rPr>
            </w:pPr>
          </w:p>
        </w:tc>
        <w:tc>
          <w:tcPr>
            <w:tcW w:w="1000" w:type="dxa"/>
            <w:vAlign w:val="bottom"/>
            <w:gridSpan w:val="2"/>
            <w:vMerge w:val="restart"/>
          </w:tcPr>
          <w:p>
            <w:pPr>
              <w:jc w:val="center"/>
              <w:ind w:right="100"/>
              <w:spacing w:after="0" w:line="162" w:lineRule="exact"/>
              <w:rPr>
                <w:sz w:val="20"/>
                <w:szCs w:val="20"/>
                <w:color w:val="auto"/>
              </w:rPr>
            </w:pPr>
            <w:r>
              <w:rPr>
                <w:rFonts w:ascii="Arial" w:cs="Arial" w:eastAsia="Arial" w:hAnsi="Arial"/>
                <w:sz w:val="16"/>
                <w:szCs w:val="16"/>
                <w:color w:val="auto"/>
              </w:rPr>
              <w:t>Increase/</w:t>
            </w:r>
          </w:p>
        </w:tc>
        <w:tc>
          <w:tcPr>
            <w:tcW w:w="180" w:type="dxa"/>
            <w:vAlign w:val="bottom"/>
          </w:tcPr>
          <w:p>
            <w:pPr>
              <w:spacing w:after="0"/>
              <w:rPr>
                <w:sz w:val="10"/>
                <w:szCs w:val="10"/>
                <w:color w:val="auto"/>
              </w:rPr>
            </w:pPr>
          </w:p>
        </w:tc>
        <w:tc>
          <w:tcPr>
            <w:tcW w:w="19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ind w:right="40"/>
              <w:spacing w:after="0" w:line="162" w:lineRule="exact"/>
              <w:rPr>
                <w:sz w:val="20"/>
                <w:szCs w:val="20"/>
                <w:color w:val="auto"/>
              </w:rPr>
            </w:pPr>
            <w:r>
              <w:rPr>
                <w:rFonts w:ascii="Arial" w:cs="Arial" w:eastAsia="Arial" w:hAnsi="Arial"/>
                <w:sz w:val="16"/>
                <w:szCs w:val="16"/>
                <w:color w:val="auto"/>
              </w:rPr>
              <w:t>Increase/</w:t>
            </w:r>
          </w:p>
        </w:tc>
        <w:tc>
          <w:tcPr>
            <w:tcW w:w="120" w:type="dxa"/>
            <w:vAlign w:val="bottom"/>
          </w:tcPr>
          <w:p>
            <w:pPr>
              <w:spacing w:after="0"/>
              <w:rPr>
                <w:sz w:val="10"/>
                <w:szCs w:val="10"/>
                <w:color w:val="auto"/>
              </w:rPr>
            </w:pPr>
          </w:p>
        </w:tc>
        <w:tc>
          <w:tcPr>
            <w:tcW w:w="920" w:type="dxa"/>
            <w:vAlign w:val="bottom"/>
            <w:vMerge w:val="restart"/>
          </w:tcPr>
          <w:p>
            <w:pPr>
              <w:jc w:val="center"/>
              <w:spacing w:after="0" w:line="162" w:lineRule="exact"/>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0"/>
        </w:trPr>
        <w:tc>
          <w:tcPr>
            <w:tcW w:w="304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vMerge w:val="restart"/>
          </w:tcPr>
          <w:p>
            <w:pPr>
              <w:jc w:val="right"/>
              <w:ind w:right="160"/>
              <w:spacing w:after="0"/>
              <w:rPr>
                <w:sz w:val="20"/>
                <w:szCs w:val="20"/>
                <w:color w:val="auto"/>
              </w:rPr>
            </w:pPr>
            <w:r>
              <w:rPr>
                <w:rFonts w:ascii="Arial" w:cs="Arial" w:eastAsia="Arial" w:hAnsi="Arial"/>
                <w:sz w:val="16"/>
                <w:szCs w:val="16"/>
                <w:color w:val="auto"/>
              </w:rPr>
              <w:t>2020</w:t>
            </w:r>
          </w:p>
        </w:tc>
        <w:tc>
          <w:tcPr>
            <w:tcW w:w="1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vMerge w:val="restart"/>
          </w:tcPr>
          <w:p>
            <w:pPr>
              <w:jc w:val="right"/>
              <w:ind w:right="20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vMerge w:val="restart"/>
          </w:tcPr>
          <w:p>
            <w:pPr>
              <w:jc w:val="right"/>
              <w:ind w:right="200"/>
              <w:spacing w:after="0"/>
              <w:rPr>
                <w:sz w:val="20"/>
                <w:szCs w:val="20"/>
                <w:color w:val="auto"/>
              </w:rPr>
            </w:pPr>
            <w:r>
              <w:rPr>
                <w:rFonts w:ascii="Arial" w:cs="Arial" w:eastAsia="Arial" w:hAnsi="Arial"/>
                <w:sz w:val="16"/>
                <w:szCs w:val="16"/>
                <w:color w:val="auto"/>
              </w:rPr>
              <w:t>2020</w:t>
            </w: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vMerge w:val="restart"/>
          </w:tcPr>
          <w:p>
            <w:pPr>
              <w:jc w:val="right"/>
              <w:ind w:right="20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(Decrease)</w:t>
            </w: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(Decrease)</w:t>
            </w: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(Decrease)</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 (GAAP)</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5,547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10,027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(4,480)</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21,714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38,958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(17,244)</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Special charges (credit)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(2,616)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(2,862)</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Operating expenses, excluding special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5,696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9,897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(4,201)</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24,330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38,712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(14,382)</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charges</w:t>
            </w: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60"/>
              <w:spacing w:after="0"/>
              <w:rPr>
                <w:sz w:val="20"/>
                <w:szCs w:val="20"/>
                <w:color w:val="auto"/>
              </w:rPr>
            </w:pPr>
            <w:r>
              <w:rPr>
                <w:rFonts w:ascii="Arial" w:cs="Arial" w:eastAsia="Arial" w:hAnsi="Arial"/>
                <w:sz w:val="16"/>
                <w:szCs w:val="16"/>
                <w:color w:val="auto"/>
              </w:rPr>
              <w:t>Adjusted to exclude:</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Third-party business expenses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6"/>
        </w:trPr>
        <w:tc>
          <w:tcPr>
            <w:tcW w:w="3040" w:type="dxa"/>
            <w:vAlign w:val="bottom"/>
          </w:tcPr>
          <w:p>
            <w:pPr>
              <w:ind w:left="140"/>
              <w:spacing w:after="0"/>
              <w:rPr>
                <w:sz w:val="20"/>
                <w:szCs w:val="20"/>
                <w:color w:val="auto"/>
              </w:rPr>
            </w:pPr>
            <w:r>
              <w:rPr>
                <w:rFonts w:ascii="Arial" w:cs="Arial" w:eastAsia="Arial" w:hAnsi="Arial"/>
                <w:sz w:val="16"/>
                <w:szCs w:val="16"/>
                <w:color w:val="auto"/>
              </w:rPr>
              <w:t>Fuel expense</w:t>
            </w:r>
          </w:p>
        </w:tc>
        <w:tc>
          <w:tcPr>
            <w:tcW w:w="160" w:type="dxa"/>
            <w:vAlign w:val="bottom"/>
          </w:tcPr>
          <w:p>
            <w:pPr>
              <w:spacing w:after="0"/>
              <w:rPr>
                <w:sz w:val="18"/>
                <w:szCs w:val="18"/>
                <w:color w:val="auto"/>
              </w:rPr>
            </w:pPr>
          </w:p>
        </w:tc>
        <w:tc>
          <w:tcPr>
            <w:tcW w:w="700" w:type="dxa"/>
            <w:vAlign w:val="bottom"/>
          </w:tcPr>
          <w:p>
            <w:pPr>
              <w:jc w:val="right"/>
              <w:ind w:right="100"/>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20"/>
              <w:spacing w:after="0"/>
              <w:rPr>
                <w:sz w:val="20"/>
                <w:szCs w:val="20"/>
                <w:color w:val="auto"/>
              </w:rPr>
            </w:pPr>
            <w:r>
              <w:rPr>
                <w:rFonts w:ascii="Arial" w:cs="Arial" w:eastAsia="Arial" w:hAnsi="Arial"/>
                <w:sz w:val="16"/>
                <w:szCs w:val="16"/>
                <w:color w:val="auto"/>
              </w:rPr>
              <w:t>2,249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(1,570)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20"/>
              <w:spacing w:after="0"/>
              <w:rPr>
                <w:sz w:val="20"/>
                <w:szCs w:val="20"/>
                <w:color w:val="auto"/>
              </w:rPr>
            </w:pPr>
            <w:r>
              <w:rPr>
                <w:rFonts w:ascii="Arial" w:cs="Arial" w:eastAsia="Arial" w:hAnsi="Arial"/>
                <w:sz w:val="16"/>
                <w:szCs w:val="16"/>
                <w:color w:val="auto"/>
              </w:rPr>
              <w:t>3,153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8,953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Profit sharing, including taxes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42"/>
        </w:trPr>
        <w:tc>
          <w:tcPr>
            <w:tcW w:w="3040" w:type="dxa"/>
            <w:vAlign w:val="bottom"/>
          </w:tcPr>
          <w:p>
            <w:pPr>
              <w:ind w:left="20"/>
              <w:spacing w:after="0" w:line="142" w:lineRule="exact"/>
              <w:rPr>
                <w:sz w:val="20"/>
                <w:szCs w:val="20"/>
                <w:color w:val="auto"/>
              </w:rPr>
            </w:pPr>
            <w:r>
              <w:rPr>
                <w:rFonts w:ascii="Arial" w:cs="Arial" w:eastAsia="Arial" w:hAnsi="Arial"/>
                <w:sz w:val="16"/>
                <w:szCs w:val="16"/>
                <w:color w:val="auto"/>
              </w:rPr>
              <w:t>Adjusted operating expenses (Non-</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vMerge w:val="restart"/>
          </w:tcPr>
          <w:p>
            <w:pPr>
              <w:jc w:val="right"/>
              <w:ind w:right="100"/>
              <w:spacing w:after="0"/>
              <w:rPr>
                <w:sz w:val="20"/>
                <w:szCs w:val="20"/>
                <w:color w:val="auto"/>
              </w:rPr>
            </w:pPr>
            <w:r>
              <w:rPr>
                <w:rFonts w:ascii="Arial" w:cs="Arial" w:eastAsia="Arial" w:hAnsi="Arial"/>
                <w:sz w:val="16"/>
                <w:szCs w:val="16"/>
                <w:color w:val="auto"/>
              </w:rPr>
              <w:t>4,995</w:t>
            </w:r>
          </w:p>
        </w:tc>
        <w:tc>
          <w:tcPr>
            <w:tcW w:w="12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vMerge w:val="restart"/>
          </w:tcPr>
          <w:p>
            <w:pPr>
              <w:jc w:val="right"/>
              <w:ind w:right="120"/>
              <w:spacing w:after="0"/>
              <w:rPr>
                <w:sz w:val="20"/>
                <w:szCs w:val="20"/>
                <w:color w:val="auto"/>
              </w:rPr>
            </w:pPr>
            <w:r>
              <w:rPr>
                <w:rFonts w:ascii="Arial" w:cs="Arial" w:eastAsia="Arial" w:hAnsi="Arial"/>
                <w:sz w:val="16"/>
                <w:szCs w:val="16"/>
                <w:color w:val="auto"/>
              </w:rPr>
              <w:t>7,477</w:t>
            </w:r>
          </w:p>
        </w:tc>
        <w:tc>
          <w:tcPr>
            <w:tcW w:w="12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(2,482)</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vMerge w:val="restart"/>
          </w:tcPr>
          <w:p>
            <w:pPr>
              <w:jc w:val="right"/>
              <w:ind w:right="120"/>
              <w:spacing w:after="0"/>
              <w:rPr>
                <w:sz w:val="20"/>
                <w:szCs w:val="20"/>
                <w:color w:val="auto"/>
              </w:rPr>
            </w:pPr>
            <w:r>
              <w:rPr>
                <w:rFonts w:ascii="Arial" w:cs="Arial" w:eastAsia="Arial" w:hAnsi="Arial"/>
                <w:sz w:val="16"/>
                <w:szCs w:val="16"/>
                <w:color w:val="auto"/>
              </w:rPr>
              <w:t>21,040</w:t>
            </w:r>
          </w:p>
        </w:tc>
        <w:tc>
          <w:tcPr>
            <w:tcW w:w="10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vMerge w:val="restart"/>
          </w:tcPr>
          <w:p>
            <w:pPr>
              <w:jc w:val="right"/>
              <w:ind w:right="100"/>
              <w:spacing w:after="0"/>
              <w:rPr>
                <w:sz w:val="20"/>
                <w:szCs w:val="20"/>
                <w:color w:val="auto"/>
              </w:rPr>
            </w:pPr>
            <w:r>
              <w:rPr>
                <w:rFonts w:ascii="Arial" w:cs="Arial" w:eastAsia="Arial" w:hAnsi="Arial"/>
                <w:sz w:val="16"/>
                <w:szCs w:val="16"/>
                <w:color w:val="auto"/>
              </w:rPr>
              <w:t>29,100</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(8,060)</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194"/>
        </w:trPr>
        <w:tc>
          <w:tcPr>
            <w:tcW w:w="3040" w:type="dxa"/>
            <w:vAlign w:val="bottom"/>
          </w:tcPr>
          <w:p>
            <w:pPr>
              <w:ind w:left="20"/>
              <w:spacing w:after="0"/>
              <w:rPr>
                <w:sz w:val="20"/>
                <w:szCs w:val="20"/>
                <w:color w:val="auto"/>
              </w:rPr>
            </w:pPr>
            <w:r>
              <w:rPr>
                <w:rFonts w:ascii="Arial" w:cs="Arial" w:eastAsia="Arial" w:hAnsi="Arial"/>
                <w:sz w:val="16"/>
                <w:szCs w:val="16"/>
                <w:color w:val="auto"/>
              </w:rPr>
              <w:t>GAAP)</w:t>
            </w:r>
          </w:p>
        </w:tc>
        <w:tc>
          <w:tcPr>
            <w:tcW w:w="16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0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Operating income (loss) (GAAP)</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(2,135)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20"/>
              <w:spacing w:after="0"/>
              <w:rPr>
                <w:sz w:val="20"/>
                <w:szCs w:val="20"/>
                <w:color w:val="auto"/>
              </w:rPr>
            </w:pPr>
            <w:r>
              <w:rPr>
                <w:rFonts w:ascii="Arial" w:cs="Arial" w:eastAsia="Arial" w:hAnsi="Arial"/>
                <w:sz w:val="16"/>
                <w:szCs w:val="16"/>
                <w:color w:val="auto"/>
              </w:rPr>
              <w:t>861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(2,996)</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(6,359)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4,301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(10,660)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Adjusted to exclude: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Special charges (credits)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(2,616)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(2,862)</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4"/>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operating income (Non-GAAP)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(2,284)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991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(3,275)</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(8,975)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4,547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(13,522)</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
        </w:trPr>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Operating margin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7.9 %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(70.5)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i w:val="1"/>
                <w:iCs w:val="1"/>
                <w:color w:val="auto"/>
              </w:rPr>
              <w:t>pts.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9.9 %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(51.3)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pts.</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Adjusted operating margin (Non-GAAP)</w:t>
            </w:r>
          </w:p>
        </w:tc>
        <w:tc>
          <w:tcPr>
            <w:tcW w:w="16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rPr>
              <w:t>(66.9)%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rPr>
              <w:t>9.1 %</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rPr>
              <w:t>(76.0)</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4"/>
                <w:szCs w:val="14"/>
                <w:i w:val="1"/>
                <w:iCs w:val="1"/>
                <w:color w:val="auto"/>
              </w:rPr>
              <w:t>pts.</w:t>
            </w:r>
          </w:p>
        </w:tc>
        <w:tc>
          <w:tcPr>
            <w:tcW w:w="18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rPr>
              <w:t>(58.5)%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rPr>
              <w:t>10.5 %</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rPr>
              <w:t>(69.0)</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4"/>
                <w:szCs w:val="14"/>
                <w:i w:val="1"/>
                <w:iCs w:val="1"/>
                <w:color w:val="auto"/>
              </w:rPr>
              <w:t>pts.</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Pre-tax income (loss) (GAAP)</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(2,373)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20"/>
              <w:spacing w:after="0"/>
              <w:rPr>
                <w:sz w:val="20"/>
                <w:szCs w:val="20"/>
                <w:color w:val="auto"/>
              </w:rPr>
            </w:pPr>
            <w:r>
              <w:rPr>
                <w:rFonts w:ascii="Arial" w:cs="Arial" w:eastAsia="Arial" w:hAnsi="Arial"/>
                <w:sz w:val="16"/>
                <w:szCs w:val="16"/>
                <w:color w:val="auto"/>
              </w:rPr>
              <w:t>844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(3,217)</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(8,822)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3,914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(12,736)</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Adjusted to exclude: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40"/>
              <w:spacing w:after="0"/>
              <w:rPr>
                <w:sz w:val="20"/>
                <w:szCs w:val="20"/>
                <w:color w:val="auto"/>
              </w:rPr>
            </w:pPr>
            <w:r>
              <w:rPr>
                <w:rFonts w:ascii="Arial" w:cs="Arial" w:eastAsia="Arial" w:hAnsi="Arial"/>
                <w:sz w:val="16"/>
                <w:szCs w:val="16"/>
                <w:color w:val="auto"/>
              </w:rPr>
              <w:t>Special charges (credit)</w:t>
            </w:r>
          </w:p>
        </w:tc>
        <w:tc>
          <w:tcPr>
            <w:tcW w:w="160" w:type="dxa"/>
            <w:vAlign w:val="bottom"/>
          </w:tcPr>
          <w:p>
            <w:pPr>
              <w:spacing w:after="0"/>
              <w:rPr>
                <w:sz w:val="18"/>
                <w:szCs w:val="18"/>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20"/>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18"/>
                <w:szCs w:val="18"/>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(2,616)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(2,862)</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160"/>
              <w:spacing w:after="0" w:line="162" w:lineRule="exact"/>
              <w:rPr>
                <w:sz w:val="20"/>
                <w:szCs w:val="20"/>
                <w:color w:val="auto"/>
              </w:rPr>
            </w:pPr>
            <w:r>
              <w:rPr>
                <w:rFonts w:ascii="Arial" w:cs="Arial" w:eastAsia="Arial" w:hAnsi="Arial"/>
                <w:sz w:val="16"/>
                <w:szCs w:val="16"/>
                <w:color w:val="auto"/>
              </w:rPr>
              <w:t>Termination benefits and settlement</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687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losses</w:t>
            </w: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140"/>
              <w:spacing w:after="0" w:line="162" w:lineRule="exact"/>
              <w:rPr>
                <w:sz w:val="20"/>
                <w:szCs w:val="20"/>
                <w:color w:val="auto"/>
              </w:rPr>
            </w:pPr>
            <w:r>
              <w:rPr>
                <w:rFonts w:ascii="Arial" w:cs="Arial" w:eastAsia="Arial" w:hAnsi="Arial"/>
                <w:sz w:val="16"/>
                <w:szCs w:val="16"/>
                <w:color w:val="auto"/>
              </w:rPr>
              <w:t>Unrealized (gains) losses on</w:t>
            </w:r>
          </w:p>
        </w:tc>
        <w:tc>
          <w:tcPr>
            <w:tcW w:w="160" w:type="dxa"/>
            <w:vAlign w:val="bottom"/>
          </w:tcPr>
          <w:p>
            <w:pPr>
              <w:spacing w:after="0"/>
              <w:rPr>
                <w:sz w:val="14"/>
                <w:szCs w:val="14"/>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60"/>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14"/>
                <w:szCs w:val="14"/>
                <w:color w:val="auto"/>
              </w:rPr>
            </w:pPr>
          </w:p>
        </w:tc>
        <w:tc>
          <w:tcPr>
            <w:tcW w:w="760" w:type="dxa"/>
            <w:vAlign w:val="bottom"/>
            <w:vMerge w:val="restart"/>
          </w:tcPr>
          <w:p>
            <w:pPr>
              <w:jc w:val="right"/>
              <w:ind w:right="120"/>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60"/>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3040" w:type="dxa"/>
            <w:vAlign w:val="bottom"/>
          </w:tcPr>
          <w:p>
            <w:pPr>
              <w:ind w:left="140"/>
              <w:spacing w:after="0"/>
              <w:rPr>
                <w:sz w:val="20"/>
                <w:szCs w:val="20"/>
                <w:color w:val="auto"/>
              </w:rPr>
            </w:pPr>
            <w:r>
              <w:rPr>
                <w:rFonts w:ascii="Arial" w:cs="Arial" w:eastAsia="Arial" w:hAnsi="Arial"/>
                <w:sz w:val="16"/>
                <w:szCs w:val="16"/>
                <w:color w:val="auto"/>
              </w:rPr>
              <w:t>investments, net</w:t>
            </w: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BRW term loan and guarantee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2"/>
        </w:trPr>
        <w:tc>
          <w:tcPr>
            <w:tcW w:w="3040" w:type="dxa"/>
            <w:vAlign w:val="bottom"/>
          </w:tcPr>
          <w:p>
            <w:pPr>
              <w:ind w:left="140"/>
              <w:spacing w:after="0" w:line="162" w:lineRule="exact"/>
              <w:rPr>
                <w:sz w:val="20"/>
                <w:szCs w:val="20"/>
                <w:color w:val="auto"/>
              </w:rPr>
            </w:pPr>
            <w:r>
              <w:rPr>
                <w:rFonts w:ascii="Arial" w:cs="Arial" w:eastAsia="Arial" w:hAnsi="Arial"/>
                <w:sz w:val="16"/>
                <w:szCs w:val="16"/>
                <w:color w:val="auto"/>
              </w:rPr>
              <w:t>Interest expense on ERJ 145 finance</w:t>
            </w:r>
          </w:p>
        </w:tc>
        <w:tc>
          <w:tcPr>
            <w:tcW w:w="160" w:type="dxa"/>
            <w:vAlign w:val="bottom"/>
          </w:tcPr>
          <w:p>
            <w:pPr>
              <w:spacing w:after="0"/>
              <w:rPr>
                <w:sz w:val="14"/>
                <w:szCs w:val="14"/>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60" w:type="dxa"/>
            <w:vAlign w:val="bottom"/>
            <w:vMerge w:val="restart"/>
          </w:tcPr>
          <w:p>
            <w:pPr>
              <w:jc w:val="right"/>
              <w:ind w:right="6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14"/>
                <w:szCs w:val="14"/>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40" w:type="dxa"/>
            <w:vAlign w:val="bottom"/>
            <w:vMerge w:val="restart"/>
          </w:tcPr>
          <w:p>
            <w:pPr>
              <w:jc w:val="right"/>
              <w:ind w:right="100"/>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3040" w:type="dxa"/>
            <w:vAlign w:val="bottom"/>
          </w:tcPr>
          <w:p>
            <w:pPr>
              <w:ind w:left="140"/>
              <w:spacing w:after="0"/>
              <w:rPr>
                <w:sz w:val="20"/>
                <w:szCs w:val="20"/>
                <w:color w:val="auto"/>
              </w:rPr>
            </w:pPr>
            <w:r>
              <w:rPr>
                <w:rFonts w:ascii="Arial" w:cs="Arial" w:eastAsia="Arial" w:hAnsi="Arial"/>
                <w:sz w:val="16"/>
                <w:szCs w:val="16"/>
                <w:color w:val="auto"/>
              </w:rPr>
              <w:t>leases</w:t>
            </w:r>
          </w:p>
        </w:tc>
        <w:tc>
          <w:tcPr>
            <w:tcW w:w="1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0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Adjusted pre-tax income (loss) (Non-</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(2,582)</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889</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(3,471)</w:t>
            </w:r>
          </w:p>
        </w:tc>
        <w:tc>
          <w:tcPr>
            <w:tcW w:w="1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(9,860)</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4,071</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(13,931)</w:t>
            </w: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GAAP)</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Pre-tax margin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(77.3)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i w:val="1"/>
                <w:iCs w:val="1"/>
                <w:color w:val="auto"/>
              </w:rPr>
              <w:t>pts.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(66.5)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pts.</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i w:val="1"/>
                <w:iCs w:val="1"/>
                <w:color w:val="auto"/>
              </w:rPr>
              <w:t>Adjusted pre-tax margin (Non-GAAP)</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8.2 %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i w:val="1"/>
                <w:iCs w:val="1"/>
                <w:color w:val="auto"/>
              </w:rPr>
              <w:t>(83.9)</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pts.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9.4 %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i w:val="1"/>
                <w:iCs w:val="1"/>
                <w:color w:val="auto"/>
              </w:rPr>
              <w:t>(73.6)</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pts.</w:t>
            </w:r>
          </w:p>
        </w:tc>
        <w:tc>
          <w:tcPr>
            <w:tcW w:w="0" w:type="dxa"/>
            <w:vAlign w:val="bottom"/>
          </w:tcPr>
          <w:p>
            <w:pPr>
              <w:spacing w:after="0"/>
              <w:rPr>
                <w:sz w:val="1"/>
                <w:szCs w:val="1"/>
                <w:color w:val="auto"/>
              </w:rPr>
            </w:pPr>
          </w:p>
        </w:tc>
      </w:tr>
      <w:tr>
        <w:trPr>
          <w:trHeight w:val="95"/>
        </w:trPr>
        <w:tc>
          <w:tcPr>
            <w:tcW w:w="30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80"/>
              <w:spacing w:after="0"/>
              <w:rPr>
                <w:sz w:val="20"/>
                <w:szCs w:val="20"/>
                <w:color w:val="auto"/>
              </w:rPr>
            </w:pPr>
            <w:r>
              <w:rPr>
                <w:rFonts w:ascii="Arial" w:cs="Arial" w:eastAsia="Arial" w:hAnsi="Arial"/>
                <w:sz w:val="16"/>
                <w:szCs w:val="16"/>
                <w:color w:val="auto"/>
              </w:rPr>
              <w:t>Net income (loss) (GAAP)</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(1,897)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20"/>
              <w:spacing w:after="0"/>
              <w:rPr>
                <w:sz w:val="20"/>
                <w:szCs w:val="20"/>
                <w:color w:val="auto"/>
              </w:rPr>
            </w:pPr>
            <w:r>
              <w:rPr>
                <w:rFonts w:ascii="Arial" w:cs="Arial" w:eastAsia="Arial" w:hAnsi="Arial"/>
                <w:sz w:val="16"/>
                <w:szCs w:val="16"/>
                <w:color w:val="auto"/>
              </w:rPr>
              <w:t>641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(2,538)</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(7,069)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3,009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(10,078)</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Adjusted to exclude: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40"/>
              <w:spacing w:after="0"/>
              <w:rPr>
                <w:sz w:val="20"/>
                <w:szCs w:val="20"/>
                <w:color w:val="auto"/>
              </w:rPr>
            </w:pPr>
            <w:r>
              <w:rPr>
                <w:rFonts w:ascii="Arial" w:cs="Arial" w:eastAsia="Arial" w:hAnsi="Arial"/>
                <w:sz w:val="16"/>
                <w:szCs w:val="16"/>
                <w:color w:val="auto"/>
              </w:rPr>
              <w:t>Special charges (credit)</w:t>
            </w:r>
          </w:p>
        </w:tc>
        <w:tc>
          <w:tcPr>
            <w:tcW w:w="160" w:type="dxa"/>
            <w:vAlign w:val="bottom"/>
          </w:tcPr>
          <w:p>
            <w:pPr>
              <w:spacing w:after="0"/>
              <w:rPr>
                <w:sz w:val="18"/>
                <w:szCs w:val="18"/>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20"/>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18"/>
                <w:szCs w:val="18"/>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(2,616)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(2,862)</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160"/>
              <w:spacing w:after="0" w:line="162" w:lineRule="exact"/>
              <w:rPr>
                <w:sz w:val="20"/>
                <w:szCs w:val="20"/>
                <w:color w:val="auto"/>
              </w:rPr>
            </w:pPr>
            <w:r>
              <w:rPr>
                <w:rFonts w:ascii="Arial" w:cs="Arial" w:eastAsia="Arial" w:hAnsi="Arial"/>
                <w:sz w:val="16"/>
                <w:szCs w:val="16"/>
                <w:color w:val="auto"/>
              </w:rPr>
              <w:t>Termination benefits and settlement</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687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losses</w:t>
            </w: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140"/>
              <w:spacing w:after="0" w:line="162" w:lineRule="exact"/>
              <w:rPr>
                <w:sz w:val="20"/>
                <w:szCs w:val="20"/>
                <w:color w:val="auto"/>
              </w:rPr>
            </w:pPr>
            <w:r>
              <w:rPr>
                <w:rFonts w:ascii="Arial" w:cs="Arial" w:eastAsia="Arial" w:hAnsi="Arial"/>
                <w:sz w:val="16"/>
                <w:szCs w:val="16"/>
                <w:color w:val="auto"/>
              </w:rPr>
              <w:t>Unrealized (gains) losses on</w:t>
            </w:r>
          </w:p>
        </w:tc>
        <w:tc>
          <w:tcPr>
            <w:tcW w:w="160" w:type="dxa"/>
            <w:vAlign w:val="bottom"/>
          </w:tcPr>
          <w:p>
            <w:pPr>
              <w:spacing w:after="0"/>
              <w:rPr>
                <w:sz w:val="14"/>
                <w:szCs w:val="14"/>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60"/>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14"/>
                <w:szCs w:val="14"/>
                <w:color w:val="auto"/>
              </w:rPr>
            </w:pPr>
          </w:p>
        </w:tc>
        <w:tc>
          <w:tcPr>
            <w:tcW w:w="760" w:type="dxa"/>
            <w:vAlign w:val="bottom"/>
            <w:vMerge w:val="restart"/>
          </w:tcPr>
          <w:p>
            <w:pPr>
              <w:jc w:val="right"/>
              <w:ind w:right="120"/>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60"/>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3040" w:type="dxa"/>
            <w:vAlign w:val="bottom"/>
          </w:tcPr>
          <w:p>
            <w:pPr>
              <w:ind w:left="140"/>
              <w:spacing w:after="0"/>
              <w:rPr>
                <w:sz w:val="20"/>
                <w:szCs w:val="20"/>
                <w:color w:val="auto"/>
              </w:rPr>
            </w:pPr>
            <w:r>
              <w:rPr>
                <w:rFonts w:ascii="Arial" w:cs="Arial" w:eastAsia="Arial" w:hAnsi="Arial"/>
                <w:sz w:val="16"/>
                <w:szCs w:val="16"/>
                <w:color w:val="auto"/>
              </w:rPr>
              <w:t>investments, net</w:t>
            </w: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BRW term loan and guarantee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2"/>
        </w:trPr>
        <w:tc>
          <w:tcPr>
            <w:tcW w:w="3040" w:type="dxa"/>
            <w:vAlign w:val="bottom"/>
          </w:tcPr>
          <w:p>
            <w:pPr>
              <w:ind w:left="140"/>
              <w:spacing w:after="0" w:line="162" w:lineRule="exact"/>
              <w:rPr>
                <w:sz w:val="20"/>
                <w:szCs w:val="20"/>
                <w:color w:val="auto"/>
              </w:rPr>
            </w:pPr>
            <w:r>
              <w:rPr>
                <w:rFonts w:ascii="Arial" w:cs="Arial" w:eastAsia="Arial" w:hAnsi="Arial"/>
                <w:sz w:val="16"/>
                <w:szCs w:val="16"/>
                <w:color w:val="auto"/>
              </w:rPr>
              <w:t>Interest expense on ERJ 145 finance</w:t>
            </w:r>
          </w:p>
        </w:tc>
        <w:tc>
          <w:tcPr>
            <w:tcW w:w="160" w:type="dxa"/>
            <w:vAlign w:val="bottom"/>
          </w:tcPr>
          <w:p>
            <w:pPr>
              <w:spacing w:after="0"/>
              <w:rPr>
                <w:sz w:val="14"/>
                <w:szCs w:val="14"/>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60" w:type="dxa"/>
            <w:vAlign w:val="bottom"/>
            <w:vMerge w:val="restart"/>
          </w:tcPr>
          <w:p>
            <w:pPr>
              <w:jc w:val="right"/>
              <w:ind w:right="6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14"/>
                <w:szCs w:val="14"/>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40" w:type="dxa"/>
            <w:vAlign w:val="bottom"/>
            <w:vMerge w:val="restart"/>
          </w:tcPr>
          <w:p>
            <w:pPr>
              <w:jc w:val="right"/>
              <w:ind w:right="100"/>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3040" w:type="dxa"/>
            <w:vAlign w:val="bottom"/>
          </w:tcPr>
          <w:p>
            <w:pPr>
              <w:ind w:left="140"/>
              <w:spacing w:after="0"/>
              <w:rPr>
                <w:sz w:val="20"/>
                <w:szCs w:val="20"/>
                <w:color w:val="auto"/>
              </w:rPr>
            </w:pPr>
            <w:r>
              <w:rPr>
                <w:rFonts w:ascii="Arial" w:cs="Arial" w:eastAsia="Arial" w:hAnsi="Arial"/>
                <w:sz w:val="16"/>
                <w:szCs w:val="16"/>
                <w:color w:val="auto"/>
              </w:rPr>
              <w:t>leases</w:t>
            </w:r>
          </w:p>
        </w:tc>
        <w:tc>
          <w:tcPr>
            <w:tcW w:w="1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Income tax expense (benefit) related to</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adjustments above, net of valuation</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allowance</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tcPr>
          <w:p>
            <w:pPr>
              <w:ind w:left="20"/>
              <w:spacing w:after="0"/>
              <w:rPr>
                <w:sz w:val="20"/>
                <w:szCs w:val="20"/>
                <w:color w:val="auto"/>
              </w:rPr>
            </w:pPr>
            <w:r>
              <w:rPr>
                <w:rFonts w:ascii="Arial" w:cs="Arial" w:eastAsia="Arial" w:hAnsi="Arial"/>
                <w:sz w:val="16"/>
                <w:szCs w:val="16"/>
                <w:color w:val="auto"/>
              </w:rPr>
              <w:t>Adjusted net income (loss) (Non-GAAP)</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(2,077)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676</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(2,753)</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(7,703)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3,131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(10,834)</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80"/>
              <w:spacing w:after="0" w:line="162" w:lineRule="exact"/>
              <w:rPr>
                <w:sz w:val="20"/>
                <w:szCs w:val="20"/>
                <w:color w:val="auto"/>
              </w:rPr>
            </w:pPr>
            <w:r>
              <w:rPr>
                <w:rFonts w:ascii="Arial" w:cs="Arial" w:eastAsia="Arial" w:hAnsi="Arial"/>
                <w:sz w:val="16"/>
                <w:szCs w:val="16"/>
                <w:color w:val="auto"/>
              </w:rPr>
              <w:t>Diluted earnings (loss) per share</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ind w:right="60"/>
              <w:spacing w:after="0"/>
              <w:rPr>
                <w:sz w:val="20"/>
                <w:szCs w:val="20"/>
                <w:color w:val="auto"/>
              </w:rPr>
            </w:pPr>
            <w:r>
              <w:rPr>
                <w:rFonts w:ascii="Arial" w:cs="Arial" w:eastAsia="Arial" w:hAnsi="Arial"/>
                <w:sz w:val="16"/>
                <w:szCs w:val="16"/>
                <w:color w:val="auto"/>
              </w:rPr>
              <w:t>(6.39)</w:t>
            </w:r>
          </w:p>
        </w:tc>
        <w:tc>
          <w:tcPr>
            <w:tcW w:w="1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ind w:right="120"/>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(8.92)</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60"/>
              <w:spacing w:after="0"/>
              <w:rPr>
                <w:sz w:val="20"/>
                <w:szCs w:val="20"/>
                <w:color w:val="auto"/>
              </w:rPr>
            </w:pPr>
            <w:r>
              <w:rPr>
                <w:rFonts w:ascii="Arial" w:cs="Arial" w:eastAsia="Arial" w:hAnsi="Arial"/>
                <w:sz w:val="16"/>
                <w:szCs w:val="16"/>
                <w:color w:val="auto"/>
              </w:rPr>
              <w:t>(25.30)</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ind w:right="100"/>
              <w:spacing w:after="0"/>
              <w:rPr>
                <w:sz w:val="20"/>
                <w:szCs w:val="20"/>
                <w:color w:val="auto"/>
              </w:rPr>
            </w:pPr>
            <w:r>
              <w:rPr>
                <w:rFonts w:ascii="Arial" w:cs="Arial" w:eastAsia="Arial" w:hAnsi="Arial"/>
                <w:sz w:val="16"/>
                <w:szCs w:val="16"/>
                <w:color w:val="auto"/>
              </w:rPr>
              <w:t>11.58</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(36.88)</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(GAAP)</w:t>
            </w:r>
          </w:p>
        </w:tc>
        <w:tc>
          <w:tcPr>
            <w:tcW w:w="1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Adjusted to exclude: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40"/>
              <w:spacing w:after="0"/>
              <w:rPr>
                <w:sz w:val="20"/>
                <w:szCs w:val="20"/>
                <w:color w:val="auto"/>
              </w:rPr>
            </w:pPr>
            <w:r>
              <w:rPr>
                <w:rFonts w:ascii="Arial" w:cs="Arial" w:eastAsia="Arial" w:hAnsi="Arial"/>
                <w:sz w:val="16"/>
                <w:szCs w:val="16"/>
                <w:color w:val="auto"/>
              </w:rPr>
              <w:t>Special charges (credit)</w:t>
            </w:r>
          </w:p>
        </w:tc>
        <w:tc>
          <w:tcPr>
            <w:tcW w:w="160" w:type="dxa"/>
            <w:vAlign w:val="bottom"/>
          </w:tcPr>
          <w:p>
            <w:pPr>
              <w:spacing w:after="0"/>
              <w:rPr>
                <w:sz w:val="18"/>
                <w:szCs w:val="18"/>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20"/>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18"/>
                <w:szCs w:val="18"/>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(9.36)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0.95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160"/>
              <w:spacing w:after="0" w:line="162" w:lineRule="exact"/>
              <w:rPr>
                <w:sz w:val="20"/>
                <w:szCs w:val="20"/>
                <w:color w:val="auto"/>
              </w:rPr>
            </w:pPr>
            <w:r>
              <w:rPr>
                <w:rFonts w:ascii="Arial" w:cs="Arial" w:eastAsia="Arial" w:hAnsi="Arial"/>
                <w:sz w:val="16"/>
                <w:szCs w:val="16"/>
                <w:color w:val="auto"/>
              </w:rPr>
              <w:t>Termination benefits and settlement</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0.13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losses</w:t>
            </w: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140"/>
              <w:spacing w:after="0" w:line="162" w:lineRule="exact"/>
              <w:rPr>
                <w:sz w:val="20"/>
                <w:szCs w:val="20"/>
                <w:color w:val="auto"/>
              </w:rPr>
            </w:pPr>
            <w:r>
              <w:rPr>
                <w:rFonts w:ascii="Arial" w:cs="Arial" w:eastAsia="Arial" w:hAnsi="Arial"/>
                <w:sz w:val="16"/>
                <w:szCs w:val="16"/>
                <w:color w:val="auto"/>
              </w:rPr>
              <w:t>Unrealized (gains) losses on</w:t>
            </w:r>
          </w:p>
        </w:tc>
        <w:tc>
          <w:tcPr>
            <w:tcW w:w="160" w:type="dxa"/>
            <w:vAlign w:val="bottom"/>
          </w:tcPr>
          <w:p>
            <w:pPr>
              <w:spacing w:after="0"/>
              <w:rPr>
                <w:sz w:val="14"/>
                <w:szCs w:val="14"/>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6"/>
                <w:szCs w:val="16"/>
                <w:color w:val="auto"/>
              </w:rPr>
              <w:t>(0.34)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60"/>
              <w:spacing w:after="0"/>
              <w:rPr>
                <w:sz w:val="20"/>
                <w:szCs w:val="20"/>
                <w:color w:val="auto"/>
              </w:rPr>
            </w:pPr>
            <w:r>
              <w:rPr>
                <w:rFonts w:ascii="Arial" w:cs="Arial" w:eastAsia="Arial" w:hAnsi="Arial"/>
                <w:sz w:val="16"/>
                <w:szCs w:val="16"/>
                <w:color w:val="auto"/>
              </w:rPr>
              <w:t>(0.32)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14"/>
                <w:szCs w:val="14"/>
                <w:color w:val="auto"/>
              </w:rPr>
            </w:pPr>
          </w:p>
        </w:tc>
        <w:tc>
          <w:tcPr>
            <w:tcW w:w="760" w:type="dxa"/>
            <w:vAlign w:val="bottom"/>
            <w:vMerge w:val="restart"/>
          </w:tcPr>
          <w:p>
            <w:pPr>
              <w:jc w:val="right"/>
              <w:ind w:right="120"/>
              <w:spacing w:after="0"/>
              <w:rPr>
                <w:sz w:val="20"/>
                <w:szCs w:val="20"/>
                <w:color w:val="auto"/>
              </w:rPr>
            </w:pPr>
            <w:r>
              <w:rPr>
                <w:rFonts w:ascii="Arial" w:cs="Arial" w:eastAsia="Arial" w:hAnsi="Arial"/>
                <w:sz w:val="16"/>
                <w:szCs w:val="16"/>
                <w:color w:val="auto"/>
              </w:rPr>
              <w:t>0.69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60"/>
              <w:spacing w:after="0"/>
              <w:rPr>
                <w:sz w:val="20"/>
                <w:szCs w:val="20"/>
                <w:color w:val="auto"/>
              </w:rPr>
            </w:pPr>
            <w:r>
              <w:rPr>
                <w:rFonts w:ascii="Arial" w:cs="Arial" w:eastAsia="Arial" w:hAnsi="Arial"/>
                <w:sz w:val="16"/>
                <w:szCs w:val="16"/>
                <w:color w:val="auto"/>
              </w:rPr>
              <w:t>(0.59)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3040" w:type="dxa"/>
            <w:vAlign w:val="bottom"/>
          </w:tcPr>
          <w:p>
            <w:pPr>
              <w:ind w:left="140"/>
              <w:spacing w:after="0"/>
              <w:rPr>
                <w:sz w:val="20"/>
                <w:szCs w:val="20"/>
                <w:color w:val="auto"/>
              </w:rPr>
            </w:pPr>
            <w:r>
              <w:rPr>
                <w:rFonts w:ascii="Arial" w:cs="Arial" w:eastAsia="Arial" w:hAnsi="Arial"/>
                <w:sz w:val="16"/>
                <w:szCs w:val="16"/>
                <w:color w:val="auto"/>
              </w:rPr>
              <w:t>investments, net</w:t>
            </w: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BRW term loan and guarantee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2"/>
        </w:trPr>
        <w:tc>
          <w:tcPr>
            <w:tcW w:w="3040" w:type="dxa"/>
            <w:vAlign w:val="bottom"/>
          </w:tcPr>
          <w:p>
            <w:pPr>
              <w:ind w:left="140"/>
              <w:spacing w:after="0" w:line="162" w:lineRule="exact"/>
              <w:rPr>
                <w:sz w:val="20"/>
                <w:szCs w:val="20"/>
                <w:color w:val="auto"/>
              </w:rPr>
            </w:pPr>
            <w:r>
              <w:rPr>
                <w:rFonts w:ascii="Arial" w:cs="Arial" w:eastAsia="Arial" w:hAnsi="Arial"/>
                <w:sz w:val="16"/>
                <w:szCs w:val="16"/>
                <w:color w:val="auto"/>
              </w:rPr>
              <w:t>Interest expense on ERJ 145 finance</w:t>
            </w:r>
          </w:p>
        </w:tc>
        <w:tc>
          <w:tcPr>
            <w:tcW w:w="160" w:type="dxa"/>
            <w:vAlign w:val="bottom"/>
          </w:tcPr>
          <w:p>
            <w:pPr>
              <w:spacing w:after="0"/>
              <w:rPr>
                <w:sz w:val="14"/>
                <w:szCs w:val="14"/>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60" w:type="dxa"/>
            <w:vAlign w:val="bottom"/>
            <w:vMerge w:val="restart"/>
          </w:tcPr>
          <w:p>
            <w:pPr>
              <w:jc w:val="right"/>
              <w:ind w:right="60"/>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14"/>
                <w:szCs w:val="14"/>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40" w:type="dxa"/>
            <w:vAlign w:val="bottom"/>
            <w:vMerge w:val="restart"/>
          </w:tcPr>
          <w:p>
            <w:pPr>
              <w:jc w:val="right"/>
              <w:ind w:right="100"/>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3040" w:type="dxa"/>
            <w:vAlign w:val="bottom"/>
          </w:tcPr>
          <w:p>
            <w:pPr>
              <w:ind w:left="140"/>
              <w:spacing w:after="0"/>
              <w:rPr>
                <w:sz w:val="20"/>
                <w:szCs w:val="20"/>
                <w:color w:val="auto"/>
              </w:rPr>
            </w:pPr>
            <w:r>
              <w:rPr>
                <w:rFonts w:ascii="Arial" w:cs="Arial" w:eastAsia="Arial" w:hAnsi="Arial"/>
                <w:sz w:val="16"/>
                <w:szCs w:val="16"/>
                <w:color w:val="auto"/>
              </w:rPr>
              <w:t>leases</w:t>
            </w:r>
          </w:p>
        </w:tc>
        <w:tc>
          <w:tcPr>
            <w:tcW w:w="1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Income tax expense (benefit) related to</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0.10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(0.04)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net of valuation allowance</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040" w:type="dxa"/>
            <w:vAlign w:val="bottom"/>
          </w:tcPr>
          <w:p>
            <w:pPr>
              <w:ind w:left="20"/>
              <w:spacing w:after="0" w:line="142" w:lineRule="exact"/>
              <w:rPr>
                <w:sz w:val="20"/>
                <w:szCs w:val="20"/>
                <w:color w:val="auto"/>
              </w:rPr>
            </w:pPr>
            <w:r>
              <w:rPr>
                <w:rFonts w:ascii="Arial" w:cs="Arial" w:eastAsia="Arial" w:hAnsi="Arial"/>
                <w:sz w:val="16"/>
                <w:szCs w:val="16"/>
                <w:color w:val="auto"/>
              </w:rPr>
              <w:t>Adjusted diluted earnings (loss) per</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ind w:right="60"/>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ind w:right="120"/>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(9.67)</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NM</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60"/>
              <w:spacing w:after="0"/>
              <w:rPr>
                <w:sz w:val="20"/>
                <w:szCs w:val="20"/>
                <w:color w:val="auto"/>
              </w:rPr>
            </w:pPr>
            <w:r>
              <w:rPr>
                <w:rFonts w:ascii="Arial" w:cs="Arial" w:eastAsia="Arial" w:hAnsi="Arial"/>
                <w:sz w:val="16"/>
                <w:szCs w:val="16"/>
                <w:color w:val="auto"/>
              </w:rPr>
              <w:t>(27.57)</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ind w:right="100"/>
              <w:spacing w:after="0"/>
              <w:rPr>
                <w:sz w:val="20"/>
                <w:szCs w:val="20"/>
                <w:color w:val="auto"/>
              </w:rPr>
            </w:pPr>
            <w:r>
              <w:rPr>
                <w:rFonts w:ascii="Arial" w:cs="Arial" w:eastAsia="Arial" w:hAnsi="Arial"/>
                <w:sz w:val="16"/>
                <w:szCs w:val="16"/>
                <w:color w:val="auto"/>
              </w:rPr>
              <w:t>12.05</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(39.62)</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94"/>
        </w:trPr>
        <w:tc>
          <w:tcPr>
            <w:tcW w:w="3040" w:type="dxa"/>
            <w:vAlign w:val="bottom"/>
          </w:tcPr>
          <w:p>
            <w:pPr>
              <w:ind w:left="20"/>
              <w:spacing w:after="0"/>
              <w:rPr>
                <w:sz w:val="20"/>
                <w:szCs w:val="20"/>
                <w:color w:val="auto"/>
              </w:rPr>
            </w:pPr>
            <w:r>
              <w:rPr>
                <w:rFonts w:ascii="Arial" w:cs="Arial" w:eastAsia="Arial" w:hAnsi="Arial"/>
                <w:sz w:val="16"/>
                <w:szCs w:val="16"/>
                <w:color w:val="auto"/>
              </w:rPr>
              <w:t>share (Non-GAAP)</w:t>
            </w:r>
          </w:p>
        </w:tc>
        <w:tc>
          <w:tcPr>
            <w:tcW w:w="16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NM Not Meaningful</w:t>
      </w:r>
    </w:p>
    <w:p>
      <w:pPr>
        <w:sectPr>
          <w:pgSz w:w="11900" w:h="16838" w:orient="portrait"/>
          <w:cols w:equalWidth="0" w:num="1">
            <w:col w:w="11140"/>
          </w:cols>
          <w:pgMar w:left="320" w:top="115" w:right="439" w:bottom="504"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140"/>
          </w:cols>
          <w:pgMar w:left="320" w:top="115" w:right="439" w:bottom="504"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color w:val="auto"/>
        </w:rPr>
        <w:t>United Airlines Reports Fourth-Quarter And Full-Year 2020 Results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CONDENSED CONSOLIDATED BALANCE SHEETS (UNAUDITED)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00" w:type="dxa"/>
            <w:vAlign w:val="bottom"/>
          </w:tcPr>
          <w:p>
            <w:pPr>
              <w:ind w:left="8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9"/>
                <w:szCs w:val="19"/>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December 31, 2020</w:t>
            </w:r>
          </w:p>
        </w:tc>
        <w:tc>
          <w:tcPr>
            <w:tcW w:w="160" w:type="dxa"/>
            <w:vAlign w:val="bottom"/>
          </w:tcPr>
          <w:p>
            <w:pPr>
              <w:spacing w:after="0"/>
              <w:rPr>
                <w:sz w:val="19"/>
                <w:szCs w:val="19"/>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December 31, 2019</w:t>
            </w:r>
          </w:p>
        </w:tc>
        <w:tc>
          <w:tcPr>
            <w:tcW w:w="0" w:type="dxa"/>
            <w:vAlign w:val="bottom"/>
          </w:tcPr>
          <w:p>
            <w:pPr>
              <w:spacing w:after="0"/>
              <w:rPr>
                <w:sz w:val="1"/>
                <w:szCs w:val="1"/>
                <w:color w:val="auto"/>
              </w:rPr>
            </w:pPr>
          </w:p>
        </w:tc>
      </w:tr>
      <w:tr>
        <w:trPr>
          <w:trHeight w:val="197"/>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2,762</w:t>
            </w:r>
          </w:p>
        </w:tc>
        <w:tc>
          <w:tcPr>
            <w:tcW w:w="0" w:type="dxa"/>
            <w:vAlign w:val="bottom"/>
          </w:tcPr>
          <w:p>
            <w:pPr>
              <w:spacing w:after="0"/>
              <w:rPr>
                <w:sz w:val="1"/>
                <w:szCs w:val="1"/>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414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2,182</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Restricted cash</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6"/>
                <w:szCs w:val="16"/>
                <w:color w:val="auto"/>
              </w:rPr>
              <w:t>Receivables, less allowance for credit losses (2020—$78; 2019—$9)</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1,295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1,364</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Aircraft fuel, spare parts and supplies, less obsolescence allowance (2020—$478; 2019—$425)</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w:t>
            </w:r>
          </w:p>
        </w:tc>
        <w:tc>
          <w:tcPr>
            <w:tcW w:w="0" w:type="dxa"/>
            <w:vAlign w:val="bottom"/>
          </w:tcPr>
          <w:p>
            <w:pPr>
              <w:spacing w:after="0"/>
              <w:rPr>
                <w:sz w:val="1"/>
                <w:szCs w:val="1"/>
                <w:color w:val="auto"/>
              </w:rPr>
            </w:pPr>
          </w:p>
        </w:tc>
      </w:tr>
      <w:tr>
        <w:trPr>
          <w:trHeight w:val="216"/>
        </w:trPr>
        <w:tc>
          <w:tcPr>
            <w:tcW w:w="73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expenses and other</w:t>
            </w: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14,800</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8,194</w:t>
            </w:r>
          </w:p>
        </w:tc>
        <w:tc>
          <w:tcPr>
            <w:tcW w:w="0" w:type="dxa"/>
            <w:vAlign w:val="bottom"/>
          </w:tcPr>
          <w:p>
            <w:pPr>
              <w:spacing w:after="0"/>
              <w:rPr>
                <w:sz w:val="1"/>
                <w:szCs w:val="1"/>
                <w:color w:val="auto"/>
              </w:rPr>
            </w:pPr>
          </w:p>
        </w:tc>
      </w:tr>
      <w:tr>
        <w:trPr>
          <w:trHeight w:val="88"/>
        </w:trPr>
        <w:tc>
          <w:tcPr>
            <w:tcW w:w="7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property and equipment, net</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31,466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30,170</w:t>
            </w:r>
          </w:p>
        </w:tc>
        <w:tc>
          <w:tcPr>
            <w:tcW w:w="0" w:type="dxa"/>
            <w:vAlign w:val="bottom"/>
          </w:tcPr>
          <w:p>
            <w:pPr>
              <w:spacing w:after="0"/>
              <w:rPr>
                <w:sz w:val="1"/>
                <w:szCs w:val="1"/>
                <w:color w:val="auto"/>
              </w:rPr>
            </w:pPr>
          </w:p>
        </w:tc>
      </w:tr>
      <w:tr>
        <w:trPr>
          <w:trHeight w:val="216"/>
        </w:trPr>
        <w:tc>
          <w:tcPr>
            <w:tcW w:w="73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4,537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4,758</w:t>
            </w:r>
          </w:p>
        </w:tc>
        <w:tc>
          <w:tcPr>
            <w:tcW w:w="0" w:type="dxa"/>
            <w:vAlign w:val="bottom"/>
          </w:tcPr>
          <w:p>
            <w:pPr>
              <w:spacing w:after="0"/>
              <w:rPr>
                <w:sz w:val="1"/>
                <w:szCs w:val="1"/>
                <w:color w:val="auto"/>
              </w:rPr>
            </w:pPr>
          </w:p>
        </w:tc>
      </w:tr>
      <w:tr>
        <w:trPr>
          <w:trHeight w:val="94"/>
        </w:trPr>
        <w:tc>
          <w:tcPr>
            <w:tcW w:w="73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4,523</w:t>
            </w:r>
          </w:p>
        </w:tc>
        <w:tc>
          <w:tcPr>
            <w:tcW w:w="0" w:type="dxa"/>
            <w:vAlign w:val="bottom"/>
          </w:tcPr>
          <w:p>
            <w:pPr>
              <w:spacing w:after="0"/>
              <w:rPr>
                <w:sz w:val="1"/>
                <w:szCs w:val="1"/>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6"/>
                <w:szCs w:val="16"/>
                <w:color w:val="auto"/>
              </w:rPr>
              <w:t>Intangibles, less accumulated amortization (2020—$1,495; 2019—$1,440)</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2,838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3,009</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Restricted cash</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6"/>
                <w:szCs w:val="16"/>
                <w:color w:val="auto"/>
              </w:rPr>
              <w:t>Notes receivable, less allowance for credit losses (2020—$522)</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3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Investments in affiliates and other, net</w:t>
            </w: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8,745</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9,489</w:t>
            </w:r>
          </w:p>
        </w:tc>
        <w:tc>
          <w:tcPr>
            <w:tcW w:w="0" w:type="dxa"/>
            <w:vAlign w:val="bottom"/>
          </w:tcPr>
          <w:p>
            <w:pPr>
              <w:spacing w:after="0"/>
              <w:rPr>
                <w:sz w:val="1"/>
                <w:szCs w:val="1"/>
                <w:color w:val="auto"/>
              </w:rPr>
            </w:pPr>
          </w:p>
        </w:tc>
      </w:tr>
      <w:tr>
        <w:trPr>
          <w:trHeight w:val="209"/>
        </w:trPr>
        <w:tc>
          <w:tcPr>
            <w:tcW w:w="73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59,548</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52,611</w:t>
            </w:r>
          </w:p>
        </w:tc>
        <w:tc>
          <w:tcPr>
            <w:tcW w:w="0" w:type="dxa"/>
            <w:vAlign w:val="bottom"/>
          </w:tcPr>
          <w:p>
            <w:pPr>
              <w:spacing w:after="0"/>
              <w:rPr>
                <w:sz w:val="1"/>
                <w:szCs w:val="1"/>
                <w:color w:val="auto"/>
              </w:rPr>
            </w:pPr>
          </w:p>
        </w:tc>
      </w:tr>
      <w:tr>
        <w:trPr>
          <w:trHeight w:val="21"/>
        </w:trPr>
        <w:tc>
          <w:tcPr>
            <w:tcW w:w="73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7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6"/>
                <w:szCs w:val="16"/>
                <w:color w:val="auto"/>
              </w:rPr>
              <w:t>Advance ticket sales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4,833</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4,819</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2,703</w:t>
            </w:r>
          </w:p>
        </w:tc>
        <w:tc>
          <w:tcPr>
            <w:tcW w:w="0" w:type="dxa"/>
            <w:vAlign w:val="bottom"/>
          </w:tcPr>
          <w:p>
            <w:pPr>
              <w:spacing w:after="0"/>
              <w:rPr>
                <w:sz w:val="1"/>
                <w:szCs w:val="1"/>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6"/>
                <w:szCs w:val="16"/>
                <w:color w:val="auto"/>
              </w:rPr>
              <w:t>Frequent flyer deferred revenue</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908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2,440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salaries and benefits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w:t>
            </w:r>
          </w:p>
        </w:tc>
        <w:tc>
          <w:tcPr>
            <w:tcW w:w="0" w:type="dxa"/>
            <w:vAlign w:val="bottom"/>
          </w:tcPr>
          <w:p>
            <w:pPr>
              <w:spacing w:after="0"/>
              <w:rPr>
                <w:sz w:val="1"/>
                <w:szCs w:val="1"/>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6"/>
                <w:szCs w:val="16"/>
                <w:color w:val="auto"/>
              </w:rPr>
              <w:t>Current maturities of long-term debt</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1,911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1,407</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maturities of finance leases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6"/>
                <w:szCs w:val="16"/>
                <w:color w:val="auto"/>
              </w:rPr>
              <w:t>Current maturities of operating leases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612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09"/>
        </w:trPr>
        <w:tc>
          <w:tcPr>
            <w:tcW w:w="73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12,725</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14,938</w:t>
            </w:r>
          </w:p>
        </w:tc>
        <w:tc>
          <w:tcPr>
            <w:tcW w:w="0" w:type="dxa"/>
            <w:vAlign w:val="bottom"/>
          </w:tcPr>
          <w:p>
            <w:pPr>
              <w:spacing w:after="0"/>
              <w:rPr>
                <w:sz w:val="1"/>
                <w:szCs w:val="1"/>
                <w:color w:val="auto"/>
              </w:rPr>
            </w:pPr>
          </w:p>
        </w:tc>
      </w:tr>
      <w:tr>
        <w:trPr>
          <w:trHeight w:val="129"/>
        </w:trPr>
        <w:tc>
          <w:tcPr>
            <w:tcW w:w="7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0"/>
              <w:spacing w:after="0"/>
              <w:rPr>
                <w:sz w:val="20"/>
                <w:szCs w:val="20"/>
                <w:color w:val="auto"/>
              </w:rPr>
            </w:pPr>
            <w:r>
              <w:rPr>
                <w:rFonts w:ascii="Arial" w:cs="Arial" w:eastAsia="Arial" w:hAnsi="Arial"/>
                <w:sz w:val="16"/>
                <w:szCs w:val="16"/>
                <w:color w:val="auto"/>
              </w:rPr>
              <w:t>Long-term liabilities and deferred credits:</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13,145</w:t>
            </w:r>
          </w:p>
        </w:tc>
        <w:tc>
          <w:tcPr>
            <w:tcW w:w="0" w:type="dxa"/>
            <w:vAlign w:val="bottom"/>
          </w:tcPr>
          <w:p>
            <w:pPr>
              <w:spacing w:after="0"/>
              <w:rPr>
                <w:sz w:val="1"/>
                <w:szCs w:val="1"/>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6"/>
                <w:szCs w:val="16"/>
                <w:color w:val="auto"/>
              </w:rPr>
              <w:t>Long-term obligations under finance leases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obligations under operating leases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4,946</w:t>
            </w:r>
          </w:p>
        </w:tc>
        <w:tc>
          <w:tcPr>
            <w:tcW w:w="0" w:type="dxa"/>
            <w:vAlign w:val="bottom"/>
          </w:tcPr>
          <w:p>
            <w:pPr>
              <w:spacing w:after="0"/>
              <w:rPr>
                <w:sz w:val="1"/>
                <w:szCs w:val="1"/>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6"/>
                <w:szCs w:val="16"/>
                <w:color w:val="auto"/>
              </w:rPr>
              <w:t>Frequent flyer deferred revenue</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5,067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2,836</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Postretirement benefit liability</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6"/>
                <w:szCs w:val="16"/>
                <w:color w:val="auto"/>
              </w:rPr>
              <w:t>Pension liability</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2,460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1,446</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6"/>
                <w:szCs w:val="16"/>
                <w:color w:val="auto"/>
              </w:rPr>
              <w:t>Other financial liabilities from sale-leasebacks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1,140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210"/>
        </w:trPr>
        <w:tc>
          <w:tcPr>
            <w:tcW w:w="73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long-term liabilities and deferred credits</w:t>
            </w: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40,863</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26,142</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5,960</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11,531</w:t>
            </w:r>
          </w:p>
        </w:tc>
        <w:tc>
          <w:tcPr>
            <w:tcW w:w="0" w:type="dxa"/>
            <w:vAlign w:val="bottom"/>
          </w:tcPr>
          <w:p>
            <w:pPr>
              <w:spacing w:after="0"/>
              <w:rPr>
                <w:sz w:val="1"/>
                <w:szCs w:val="1"/>
                <w:color w:val="auto"/>
              </w:rPr>
            </w:pPr>
          </w:p>
        </w:tc>
      </w:tr>
      <w:tr>
        <w:trPr>
          <w:trHeight w:val="209"/>
        </w:trPr>
        <w:tc>
          <w:tcPr>
            <w:tcW w:w="730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59,548</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52,611</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15"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United Airlines Reports Fourth-Quarter And Full-Year 2020 Results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UNITED AIRLINES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CONDENSED STATEMENTS OF CONSOLIDATED CASH FLOWS (UNAUDITED)</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40" w:type="dxa"/>
            <w:vAlign w:val="bottom"/>
            <w:vMerge w:val="restart"/>
          </w:tcPr>
          <w:p>
            <w:pPr>
              <w:ind w:left="60"/>
              <w:spacing w:after="0"/>
              <w:rPr>
                <w:sz w:val="20"/>
                <w:szCs w:val="20"/>
                <w:color w:val="auto"/>
              </w:rPr>
            </w:pPr>
            <w:r>
              <w:rPr>
                <w:rFonts w:ascii="Arial" w:cs="Arial" w:eastAsia="Arial" w:hAnsi="Arial"/>
                <w:sz w:val="16"/>
                <w:szCs w:val="16"/>
                <w:color w:val="auto"/>
              </w:rPr>
              <w:t>(In millions)</w:t>
            </w:r>
          </w:p>
        </w:tc>
        <w:tc>
          <w:tcPr>
            <w:tcW w:w="300" w:type="dxa"/>
            <w:vAlign w:val="bottom"/>
          </w:tcPr>
          <w:p>
            <w:pPr>
              <w:spacing w:after="0"/>
              <w:rPr>
                <w:sz w:val="16"/>
                <w:szCs w:val="16"/>
                <w:color w:val="auto"/>
              </w:rPr>
            </w:pPr>
          </w:p>
        </w:tc>
        <w:tc>
          <w:tcPr>
            <w:tcW w:w="1760" w:type="dxa"/>
            <w:vAlign w:val="bottom"/>
            <w:gridSpan w:val="3"/>
          </w:tcPr>
          <w:p>
            <w:pPr>
              <w:jc w:val="right"/>
              <w:ind w:right="99"/>
              <w:spacing w:after="0"/>
              <w:rPr>
                <w:sz w:val="20"/>
                <w:szCs w:val="20"/>
                <w:color w:val="auto"/>
              </w:rPr>
            </w:pPr>
            <w:r>
              <w:rPr>
                <w:rFonts w:ascii="Arial" w:cs="Arial" w:eastAsia="Arial" w:hAnsi="Arial"/>
                <w:sz w:val="16"/>
                <w:szCs w:val="16"/>
                <w:color w:val="auto"/>
              </w:rPr>
              <w:t>Year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4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December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40" w:type="dxa"/>
            <w:vAlign w:val="bottom"/>
            <w:vMerge w:val="restart"/>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2020</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95"/>
        </w:trPr>
        <w:tc>
          <w:tcPr>
            <w:tcW w:w="82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(4,093)</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6,909</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120"/>
              <w:spacing w:after="0"/>
              <w:rPr>
                <w:sz w:val="20"/>
                <w:szCs w:val="20"/>
                <w:color w:val="auto"/>
              </w:rPr>
            </w:pPr>
            <w:r>
              <w:rPr>
                <w:rFonts w:ascii="Arial" w:cs="Arial" w:eastAsia="Arial" w:hAnsi="Arial"/>
                <w:sz w:val="16"/>
                <w:szCs w:val="16"/>
                <w:color w:val="auto"/>
              </w:rPr>
              <w:t>Capital expenditures, net of flight equipment purchase deposit returns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(1,767)</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(4,528)</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short-term and other investments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w:t>
            </w:r>
          </w:p>
        </w:tc>
        <w:tc>
          <w:tcPr>
            <w:tcW w:w="0" w:type="dxa"/>
            <w:vAlign w:val="bottom"/>
          </w:tcPr>
          <w:p>
            <w:pPr>
              <w:spacing w:after="0"/>
              <w:rPr>
                <w:sz w:val="1"/>
                <w:szCs w:val="1"/>
                <w:color w:val="auto"/>
              </w:rPr>
            </w:pPr>
          </w:p>
        </w:tc>
      </w:tr>
      <w:tr>
        <w:trPr>
          <w:trHeight w:val="216"/>
        </w:trPr>
        <w:tc>
          <w:tcPr>
            <w:tcW w:w="8240" w:type="dxa"/>
            <w:vAlign w:val="bottom"/>
          </w:tcPr>
          <w:p>
            <w:pPr>
              <w:ind w:left="120"/>
              <w:spacing w:after="0"/>
              <w:rPr>
                <w:sz w:val="20"/>
                <w:szCs w:val="20"/>
                <w:color w:val="auto"/>
              </w:rPr>
            </w:pPr>
            <w:r>
              <w:rPr>
                <w:rFonts w:ascii="Arial" w:cs="Arial" w:eastAsia="Arial" w:hAnsi="Arial"/>
                <w:sz w:val="16"/>
                <w:szCs w:val="16"/>
                <w:color w:val="auto"/>
              </w:rPr>
              <w:t>Proceeds from sale of short-term and other investments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2,996</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Loans made to others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6"/>
        </w:trPr>
        <w:tc>
          <w:tcPr>
            <w:tcW w:w="8240" w:type="dxa"/>
            <w:vAlign w:val="bottom"/>
          </w:tcPr>
          <w:p>
            <w:pPr>
              <w:ind w:left="120"/>
              <w:spacing w:after="0"/>
              <w:rPr>
                <w:sz w:val="20"/>
                <w:szCs w:val="20"/>
                <w:color w:val="auto"/>
              </w:rPr>
            </w:pPr>
            <w:r>
              <w:rPr>
                <w:rFonts w:ascii="Arial" w:cs="Arial" w:eastAsia="Arial" w:hAnsi="Arial"/>
                <w:sz w:val="16"/>
                <w:szCs w:val="16"/>
                <w:color w:val="auto"/>
              </w:rPr>
              <w:t>Investment in affiliates</w:t>
            </w:r>
          </w:p>
        </w:tc>
        <w:tc>
          <w:tcPr>
            <w:tcW w:w="3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(4,560)</w:t>
            </w: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Repurchases of common stock</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w:t>
            </w:r>
          </w:p>
        </w:tc>
        <w:tc>
          <w:tcPr>
            <w:tcW w:w="0" w:type="dxa"/>
            <w:vAlign w:val="bottom"/>
          </w:tcPr>
          <w:p>
            <w:pPr>
              <w:spacing w:after="0"/>
              <w:rPr>
                <w:sz w:val="1"/>
                <w:szCs w:val="1"/>
                <w:color w:val="auto"/>
              </w:rPr>
            </w:pPr>
          </w:p>
        </w:tc>
      </w:tr>
      <w:tr>
        <w:trPr>
          <w:trHeight w:val="216"/>
        </w:trPr>
        <w:tc>
          <w:tcPr>
            <w:tcW w:w="8240" w:type="dxa"/>
            <w:vAlign w:val="bottom"/>
          </w:tcPr>
          <w:p>
            <w:pPr>
              <w:ind w:left="120"/>
              <w:spacing w:after="0"/>
              <w:rPr>
                <w:sz w:val="20"/>
                <w:szCs w:val="20"/>
                <w:color w:val="auto"/>
              </w:rPr>
            </w:pPr>
            <w:r>
              <w:rPr>
                <w:rFonts w:ascii="Arial" w:cs="Arial" w:eastAsia="Arial" w:hAnsi="Arial"/>
                <w:sz w:val="16"/>
                <w:szCs w:val="16"/>
                <w:color w:val="auto"/>
              </w:rPr>
              <w:t>Proceeds from issuance of debt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16,044</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1,847</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equity issuance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40" w:type="dxa"/>
            <w:vAlign w:val="bottom"/>
          </w:tcPr>
          <w:p>
            <w:pPr>
              <w:ind w:left="120"/>
              <w:spacing w:after="0"/>
              <w:rPr>
                <w:sz w:val="20"/>
                <w:szCs w:val="20"/>
                <w:color w:val="auto"/>
              </w:rPr>
            </w:pPr>
            <w:r>
              <w:rPr>
                <w:rFonts w:ascii="Arial" w:cs="Arial" w:eastAsia="Arial" w:hAnsi="Arial"/>
                <w:sz w:val="16"/>
                <w:szCs w:val="16"/>
                <w:color w:val="auto"/>
              </w:rPr>
              <w:t>Payments of long-term debt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(4,383)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(1,240)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Principal payments under finance leases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6"/>
        </w:trPr>
        <w:tc>
          <w:tcPr>
            <w:tcW w:w="8240" w:type="dxa"/>
            <w:vAlign w:val="bottom"/>
          </w:tcPr>
          <w:p>
            <w:pPr>
              <w:ind w:left="120"/>
              <w:spacing w:after="0"/>
              <w:rPr>
                <w:sz w:val="20"/>
                <w:szCs w:val="20"/>
                <w:color w:val="auto"/>
              </w:rPr>
            </w:pPr>
            <w:r>
              <w:rPr>
                <w:rFonts w:ascii="Arial" w:cs="Arial" w:eastAsia="Arial" w:hAnsi="Arial"/>
                <w:sz w:val="16"/>
                <w:szCs w:val="16"/>
                <w:color w:val="auto"/>
              </w:rPr>
              <w:t>Capitalized financing costs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12,957</w:t>
            </w:r>
          </w:p>
        </w:tc>
        <w:tc>
          <w:tcPr>
            <w:tcW w:w="2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8,874</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0" w:type="dxa"/>
            <w:vAlign w:val="bottom"/>
          </w:tcPr>
          <w:p>
            <w:pPr>
              <w:spacing w:after="0"/>
              <w:rPr>
                <w:sz w:val="1"/>
                <w:szCs w:val="1"/>
                <w:color w:val="auto"/>
              </w:rPr>
            </w:pP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2,868</w:t>
            </w:r>
          </w:p>
        </w:tc>
        <w:tc>
          <w:tcPr>
            <w:tcW w:w="2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w:t>
            </w:r>
          </w:p>
        </w:tc>
        <w:tc>
          <w:tcPr>
            <w:tcW w:w="0" w:type="dxa"/>
            <w:vAlign w:val="bottom"/>
          </w:tcPr>
          <w:p>
            <w:pPr>
              <w:spacing w:after="0"/>
              <w:rPr>
                <w:sz w:val="1"/>
                <w:szCs w:val="1"/>
                <w:color w:val="auto"/>
              </w:rPr>
            </w:pPr>
          </w:p>
        </w:tc>
      </w:tr>
      <w:tr>
        <w:trPr>
          <w:trHeight w:val="235"/>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11,742</w:t>
            </w:r>
          </w:p>
        </w:tc>
        <w:tc>
          <w:tcPr>
            <w:tcW w:w="2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and Financing Activities Not Affecting Cash:</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120"/>
              <w:spacing w:after="0"/>
              <w:rPr>
                <w:sz w:val="20"/>
                <w:szCs w:val="20"/>
                <w:color w:val="auto"/>
              </w:rPr>
            </w:pPr>
            <w:r>
              <w:rPr>
                <w:rFonts w:ascii="Arial" w:cs="Arial" w:eastAsia="Arial" w:hAnsi="Arial"/>
                <w:sz w:val="16"/>
                <w:szCs w:val="16"/>
                <w:color w:val="auto"/>
              </w:rPr>
              <w:t>Property and equipment acquired through the issuance of debt, finance leases and other</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1,968</w:t>
            </w:r>
          </w:p>
        </w:tc>
        <w:tc>
          <w:tcPr>
            <w:tcW w:w="28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Right-of-use assets acquired through operating leases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16"/>
        </w:trPr>
        <w:tc>
          <w:tcPr>
            <w:tcW w:w="8240" w:type="dxa"/>
            <w:vAlign w:val="bottom"/>
          </w:tcPr>
          <w:p>
            <w:pPr>
              <w:ind w:left="120"/>
              <w:spacing w:after="0"/>
              <w:rPr>
                <w:sz w:val="20"/>
                <w:szCs w:val="20"/>
                <w:color w:val="auto"/>
              </w:rPr>
            </w:pPr>
            <w:r>
              <w:rPr>
                <w:rFonts w:ascii="Arial" w:cs="Arial" w:eastAsia="Arial" w:hAnsi="Arial"/>
                <w:sz w:val="16"/>
                <w:szCs w:val="16"/>
                <w:color w:val="auto"/>
              </w:rPr>
              <w:t>Lease modifications and lease conversions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527</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Capacity purchase agreement liability converted to debt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15" w:right="3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United Airlines Reports Fourth-Quarter And Full-Year 2020 Results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UNITED AIRLINES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NOTES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80" w:type="dxa"/>
            <w:vAlign w:val="bottom"/>
            <w:gridSpan w:val="6"/>
          </w:tcPr>
          <w:p>
            <w:pPr>
              <w:spacing w:after="0"/>
              <w:rPr>
                <w:sz w:val="20"/>
                <w:szCs w:val="20"/>
                <w:color w:val="auto"/>
              </w:rPr>
            </w:pPr>
            <w:r>
              <w:rPr>
                <w:rFonts w:ascii="Arial" w:cs="Arial" w:eastAsia="Arial" w:hAnsi="Arial"/>
                <w:sz w:val="16"/>
                <w:szCs w:val="16"/>
                <w:b w:val="1"/>
                <w:bCs w:val="1"/>
                <w:color w:val="auto"/>
              </w:rPr>
              <w:t>Special charges (credit) and unrealized (gains) losses on investments, net include the following:</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00" w:type="dxa"/>
            <w:vAlign w:val="bottom"/>
            <w:gridSpan w:val="5"/>
          </w:tcPr>
          <w:p>
            <w:pPr>
              <w:jc w:val="center"/>
              <w:ind w:right="440"/>
              <w:spacing w:after="0"/>
              <w:rPr>
                <w:sz w:val="20"/>
                <w:szCs w:val="20"/>
                <w:color w:val="auto"/>
              </w:rPr>
            </w:pPr>
            <w:r>
              <w:rPr>
                <w:rFonts w:ascii="Arial" w:cs="Arial" w:eastAsia="Arial" w:hAnsi="Arial"/>
                <w:sz w:val="16"/>
                <w:szCs w:val="16"/>
                <w:color w:val="auto"/>
              </w:rPr>
              <w:t>Three Months Ended</w:t>
            </w:r>
          </w:p>
        </w:tc>
        <w:tc>
          <w:tcPr>
            <w:tcW w:w="180" w:type="dxa"/>
            <w:vAlign w:val="bottom"/>
          </w:tcPr>
          <w:p>
            <w:pPr>
              <w:spacing w:after="0"/>
              <w:rPr>
                <w:sz w:val="22"/>
                <w:szCs w:val="22"/>
                <w:color w:val="auto"/>
              </w:rPr>
            </w:pPr>
          </w:p>
        </w:tc>
        <w:tc>
          <w:tcPr>
            <w:tcW w:w="1680" w:type="dxa"/>
            <w:vAlign w:val="bottom"/>
            <w:gridSpan w:val="4"/>
          </w:tcPr>
          <w:p>
            <w:pPr>
              <w:jc w:val="right"/>
              <w:ind w:right="439"/>
              <w:spacing w:after="0"/>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5"/>
          </w:tcPr>
          <w:p>
            <w:pPr>
              <w:jc w:val="center"/>
              <w:ind w:right="440"/>
              <w:spacing w:after="0"/>
              <w:rPr>
                <w:sz w:val="20"/>
                <w:szCs w:val="20"/>
                <w:color w:val="auto"/>
              </w:rPr>
            </w:pPr>
            <w:r>
              <w:rPr>
                <w:rFonts w:ascii="Arial" w:cs="Arial" w:eastAsia="Arial" w:hAnsi="Arial"/>
                <w:sz w:val="16"/>
                <w:szCs w:val="16"/>
                <w:color w:val="auto"/>
              </w:rPr>
              <w:t>December 31,</w:t>
            </w:r>
          </w:p>
        </w:tc>
        <w:tc>
          <w:tcPr>
            <w:tcW w:w="180" w:type="dxa"/>
            <w:vAlign w:val="bottom"/>
          </w:tcPr>
          <w:p>
            <w:pPr>
              <w:spacing w:after="0"/>
              <w:rPr>
                <w:sz w:val="18"/>
                <w:szCs w:val="18"/>
                <w:color w:val="auto"/>
              </w:rPr>
            </w:pPr>
          </w:p>
        </w:tc>
        <w:tc>
          <w:tcPr>
            <w:tcW w:w="1680" w:type="dxa"/>
            <w:vAlign w:val="bottom"/>
            <w:gridSpan w:val="4"/>
          </w:tcPr>
          <w:p>
            <w:pPr>
              <w:jc w:val="right"/>
              <w:ind w:right="33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2020</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2019</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2020</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20" w:type="dxa"/>
            <w:vAlign w:val="bottom"/>
            <w:gridSpan w:val="2"/>
          </w:tcPr>
          <w:p>
            <w:pPr>
              <w:spacing w:after="0" w:line="155" w:lineRule="exact"/>
              <w:rPr>
                <w:sz w:val="20"/>
                <w:szCs w:val="20"/>
                <w:color w:val="auto"/>
              </w:rPr>
            </w:pPr>
            <w:r>
              <w:rPr>
                <w:rFonts w:ascii="Arial" w:cs="Arial" w:eastAsia="Arial" w:hAnsi="Arial"/>
                <w:sz w:val="16"/>
                <w:szCs w:val="16"/>
                <w:color w:val="auto"/>
              </w:rPr>
              <w:t>Operating:</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CARES Act grant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6"/>
                <w:szCs w:val="16"/>
                <w:color w:val="auto"/>
              </w:rPr>
              <w:t>Severance and benefit costs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of assets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69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(Gains) losses on sale of assets and other special charges</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operating special charges (credit)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Nonoperating unrealized (gains) losses on investments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6"/>
                <w:szCs w:val="16"/>
                <w:color w:val="auto"/>
              </w:rPr>
              <w:t>Nonoperating special termination benefits and settlement losses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92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Nonoperating credit loss on BRW Aviation Holding LLC and BRW Aviation LLC ("BRW") term</w:t>
            </w:r>
          </w:p>
        </w:tc>
        <w:tc>
          <w:tcPr>
            <w:tcW w:w="1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loan and related guarantee</w:t>
            </w:r>
          </w:p>
        </w:tc>
        <w:tc>
          <w:tcPr>
            <w:tcW w:w="1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69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nonoperating special charges and unrealized (gains) losses on investments</w:t>
            </w: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1,578</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6920" w:type="dxa"/>
            <w:vAlign w:val="bottom"/>
            <w:gridSpan w:val="2"/>
            <w:shd w:val="clear" w:color="auto" w:fill="CCEEFF"/>
          </w:tcPr>
          <w:p>
            <w:pPr>
              <w:spacing w:after="0" w:line="142" w:lineRule="exact"/>
              <w:rPr>
                <w:sz w:val="20"/>
                <w:szCs w:val="20"/>
                <w:color w:val="auto"/>
              </w:rPr>
            </w:pPr>
            <w:r>
              <w:rPr>
                <w:rFonts w:ascii="Arial" w:cs="Arial" w:eastAsia="Arial" w:hAnsi="Arial"/>
                <w:sz w:val="16"/>
                <w:szCs w:val="16"/>
                <w:color w:val="auto"/>
              </w:rPr>
              <w:t>Total operating and nonoperating special charges (credit) and unrealized (gains) losses on</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investments</w:t>
            </w: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69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Income tax expense (benefit), net of valuation allowance</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692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6"/>
                <w:szCs w:val="16"/>
                <w:color w:val="auto"/>
              </w:rPr>
              <w:t>Total operating and non-operating special charges (credit) and unrealized (gains) losses on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6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investments, net of income taxes</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line="261" w:lineRule="auto"/>
        <w:rPr>
          <w:sz w:val="20"/>
          <w:szCs w:val="20"/>
          <w:color w:val="auto"/>
        </w:rPr>
      </w:pPr>
      <w:r>
        <w:rPr>
          <w:rFonts w:ascii="Arial" w:cs="Arial" w:eastAsia="Arial" w:hAnsi="Arial"/>
          <w:sz w:val="16"/>
          <w:szCs w:val="16"/>
          <w:u w:val="single" w:color="auto"/>
          <w:color w:val="auto"/>
        </w:rPr>
        <w:t>CARES Act grant</w:t>
      </w:r>
      <w:r>
        <w:rPr>
          <w:rFonts w:ascii="Arial" w:cs="Arial" w:eastAsia="Arial" w:hAnsi="Arial"/>
          <w:sz w:val="16"/>
          <w:szCs w:val="16"/>
          <w:color w:val="auto"/>
        </w:rPr>
        <w:t>. During the year ended December 31, 2020, the company received approximately $5.1 billion in funding pursuant to the Payroll Support Program under the CARES Act, which consisted of $3.6 billion of grants and $1.5 billion of an unsecured loan. The company also recorded $66 million for warrants issued to the U.S. Treasury Department, within stockholders' equity, as an offset to the grant income. We recognized the grant as a credit to Special charges (credit) as the salaries and wages the grant was intended to offset were incurred.</w:t>
      </w:r>
    </w:p>
    <w:p>
      <w:pPr>
        <w:spacing w:after="0" w:line="50"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u w:val="single" w:color="auto"/>
          <w:color w:val="auto"/>
        </w:rPr>
        <w:t>Severance and benefit costs</w:t>
      </w:r>
      <w:r>
        <w:rPr>
          <w:rFonts w:ascii="Arial" w:cs="Arial" w:eastAsia="Arial" w:hAnsi="Arial"/>
          <w:sz w:val="16"/>
          <w:szCs w:val="16"/>
          <w:color w:val="auto"/>
        </w:rPr>
        <w:t>: As announced in July 2020, the company started the involuntary furlough process earlier this summer when issuing WARN Act notices to 36,000 of its employees. Since then, the company worked to further reduce the total number of furloughs to approximately 13,000 employees by working closely with its union partners, introducing new voluntary options selected by approximately 9,000 employees and proposing creative solutions that would save jobs. This workforce reduction is part of the company's strategic realignment of its business and new organizational structure as a result of the impacts of the COVID-19 pandemic on the company's operations and cost structure. The company recorded $162 million and $575 million during the three and twelve months ended December 31, 2020, respectively, related to the workforce reduction and voluntary plans for employee severance, pay continuance from voluntary retirements, and benefits-related costs (and additional costs associated with special termination benefits and settlement losses discussed below).</w:t>
      </w:r>
    </w:p>
    <w:p>
      <w:pPr>
        <w:spacing w:after="0" w:line="48"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During the three and twelve months ended December 31, 2019, the company recorded $2 million and $14 million, respectively, of management severance. During the twelve months ended December 31, 2019, the company recorded $2 million of severance and benefit costs related to a voluntary early-out program for its technicians and related employees represented by the International Brotherhood of Teamsters. In the first quarter of 2017, approximately 1,000 technicians and related employees elected to voluntarily separate from the company and received a severance payment, with a maximum value of $100,000 per participant, based on years of service, with retirement dates through early 2019.</w:t>
      </w:r>
    </w:p>
    <w:p>
      <w:pPr>
        <w:spacing w:after="0" w:line="54"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u w:val="single" w:color="auto"/>
          <w:color w:val="auto"/>
        </w:rPr>
        <w:t>Impairment of assets</w:t>
      </w:r>
      <w:r>
        <w:rPr>
          <w:rFonts w:ascii="Arial" w:cs="Arial" w:eastAsia="Arial" w:hAnsi="Arial"/>
          <w:sz w:val="16"/>
          <w:szCs w:val="16"/>
          <w:color w:val="auto"/>
        </w:rPr>
        <w:t>: During the three months ended December 31, 2020, the company recorded $94 million of impairments related to 11 of its Boeing 757-200 aircraft and the related engines and spare parts. In the fourth quarter, United determined that those aircraft would be permanently grounded. The company also recorded $43 million of impairments related to various cancelled facility, aircraft induction, and information technology capital projects. The decisions driving these impairments were the result of the COVID-19 pandemic's impact on our operations. For the year ended December 31, 2020, the company recorded $56 million of charges for the cancellation of capital projects.</w:t>
      </w:r>
    </w:p>
    <w:p>
      <w:pPr>
        <w:spacing w:after="0" w:line="54"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During the year ended December 31, 2020, in addition to the impairments described above, the company recorded impairment charges of $130 million for its China routes. The company conducted impairment reviews of certain intangible assets throughout 2020, which consisted of a comparison of the book value of those assets to their fair value calculated using the discounted cash flow method. Due to the COVID-19 pandemic and the subsequent suspension of flights to China, the company determined that the value of its China routes had been impaired.</w:t>
      </w:r>
    </w:p>
    <w:p>
      <w:pPr>
        <w:spacing w:after="0" w:line="37"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Also during the year ended December 31, 2020, the company recorded an impairment of $38 million of the right-of-use asset associated with the embedded aircraft lease in one of our CPA agreements. We review flight equipment and other long-lived assets used in operations for impairment losses when events and circumstances indicate the assets may be impaired. We measure cash flows at the contract level with our CPA partners. The factors that led to this impairment included the impact to cash flows from the pandemic and the relatively short remaining term under the CPA agreement. Also, during the twelve months ended December 31, 2020, the company recorded $13 million of charges for the cancellation of certain capital projects.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115" w:right="3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8"/>
          <w:szCs w:val="18"/>
          <w:color w:val="auto"/>
        </w:rPr>
        <w:t>United Airlines Reports Fourth-Quarter And Full-Year 2020 Results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During the three months ended December 31, 2019, the company recorded an impairment charge of $90 million associated with its Hong Kong routes. The company conducted its annual impairment review of intangible assets in the fourth quarter of 2019, which consisted of a comparison of the book value of specific assets to the fair value of those assets calculated using the discounted cash flow method. Due to a decrease in demand for the Hong Kong market and the resulting decrease in unit revenue, the company determined that the value of its Hong Kong routes had been fully impaired.</w:t>
      </w:r>
    </w:p>
    <w:p>
      <w:pPr>
        <w:spacing w:after="0" w:line="199" w:lineRule="exact"/>
        <w:rPr>
          <w:sz w:val="20"/>
          <w:szCs w:val="20"/>
          <w:color w:val="auto"/>
        </w:rPr>
      </w:pPr>
    </w:p>
    <w:p>
      <w:pPr>
        <w:ind w:right="180"/>
        <w:spacing w:after="0" w:line="269" w:lineRule="auto"/>
        <w:rPr>
          <w:sz w:val="20"/>
          <w:szCs w:val="20"/>
          <w:color w:val="auto"/>
        </w:rPr>
      </w:pPr>
      <w:r>
        <w:rPr>
          <w:rFonts w:ascii="Arial" w:cs="Arial" w:eastAsia="Arial" w:hAnsi="Arial"/>
          <w:sz w:val="16"/>
          <w:szCs w:val="16"/>
          <w:color w:val="auto"/>
        </w:rPr>
        <w:t>During the year ended December 31, 2019, in addition to the impairments described above, the company recorded a $43 million impairment primarily for surplus Boeing 767 aircraft engines removed from operations, an $18 million charge primarily for the write-off of unexercised aircraft purchase options and $20 million in other aircraft impairments.</w:t>
      </w:r>
    </w:p>
    <w:p>
      <w:pPr>
        <w:spacing w:after="0" w:line="191"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u w:val="single" w:color="auto"/>
          <w:color w:val="auto"/>
        </w:rPr>
        <w:t>(Gains) losses on sale of assets and other special charges</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During the three months ended December 31, 2020, the company recorded a net $5 million of charges for legal reserves offset by gains on certain aircraft sale-leaseback transactions. During the year ended December 31, 2020, in addition to the items described above, the company recorded several charges for sales and disposals of individual aircraft and aircraft-related parts.</w:t>
      </w:r>
    </w:p>
    <w:p>
      <w:pPr>
        <w:spacing w:after="0" w:line="186"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During the three months ended December 31, 2019, the company recorded charges of $14 million for costs related to the transition of fleet types within a regional carrier contract, $10 million for contract terminations and $2 million in other charges. During the twelve months ended December 31, 2019, in addition to the amounts described above, the company recorded charges of $18 million for the settlement of certain legal matters and $15 million related to contract terminations.</w:t>
      </w:r>
    </w:p>
    <w:p>
      <w:pPr>
        <w:spacing w:after="0" w:line="185" w:lineRule="exact"/>
        <w:rPr>
          <w:sz w:val="20"/>
          <w:szCs w:val="20"/>
          <w:color w:val="auto"/>
        </w:rPr>
      </w:pPr>
    </w:p>
    <w:p>
      <w:pPr>
        <w:spacing w:after="0" w:line="235" w:lineRule="auto"/>
        <w:rPr>
          <w:sz w:val="20"/>
          <w:szCs w:val="20"/>
          <w:color w:val="auto"/>
        </w:rPr>
      </w:pPr>
      <w:r>
        <w:rPr>
          <w:rFonts w:ascii="Arial" w:cs="Arial" w:eastAsia="Arial" w:hAnsi="Arial"/>
          <w:sz w:val="16"/>
          <w:szCs w:val="16"/>
          <w:u w:val="single" w:color="auto"/>
          <w:color w:val="auto"/>
        </w:rPr>
        <w:t>Nonoperating special termination benefits and settlement losses</w:t>
      </w:r>
      <w:r>
        <w:rPr>
          <w:rFonts w:ascii="Arial" w:cs="Arial" w:eastAsia="Arial" w:hAnsi="Arial"/>
          <w:sz w:val="16"/>
          <w:szCs w:val="16"/>
          <w:color w:val="auto"/>
        </w:rPr>
        <w:t>: During the three and twelve months ended December 31, 2020, the company recorded $41 million and $687 million, respectively, of settlement losses related to the company's primary defined benefit pension plan covering certain U.S. non-pilot employees, and special termination benefits offered, under furlough and voluntary separation programs.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u w:val="single" w:color="auto"/>
          <w:color w:val="auto"/>
        </w:rPr>
        <w:t>Nonoperating unrealized (gains) losses on investments, net</w:t>
      </w:r>
      <w:r>
        <w:rPr>
          <w:rFonts w:ascii="Arial" w:cs="Arial" w:eastAsia="Arial" w:hAnsi="Arial"/>
          <w:sz w:val="16"/>
          <w:szCs w:val="16"/>
          <w:color w:val="auto"/>
        </w:rPr>
        <w:t>: During the three and twelve months ended December 31, 2020, the company recorded gains of $101 million and losses of $170 million, respectively. primarily for changes in the market value of its investment in Azul Linhas Aéreas Brasileiras S.A. ("Azul"). During the twelve months ended December 31, 2020, the company recorded a loss of $24 million for the decrease in fair value of the Avianca Holdings S.A.'s ("AVH") share call options, AVH share appreciation rights, and AVH share-based upside sharing agreement (collectively, the "AVH Derivative Assets") that United obtained as part of the BRW term loan agreement and related agreements with Kingsland Holdings Limited.</w:t>
      </w:r>
    </w:p>
    <w:p>
      <w:pPr>
        <w:spacing w:after="0" w:line="41" w:lineRule="exact"/>
        <w:rPr>
          <w:sz w:val="20"/>
          <w:szCs w:val="20"/>
          <w:color w:val="auto"/>
        </w:rPr>
      </w:pPr>
    </w:p>
    <w:p>
      <w:pPr>
        <w:jc w:val="both"/>
        <w:ind w:right="40"/>
        <w:spacing w:after="0" w:line="269" w:lineRule="auto"/>
        <w:rPr>
          <w:sz w:val="20"/>
          <w:szCs w:val="20"/>
          <w:color w:val="auto"/>
        </w:rPr>
      </w:pPr>
      <w:r>
        <w:rPr>
          <w:rFonts w:ascii="Arial" w:cs="Arial" w:eastAsia="Arial" w:hAnsi="Arial"/>
          <w:sz w:val="16"/>
          <w:szCs w:val="16"/>
          <w:color w:val="auto"/>
        </w:rPr>
        <w:t>During the three and twelve months ended December 31, 2019, the company recorded gains of $63 million and $140 million, respectively, for the change in market value of certain of its equity investments, primarily Azul. Also, during the three and twelve months ended December 31, 2019, the company recorded gains of $18 million and $13 million, respectively, for the change in fair value of the AVH Derivative Assets.</w:t>
      </w:r>
    </w:p>
    <w:p>
      <w:pPr>
        <w:spacing w:after="0" w:line="178" w:lineRule="exact"/>
        <w:rPr>
          <w:sz w:val="20"/>
          <w:szCs w:val="20"/>
          <w:color w:val="auto"/>
        </w:rPr>
      </w:pPr>
    </w:p>
    <w:p>
      <w:pPr>
        <w:ind w:right="340"/>
        <w:spacing w:after="0" w:line="274" w:lineRule="auto"/>
        <w:rPr>
          <w:sz w:val="20"/>
          <w:szCs w:val="20"/>
          <w:color w:val="auto"/>
        </w:rPr>
      </w:pPr>
      <w:r>
        <w:rPr>
          <w:rFonts w:ascii="Arial" w:cs="Arial" w:eastAsia="Arial" w:hAnsi="Arial"/>
          <w:sz w:val="16"/>
          <w:szCs w:val="16"/>
          <w:u w:val="single" w:color="auto"/>
          <w:color w:val="auto"/>
        </w:rPr>
        <w:t>Nonoperating credit loss on BRW term loan and related guarantee</w:t>
      </w:r>
      <w:r>
        <w:rPr>
          <w:rFonts w:ascii="Arial" w:cs="Arial" w:eastAsia="Arial" w:hAnsi="Arial"/>
          <w:sz w:val="16"/>
          <w:szCs w:val="16"/>
          <w:color w:val="auto"/>
        </w:rPr>
        <w:t>: During the twelve months ended December 31, 2020, the company recorded a $697 million expected credit loss allowance for the BRW term loan and related guarantee. AVH is currently in bankruptcy.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expense related to finance leases of Embraer ERJ 145 aircraft</w:t>
      </w:r>
    </w:p>
    <w:p>
      <w:pPr>
        <w:spacing w:after="0" w:line="169"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During the third quarter of 2018, United entered into an agreement with the lessor of 54 Embraer ERJ 145 aircraft to purchase those aircraft in 2019. The provisions of the new lease agreement resulted in a change in accounting classification of these new leases from operating leases to finance leases up until the purchase date. As a result of the change, the company recognized a $4 million reduction in interest expense, and $64 million of additional interest expense, respectively, in the three and twelve months ended December 31, 2019.</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Effective tax rate</w:t>
      </w:r>
    </w:p>
    <w:p>
      <w:pPr>
        <w:spacing w:after="0" w:line="102"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The company's effective tax rates for the three and twelve months ended December 31, 2020 were 20.1% and 19.9%, respectively. The effective tax rates for the three and twelve months ended December 31, 2019 were 24.1% and 23.1%, respectively. The provision for income taxes is based on the estimated annual effective tax rate which represents a blend of federal, state and foreign taxes and includes the impact of certain nondeductible items and the impact of a change in the company's mix of domestic and foreign earnings (losses). The effective tax rates for the three and twelve months ended December 31, 2020 were impacted by $28 million and $185 million, respectively, of valuation allowance related to capital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sectPr>
      <w:pgSz w:w="11900" w:h="16838" w:orient="portrait"/>
      <w:cols w:equalWidth="0" w:num="1">
        <w:col w:w="11220"/>
      </w:cols>
      <w:pgMar w:left="320" w:top="11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381823A"/>
    <w:multiLevelType w:val="hybridMultilevel"/>
    <w:lvl w:ilvl="0">
      <w:lvlJc w:val="left"/>
      <w:lvlText w:val="(%1)"/>
      <w:numFmt w:val="decimal"/>
      <w:start w:val="872"/>
    </w:lvl>
  </w:abstractNum>
  <w:abstractNum w:abstractNumId="1">
    <w:nsid w:val="5DB70AE5"/>
    <w:multiLevelType w:val="hybridMultilevel"/>
    <w:lvl w:ilvl="0">
      <w:lvlJc w:val="left"/>
      <w:lvlText w:val="(%1)"/>
      <w:numFmt w:val="decimal"/>
      <w:start w:val="872"/>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1"/>
      <w:numFmt w:val="bullet"/>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1"/>
      <w:numFmt w:val="bullet"/>
      <w:start w:val="1"/>
    </w:lvl>
  </w:abstractNum>
  <w:abstractNum w:abstractNumId="8">
    <w:nsid w:val="6B94764"/>
    <w:multiLevelType w:val="hybridMultilevel"/>
    <w:lvl w:ilvl="0">
      <w:lvlJc w:val="left"/>
      <w:lvlText w:val="2"/>
      <w:numFmt w:val="bullet"/>
      <w:start w:val="1"/>
    </w:lvl>
  </w:abstractNum>
  <w:abstractNum w:abstractNumId="9">
    <w:nsid w:val="42C296BD"/>
    <w:multiLevelType w:val="hybridMultilevel"/>
    <w:lvl w:ilvl="0">
      <w:lvlJc w:val="left"/>
      <w:lvlText w:val="(%1)"/>
      <w:numFmt w:val="lowerLetter"/>
      <w:start w:val="1"/>
    </w:lvl>
  </w:abstractNum>
  <w:abstractNum w:abstractNumId="10">
    <w:nsid w:val="168E121F"/>
    <w:multiLevelType w:val="hybridMultilevel"/>
    <w:lvl w:ilvl="0">
      <w:lvlJc w:val="left"/>
      <w:lvlText w:val="(%1)"/>
      <w:numFmt w:val="lowerLetter"/>
      <w:start w:val="1"/>
    </w:lvl>
  </w:abstractNum>
  <w:abstractNum w:abstractNumId="11">
    <w:nsid w:val="1EBA5D23"/>
    <w:multiLevelType w:val="hybridMultilevel"/>
    <w:lvl w:ilvl="0">
      <w:lvlJc w:val="left"/>
      <w:lvlText w:val="(%1)"/>
      <w:numFmt w:val="lowerLetter"/>
      <w:start w:val="1"/>
    </w:lvl>
  </w:abstractNum>
  <w:abstractNum w:abstractNumId="12">
    <w:nsid w:val="661E3F1E"/>
    <w:multiLevelType w:val="hybridMultilevel"/>
    <w:lvl w:ilvl="0">
      <w:lvlJc w:val="left"/>
      <w:lvlText w:val="3"/>
      <w:numFmt w:val="bullet"/>
      <w:start w:val="1"/>
    </w:lvl>
  </w:abstractNum>
  <w:abstractNum w:abstractNumId="13">
    <w:nsid w:val="5DC79EA8"/>
    <w:multiLevelType w:val="hybridMultilevel"/>
    <w:lvl w:ilvl="0">
      <w:lvlJc w:val="left"/>
      <w:lvlText w:val="(%1)"/>
      <w:numFmt w:val="lowerLetter"/>
      <w:start w:val="2"/>
    </w:lvl>
  </w:abstractNum>
  <w:abstractNum w:abstractNumId="14">
    <w:nsid w:val="540A471C"/>
    <w:multiLevelType w:val="hybridMultilevel"/>
    <w:lvl w:ilvl="0">
      <w:lvlJc w:val="left"/>
      <w:lvlText w:val="4"/>
      <w:numFmt w:val="bullet"/>
      <w:start w:val="1"/>
    </w:lvl>
  </w:abstractNum>
  <w:abstractNum w:abstractNumId="15">
    <w:nsid w:val="7BD3EE7B"/>
    <w:multiLevelType w:val="hybridMultilevel"/>
    <w:lvl w:ilvl="0">
      <w:lvlJc w:val="left"/>
      <w:lvlText w:val="5"/>
      <w:numFmt w:val="bullet"/>
      <w:start w:val="1"/>
    </w:lvl>
  </w:abstractNum>
  <w:abstractNum w:abstractNumId="16">
    <w:nsid w:val="51D9C564"/>
    <w:multiLevelType w:val="hybridMultilevel"/>
    <w:lvl w:ilvl="0">
      <w:lvlJc w:val="left"/>
      <w:lvlText w:val="(%1)"/>
      <w:numFmt w:val="lowerLetter"/>
      <w:start w:val="1"/>
    </w:lvl>
  </w:abstractNum>
  <w:abstractNum w:abstractNumId="17">
    <w:nsid w:val="613EFDC5"/>
    <w:multiLevelType w:val="hybridMultilevel"/>
    <w:lvl w:ilvl="0">
      <w:lvlJc w:val="left"/>
      <w:lvlText w:val="(%1)"/>
      <w:numFmt w:val="lowerLetter"/>
      <w:start w:val="8"/>
    </w:lvl>
  </w:abstractNum>
  <w:abstractNum w:abstractNumId="18">
    <w:nsid w:val="BF72B14"/>
    <w:multiLevelType w:val="hybridMultilevel"/>
    <w:lvl w:ilvl="0">
      <w:lvlJc w:val="left"/>
      <w:lvlText w:val="(%1)"/>
      <w:numFmt w:val="lowerRoman"/>
      <w:start w:val="1"/>
    </w:lvl>
  </w:abstractNum>
  <w:abstractNum w:abstractNumId="19">
    <w:nsid w:val="11447B73"/>
    <w:multiLevelType w:val="hybridMultilevel"/>
    <w:lvl w:ilvl="0">
      <w:lvlJc w:val="left"/>
      <w:lvlText w:val="6"/>
      <w:numFmt w:val="bullet"/>
      <w:start w:val="1"/>
    </w:lvl>
  </w:abstractNum>
  <w:abstractNum w:abstractNumId="20">
    <w:nsid w:val="42963E5A"/>
    <w:multiLevelType w:val="hybridMultilevel"/>
    <w:lvl w:ilvl="0">
      <w:lvlJc w:val="left"/>
      <w:lvlText w:val="(%1)"/>
      <w:numFmt w:val="lowerLetter"/>
      <w:start w:val="1"/>
    </w:lvl>
  </w:abstractNum>
  <w:abstractNum w:abstractNumId="21">
    <w:nsid w:val="A0382C5"/>
    <w:multiLevelType w:val="hybridMultilevel"/>
    <w:lvl w:ilvl="0">
      <w:lvlJc w:val="left"/>
      <w:lvlText w:val="(%1)"/>
      <w:numFmt w:val="lowerRoman"/>
      <w:start w:val="1"/>
    </w:lvl>
  </w:abstractNum>
  <w:abstractNum w:abstractNumId="22">
    <w:nsid w:val="8F2B15E"/>
    <w:multiLevelType w:val="hybridMultilevel"/>
    <w:lvl w:ilvl="0">
      <w:lvlJc w:val="left"/>
      <w:lvlText w:val="(%1)"/>
      <w:numFmt w:val="lowerLetter"/>
      <w:start w:val="2"/>
    </w:lvl>
  </w:abstractNum>
  <w:abstractNum w:abstractNumId="23">
    <w:nsid w:val="1A32234B"/>
    <w:multiLevelType w:val="hybridMultilevel"/>
    <w:lvl w:ilvl="0">
      <w:lvlJc w:val="left"/>
      <w:lvlText w:val="(%1)"/>
      <w:numFmt w:val="lowerLetter"/>
      <w:start w:val="1"/>
    </w:lvl>
  </w:abstractNum>
  <w:abstractNum w:abstractNumId="24">
    <w:nsid w:val="3B0FD379"/>
    <w:multiLevelType w:val="hybridMultilevel"/>
    <w:lvl w:ilvl="0">
      <w:lvlJc w:val="left"/>
      <w:lvlText w:val="(%1)"/>
      <w:numFmt w:val="lowerLetter"/>
      <w:start w:val="1"/>
    </w:lvl>
  </w:abstractNum>
  <w:abstractNum w:abstractNumId="25">
    <w:nsid w:val="68EB2F63"/>
    <w:multiLevelType w:val="hybridMultilevel"/>
    <w:lvl w:ilvl="0">
      <w:lvlJc w:val="left"/>
      <w:lvlText w:val="(%1)"/>
      <w:numFmt w:val="lowerRoman"/>
      <w:start w:val="1"/>
    </w:lvl>
  </w:abstractNum>
  <w:abstractNum w:abstractNumId="26">
    <w:nsid w:val="4962813B"/>
    <w:multiLevelType w:val="hybridMultilevel"/>
    <w:lvl w:ilvl="0">
      <w:lvlJc w:val="left"/>
      <w:lvlText w:val="(%1)"/>
      <w:numFmt w:val="lowerRoman"/>
      <w:start w:val="3"/>
    </w:lvl>
  </w:abstractNum>
  <w:abstractNum w:abstractNumId="27">
    <w:nsid w:val="60B6DF70"/>
    <w:multiLevelType w:val="hybridMultilevel"/>
    <w:lvl w:ilvl="0">
      <w:lvlJc w:val="left"/>
      <w:lvlText w:val="(%1)"/>
      <w:numFmt w:val="lowerLetter"/>
      <w:start w:val="3"/>
    </w:lvl>
  </w:abstractNum>
  <w:abstractNum w:abstractNumId="28">
    <w:nsid w:val="6A5EE64"/>
    <w:multiLevelType w:val="hybridMultilevel"/>
    <w:lvl w:ilvl="0">
      <w:lvlJc w:val="left"/>
      <w:lvlText w:val="%1."/>
      <w:numFmt w:val="decimal"/>
      <w:start w:val="1"/>
    </w:lvl>
  </w:abstractNum>
  <w:abstractNum w:abstractNumId="29">
    <w:nsid w:val="14330624"/>
    <w:multiLevelType w:val="hybridMultilevel"/>
    <w:lvl w:ilvl="0">
      <w:lvlJc w:val="left"/>
      <w:lvlText w:val="(%1)"/>
      <w:numFmt w:val="lowerLetter"/>
      <w:start w:val="1"/>
    </w:lvl>
  </w:abstractNum>
  <w:abstractNum w:abstractNumId="30">
    <w:nsid w:val="7FFFCA11"/>
    <w:multiLevelType w:val="hybridMultilevel"/>
    <w:lvl w:ilvl="0">
      <w:lvlJc w:val="left"/>
      <w:lvlText w:val="%1."/>
      <w:numFmt w:val="decimal"/>
      <w:start w:val="4"/>
    </w:lvl>
  </w:abstractNum>
  <w:abstractNum w:abstractNumId="31">
    <w:nsid w:val="1A27709E"/>
    <w:multiLevelType w:val="hybridMultilevel"/>
    <w:lvl w:ilvl="0">
      <w:lvlJc w:val="left"/>
      <w:lvlText w:val="%1."/>
      <w:numFmt w:val="decimal"/>
      <w:start w:val="10"/>
    </w:lvl>
  </w:abstractNum>
  <w:abstractNum w:abstractNumId="32">
    <w:nsid w:val="71EA1109"/>
    <w:multiLevelType w:val="hybridMultilevel"/>
    <w:lvl w:ilvl="0">
      <w:lvlJc w:val="left"/>
      <w:lvlText w:val="(%1)"/>
      <w:numFmt w:val="lowerLetter"/>
      <w:start w:val="1"/>
    </w:lvl>
  </w:abstractNum>
  <w:abstractNum w:abstractNumId="33">
    <w:nsid w:val="100F59DC"/>
    <w:multiLevelType w:val="hybridMultilevel"/>
    <w:lvl w:ilvl="0">
      <w:lvlJc w:val="left"/>
      <w:lvlText w:val="(%1)"/>
      <w:numFmt w:val="lowerLetter"/>
      <w:start w:val="1"/>
    </w:lvl>
  </w:abstractNum>
  <w:abstractNum w:abstractNumId="34">
    <w:nsid w:val="7FB7E0AA"/>
    <w:multiLevelType w:val="hybridMultilevel"/>
    <w:lvl w:ilvl="0">
      <w:lvlJc w:val="left"/>
      <w:lvlText w:val="(%1)"/>
      <w:numFmt w:val="lowerLetter"/>
      <w:start w:val="3"/>
    </w:lvl>
  </w:abstractNum>
  <w:abstractNum w:abstractNumId="35">
    <w:nsid w:val="6EB5BD4"/>
    <w:multiLevelType w:val="hybridMultilevel"/>
    <w:lvl w:ilvl="0">
      <w:lvlJc w:val="left"/>
      <w:lvlText w:val="(%1)"/>
      <w:numFmt w:val="lowerLetter"/>
      <w:start w:val="1"/>
    </w:lvl>
  </w:abstractNum>
  <w:abstractNum w:abstractNumId="36">
    <w:nsid w:val="6F6DD9AC"/>
    <w:multiLevelType w:val="hybridMultilevel"/>
    <w:lvl w:ilvl="0">
      <w:lvlJc w:val="left"/>
      <w:lvlText w:val="%1"/>
      <w:numFmt w:val="lowerLetter"/>
      <w:start w:val="1"/>
    </w:lvl>
    <w:lvl w:ilvl="1">
      <w:lvlJc w:val="left"/>
      <w:lvlText w:val="(%2)"/>
      <w:numFmt w:val="lowerLetter"/>
      <w:start w:val="1"/>
    </w:lvl>
  </w:abstractNum>
  <w:abstractNum w:abstractNumId="37">
    <w:nsid w:val="94211F2"/>
    <w:multiLevelType w:val="hybridMultilevel"/>
    <w:lvl w:ilvl="0">
      <w:lvlJc w:val="left"/>
      <w:lvlText w:val="(%1)"/>
      <w:numFmt w:val="lowerLetter"/>
      <w:start w:val="1"/>
    </w:lvl>
    <w:lvl w:ilvl="1">
      <w:lvlJc w:val="left"/>
      <w:lvlText w:val="(%2)"/>
      <w:numFmt w:val="lowerLetter"/>
      <w:start w:val="2"/>
    </w:lvl>
  </w:abstractNum>
  <w:abstractNum w:abstractNumId="38">
    <w:nsid w:val="885E1B"/>
    <w:multiLevelType w:val="hybridMultilevel"/>
    <w:lvl w:ilvl="0">
      <w:lvlJc w:val="left"/>
      <w:lvlText w:val="(%1)"/>
      <w:numFmt w:val="lowerLetter"/>
      <w:start w:val="5"/>
    </w:lvl>
    <w:lvl w:ilvl="1">
      <w:lvlJc w:val="left"/>
      <w:lvlText w:val="(%2)"/>
      <w:numFmt w:val="lowerRoman"/>
      <w:start w:val="1"/>
    </w:lvl>
  </w:abstractNum>
  <w:abstractNum w:abstractNumId="39">
    <w:nsid w:val="76272110"/>
    <w:multiLevelType w:val="hybridMultilevel"/>
    <w:lvl w:ilvl="0">
      <w:lvlJc w:val="left"/>
      <w:lvlText w:val="(%1)"/>
      <w:numFmt w:val="lowerLetter"/>
      <w:start w:val="8"/>
    </w:lvl>
    <w:lvl w:ilvl="1">
      <w:lvlJc w:val="left"/>
      <w:lvlText w:val="(%2)"/>
      <w:numFmt w:val="lowerLetter"/>
      <w:start w:val="9"/>
    </w:lvl>
  </w:abstractNum>
  <w:abstractNum w:abstractNumId="40">
    <w:nsid w:val="4C04A8AF"/>
    <w:multiLevelType w:val="hybridMultilevel"/>
    <w:lvl w:ilvl="0">
      <w:lvlJc w:val="left"/>
      <w:lvlText w:val="%1"/>
      <w:numFmt w:val="lowerLetter"/>
      <w:start w:val="1"/>
    </w:lvl>
    <w:lvl w:ilvl="1">
      <w:lvlJc w:val="left"/>
      <w:lvlText w:val="(%2)"/>
      <w:numFmt w:val="lowerLetter"/>
      <w:start w:val="35"/>
    </w:lvl>
  </w:abstractNum>
  <w:abstractNum w:abstractNumId="41">
    <w:nsid w:val="1716703B"/>
    <w:multiLevelType w:val="hybridMultilevel"/>
    <w:lvl w:ilvl="0">
      <w:lvlJc w:val="left"/>
      <w:lvlText w:val="(%1)"/>
      <w:numFmt w:val="lowerLetter"/>
      <w:start w:val="10"/>
    </w:lvl>
    <w:lvl w:ilvl="1">
      <w:lvlJc w:val="left"/>
      <w:lvlText w:val="%2"/>
      <w:numFmt w:val="lowerLetter"/>
      <w:start w:val="1"/>
    </w:lvl>
  </w:abstractNum>
  <w:abstractNum w:abstractNumId="42">
    <w:nsid w:val="14E17E33"/>
    <w:multiLevelType w:val="hybridMultilevel"/>
    <w:lvl w:ilvl="0">
      <w:lvlJc w:val="left"/>
      <w:lvlText w:val="(%1)"/>
      <w:numFmt w:val="lowerLetter"/>
      <w:start w:val="1"/>
    </w:lvl>
  </w:abstractNum>
  <w:abstractNum w:abstractNumId="43">
    <w:nsid w:val="3222E7CD"/>
    <w:multiLevelType w:val="hybridMultilevel"/>
    <w:lvl w:ilvl="0">
      <w:lvlJc w:val="left"/>
      <w:lvlText w:val="(%1)"/>
      <w:numFmt w:val="lowerLetter"/>
      <w:start w:val="3"/>
    </w:lvl>
  </w:abstractNum>
  <w:abstractNum w:abstractNumId="44">
    <w:nsid w:val="74DE0EE3"/>
    <w:multiLevelType w:val="hybridMultilevel"/>
    <w:lvl w:ilvl="0">
      <w:lvlJc w:val="left"/>
      <w:lvlText w:val="(%1)"/>
      <w:numFmt w:val="lowerLetter"/>
      <w:start w:val="1"/>
    </w:lvl>
  </w:abstractNum>
  <w:abstractNum w:abstractNumId="45">
    <w:nsid w:val="68EBC550"/>
    <w:multiLevelType w:val="hybridMultilevel"/>
    <w:lvl w:ilvl="0">
      <w:lvlJc w:val="left"/>
      <w:lvlText w:val="(%1)"/>
      <w:numFmt w:val="lowerLetter"/>
      <w:start w:val="2"/>
    </w:lvl>
  </w:abstractNum>
  <w:abstractNum w:abstractNumId="46">
    <w:nsid w:val="2DF6D648"/>
    <w:multiLevelType w:val="hybridMultilevel"/>
    <w:lvl w:ilvl="0">
      <w:lvlJc w:val="left"/>
      <w:lvlText w:val="(%1)"/>
      <w:numFmt w:val="lowerLetter"/>
      <w:start w:val="1"/>
    </w:lvl>
    <w:lvl w:ilvl="1">
      <w:lvlJc w:val="left"/>
      <w:lvlText w:val="(%2)"/>
      <w:numFmt w:val="lowerLetter"/>
      <w:start w:val="9"/>
    </w:lvl>
  </w:abstractNum>
  <w:abstractNum w:abstractNumId="47">
    <w:nsid w:val="46B7D447"/>
    <w:multiLevelType w:val="hybridMultilevel"/>
    <w:lvl w:ilvl="0">
      <w:lvlJc w:val="left"/>
      <w:lvlText w:val="%1"/>
      <w:numFmt w:val="decimal"/>
      <w:start w:val="1"/>
    </w:lvl>
    <w:lvl w:ilvl="1">
      <w:lvlJc w:val="left"/>
      <w:lvlText w:val="(%2)"/>
      <w:numFmt w:val="lowerRoman"/>
      <w:start w:val="2"/>
    </w:lvl>
  </w:abstractNum>
  <w:abstractNum w:abstractNumId="48">
    <w:nsid w:val="4A2AC315"/>
    <w:multiLevelType w:val="hybridMultilevel"/>
    <w:lvl w:ilvl="0">
      <w:lvlJc w:val="left"/>
      <w:lvlText w:val="(%1)"/>
      <w:numFmt w:val="decimal"/>
      <w:start w:val="2"/>
    </w:lvl>
    <w:lvl w:ilvl="1">
      <w:lvlJc w:val="left"/>
      <w:lvlText w:val="%2"/>
      <w:numFmt w:val="lowerRoman"/>
      <w:start w:val="1"/>
    </w:lvl>
  </w:abstractNum>
  <w:abstractNum w:abstractNumId="49">
    <w:nsid w:val="39EE015C"/>
    <w:multiLevelType w:val="hybridMultilevel"/>
    <w:lvl w:ilvl="0">
      <w:lvlJc w:val="left"/>
      <w:lvlText w:val="(%1)"/>
      <w:numFmt w:val="lowerRoman"/>
      <w:start w:val="4"/>
    </w:lvl>
  </w:abstractNum>
  <w:abstractNum w:abstractNumId="50">
    <w:nsid w:val="57FC4FBB"/>
    <w:multiLevelType w:val="hybridMultilevel"/>
    <w:lvl w:ilvl="0">
      <w:lvlJc w:val="left"/>
      <w:lvlText w:val="(%1)"/>
      <w:numFmt w:val="lowerLetter"/>
      <w:start w:val="2"/>
    </w:lvl>
    <w:lvl w:ilvl="1">
      <w:lvlJc w:val="left"/>
      <w:lvlText w:val="(%2)"/>
      <w:numFmt w:val="lowerRoman"/>
      <w:start w:val="1"/>
    </w:lvl>
  </w:abstractNum>
  <w:abstractNum w:abstractNumId="51">
    <w:nsid w:val="CC1016F"/>
    <w:multiLevelType w:val="hybridMultilevel"/>
    <w:lvl w:ilvl="0">
      <w:lvlJc w:val="left"/>
      <w:lvlText w:val="(%1)"/>
      <w:numFmt w:val="lowerRoman"/>
      <w:start w:val="4"/>
    </w:lvl>
    <w:lvl w:ilvl="1">
      <w:lvlJc w:val="left"/>
      <w:lvlText w:val="(%2)"/>
      <w:numFmt w:val="upperLetter"/>
      <w:start w:val="1"/>
    </w:lvl>
  </w:abstractNum>
  <w:abstractNum w:abstractNumId="52">
    <w:nsid w:val="43F18422"/>
    <w:multiLevelType w:val="hybridMultilevel"/>
    <w:lvl w:ilvl="0">
      <w:lvlJc w:val="left"/>
      <w:lvlText w:val="%1"/>
      <w:numFmt w:val="lowerRoman"/>
      <w:start w:val="1"/>
    </w:lvl>
    <w:lvl w:ilvl="1">
      <w:lvlJc w:val="left"/>
      <w:lvlText w:val="(%2)"/>
      <w:numFmt w:val="upperLetter"/>
      <w:start w:val="6"/>
    </w:lvl>
  </w:abstractNum>
  <w:abstractNum w:abstractNumId="53">
    <w:nsid w:val="60EF0119"/>
    <w:multiLevelType w:val="hybridMultilevel"/>
    <w:lvl w:ilvl="0">
      <w:lvlJc w:val="left"/>
      <w:lvlText w:val="(%1)"/>
      <w:numFmt w:val="lowerRoman"/>
      <w:start w:val="7"/>
    </w:lvl>
    <w:lvl w:ilvl="1">
      <w:lvlJc w:val="left"/>
      <w:lvlText w:val="%2"/>
      <w:numFmt w:val="upperLetter"/>
      <w:start w:val="1"/>
    </w:lvl>
  </w:abstractNum>
  <w:abstractNum w:abstractNumId="54">
    <w:nsid w:val="26F324BA"/>
    <w:multiLevelType w:val="hybridMultilevel"/>
    <w:lvl w:ilvl="0">
      <w:lvlJc w:val="left"/>
      <w:lvlText w:val="(%1)"/>
      <w:numFmt w:val="lowerRoman"/>
      <w:start w:val="11"/>
    </w:lvl>
  </w:abstractNum>
  <w:abstractNum w:abstractNumId="55">
    <w:nsid w:val="7F01579B"/>
    <w:multiLevelType w:val="hybridMultilevel"/>
    <w:lvl w:ilvl="0">
      <w:lvlJc w:val="left"/>
      <w:lvlText w:val="%1"/>
      <w:numFmt w:val="lowerLetter"/>
      <w:start w:val="1"/>
    </w:lvl>
    <w:lvl w:ilvl="1">
      <w:lvlJc w:val="left"/>
      <w:lvlText w:val="(%2)"/>
      <w:numFmt w:val="lowerRoman"/>
      <w:start w:val="14"/>
    </w:lvl>
  </w:abstractNum>
  <w:abstractNum w:abstractNumId="56">
    <w:nsid w:val="49DA307D"/>
    <w:multiLevelType w:val="hybridMultilevel"/>
    <w:lvl w:ilvl="0">
      <w:lvlJc w:val="left"/>
      <w:lvlText w:val="(%1)"/>
      <w:numFmt w:val="lowerLetter"/>
      <w:start w:val="4"/>
    </w:lvl>
    <w:lvl w:ilvl="1">
      <w:lvlJc w:val="left"/>
      <w:lvlText w:val="(%2)"/>
      <w:numFmt w:val="lowerRoman"/>
      <w:start w:val="1"/>
    </w:lvl>
  </w:abstractNum>
  <w:abstractNum w:abstractNumId="57">
    <w:nsid w:val="7055A5F5"/>
    <w:multiLevelType w:val="hybridMultilevel"/>
    <w:lvl w:ilvl="0">
      <w:lvlJc w:val="left"/>
      <w:lvlText w:val="(%1)"/>
      <w:numFmt w:val="upperLetter"/>
      <w:start w:val="2"/>
    </w:lvl>
    <w:lvl w:ilvl="1">
      <w:lvlJc w:val="left"/>
      <w:lvlText w:val="(%2)"/>
      <w:numFmt w:val="lowerRoman"/>
      <w:start w:val="2"/>
    </w:lvl>
  </w:abstractNum>
  <w:abstractNum w:abstractNumId="58">
    <w:nsid w:val="5FB8370B"/>
    <w:multiLevelType w:val="hybridMultilevel"/>
    <w:lvl w:ilvl="0">
      <w:lvlJc w:val="left"/>
      <w:lvlText w:val="(%1)"/>
      <w:numFmt w:val="lowerLetter"/>
      <w:start w:val="8"/>
    </w:lvl>
    <w:lvl w:ilvl="1">
      <w:lvlJc w:val="left"/>
      <w:lvlText w:val="(%2)"/>
      <w:numFmt w:val="lowerRoman"/>
      <w:start w:val="1"/>
    </w:lvl>
  </w:abstractNum>
  <w:abstractNum w:abstractNumId="59">
    <w:nsid w:val="50801EE1"/>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60">
    <w:nsid w:val="488AC1A"/>
    <w:multiLevelType w:val="hybridMultilevel"/>
    <w:lvl w:ilvl="0">
      <w:lvlJc w:val="left"/>
      <w:lvlText w:val="(%1)"/>
      <w:numFmt w:val="lowerLetter"/>
      <w:start w:val="11"/>
    </w:lvl>
    <w:lvl w:ilvl="1">
      <w:lvlJc w:val="left"/>
      <w:lvlText w:val="%2"/>
      <w:numFmt w:val="lowerRoman"/>
      <w:start w:val="1"/>
    </w:lvl>
    <w:lvl w:ilvl="2">
      <w:lvlJc w:val="left"/>
      <w:lvlText w:val="(%3)"/>
      <w:numFmt w:val="lowerRoman"/>
      <w:start w:val="1"/>
    </w:lvl>
  </w:abstractNum>
  <w:abstractNum w:abstractNumId="61">
    <w:nsid w:val="5FB8011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abstractNum>
  <w:abstractNum w:abstractNumId="62">
    <w:nsid w:val="6AA78F7F"/>
    <w:multiLevelType w:val="hybridMultilevel"/>
    <w:lvl w:ilvl="0">
      <w:lvlJc w:val="left"/>
      <w:lvlText w:val="%1"/>
      <w:numFmt w:val="lowerLetter"/>
      <w:start w:val="1"/>
    </w:lvl>
    <w:lvl w:ilvl="1">
      <w:lvlJc w:val="left"/>
      <w:lvlText w:val="(%2)"/>
      <w:numFmt w:val="lowerLetter"/>
      <w:start w:val="12"/>
    </w:lvl>
    <w:lvl w:ilvl="2">
      <w:lvlJc w:val="left"/>
      <w:lvlText w:val="%3"/>
      <w:numFmt w:val="lowerRoman"/>
      <w:start w:val="1"/>
    </w:lvl>
  </w:abstractNum>
  <w:abstractNum w:abstractNumId="63">
    <w:nsid w:val="7672BD23"/>
    <w:multiLevelType w:val="hybridMultilevel"/>
    <w:lvl w:ilvl="0">
      <w:lvlJc w:val="left"/>
      <w:lvlText w:val="(%1)"/>
      <w:numFmt w:val="lowerLetter"/>
      <w:start w:val="35"/>
    </w:lvl>
    <w:lvl w:ilvl="1">
      <w:lvlJc w:val="left"/>
      <w:lvlText w:val="(%2)"/>
      <w:numFmt w:val="lowerLetter"/>
      <w:start w:val="13"/>
    </w:lvl>
    <w:lvl w:ilvl="2">
      <w:lvlJc w:val="left"/>
      <w:lvlText w:val="%3"/>
      <w:numFmt w:val="lowerRoman"/>
      <w:start w:val="1"/>
    </w:lvl>
  </w:abstractNum>
  <w:abstractNum w:abstractNumId="64">
    <w:nsid w:val="6FC75AF8"/>
    <w:multiLevelType w:val="hybridMultilevel"/>
    <w:lvl w:ilvl="0">
      <w:lvlJc w:val="left"/>
      <w:lvlText w:val="(%1)"/>
      <w:numFmt w:val="lowerLetter"/>
      <w:start w:val="15"/>
    </w:lvl>
  </w:abstractNum>
  <w:abstractNum w:abstractNumId="65">
    <w:nsid w:val="6A5F7029"/>
    <w:multiLevelType w:val="hybridMultilevel"/>
    <w:lvl w:ilvl="0">
      <w:lvlJc w:val="left"/>
      <w:lvlText w:val="(%1)"/>
      <w:numFmt w:val="lowerLetter"/>
      <w:start w:val="1"/>
    </w:lvl>
  </w:abstractNum>
  <w:abstractNum w:abstractNumId="66">
    <w:nsid w:val="7D5E18F8"/>
    <w:multiLevelType w:val="hybridMultilevel"/>
    <w:lvl w:ilvl="0">
      <w:lvlJc w:val="left"/>
      <w:lvlText w:val="(%1)"/>
      <w:numFmt w:val="lowerLetter"/>
      <w:start w:val="4"/>
    </w:lvl>
  </w:abstractNum>
  <w:abstractNum w:abstractNumId="67">
    <w:nsid w:val="5F3534A4"/>
    <w:multiLevelType w:val="hybridMultilevel"/>
    <w:lvl w:ilvl="0">
      <w:lvlJc w:val="left"/>
      <w:lvlText w:val="(%1)"/>
      <w:numFmt w:val="lowerLetter"/>
      <w:start w:val="1"/>
    </w:lvl>
  </w:abstractNum>
  <w:abstractNum w:abstractNumId="68">
    <w:nsid w:val="73A1821B"/>
    <w:multiLevelType w:val="hybridMultilevel"/>
    <w:lvl w:ilvl="0">
      <w:lvlJc w:val="left"/>
      <w:lvlText w:val="(%1)"/>
      <w:numFmt w:val="lowerLetter"/>
      <w:start w:val="5"/>
    </w:lvl>
  </w:abstractNum>
  <w:abstractNum w:abstractNumId="69">
    <w:nsid w:val="7DE67713"/>
    <w:multiLevelType w:val="hybridMultilevel"/>
    <w:lvl w:ilvl="0">
      <w:lvlJc w:val="left"/>
      <w:lvlText w:val="(%1)"/>
      <w:numFmt w:val="lowerLetter"/>
      <w:start w:val="8"/>
    </w:lvl>
  </w:abstractNum>
  <w:abstractNum w:abstractNumId="70">
    <w:nsid w:val="555C55B5"/>
    <w:multiLevelType w:val="hybridMultilevel"/>
    <w:lvl w:ilvl="0">
      <w:lvlJc w:val="left"/>
      <w:lvlText w:val="%1."/>
      <w:numFmt w:val="decimal"/>
      <w:start w:val="1"/>
    </w:lvl>
  </w:abstractNum>
  <w:abstractNum w:abstractNumId="71">
    <w:nsid w:val="3FA62ACA"/>
    <w:multiLevelType w:val="hybridMultilevel"/>
    <w:lvl w:ilvl="0">
      <w:lvlJc w:val="left"/>
      <w:lvlText w:val="%1."/>
      <w:numFmt w:val="decimal"/>
      <w:start w:val="2"/>
    </w:lvl>
  </w:abstractNum>
  <w:abstractNum w:abstractNumId="72">
    <w:nsid w:val="14FCE74E"/>
    <w:multiLevelType w:val="hybridMultilevel"/>
    <w:lvl w:ilvl="0">
      <w:lvlJc w:val="left"/>
      <w:lvlText w:val="(%1)"/>
      <w:numFmt w:val="lowerRoman"/>
      <w:start w:val="1"/>
    </w:lvl>
  </w:abstractNum>
  <w:abstractNum w:abstractNumId="73">
    <w:nsid w:val="6A3DD3E8"/>
    <w:multiLevelType w:val="hybridMultilevel"/>
    <w:lvl w:ilvl="0">
      <w:lvlJc w:val="left"/>
      <w:lvlText w:val="%1."/>
      <w:numFmt w:val="decimal"/>
      <w:start w:val="3"/>
    </w:lvl>
  </w:abstractNum>
  <w:abstractNum w:abstractNumId="74">
    <w:nsid w:val="71C91298"/>
    <w:multiLevelType w:val="hybridMultilevel"/>
    <w:lvl w:ilvl="0">
      <w:lvlJc w:val="left"/>
      <w:lvlText w:val="%1"/>
      <w:numFmt w:val="lowerRoman"/>
      <w:start w:val="1"/>
    </w:lvl>
    <w:lvl w:ilvl="1">
      <w:lvlJc w:val="left"/>
      <w:lvlText w:val="%2."/>
      <w:numFmt w:val="decimal"/>
      <w:start w:val="4"/>
    </w:lvl>
    <w:lvl w:ilvl="2">
      <w:lvlJc w:val="left"/>
      <w:lvlText w:val="(%3)"/>
      <w:numFmt w:val="lowerRoman"/>
      <w:start w:val="1"/>
    </w:lvl>
  </w:abstractNum>
  <w:abstractNum w:abstractNumId="75">
    <w:nsid w:val="9DAF632"/>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76">
    <w:nsid w:val="53299938"/>
    <w:multiLevelType w:val="hybridMultilevel"/>
    <w:lvl w:ilvl="0">
      <w:lvlJc w:val="left"/>
      <w:lvlText w:val="%1."/>
      <w:numFmt w:val="decimal"/>
      <w:start w:val="5"/>
    </w:lvl>
  </w:abstractNum>
  <w:abstractNum w:abstractNumId="77">
    <w:nsid w:val="1FBFE8E0"/>
    <w:multiLevelType w:val="hybridMultilevel"/>
    <w:lvl w:ilvl="0">
      <w:lvlJc w:val="left"/>
      <w:lvlText w:val="(%1)"/>
      <w:numFmt w:val="upperLetter"/>
      <w:start w:val="1"/>
    </w:lvl>
  </w:abstractNum>
  <w:abstractNum w:abstractNumId="78">
    <w:nsid w:val="5092CA79"/>
    <w:multiLevelType w:val="hybridMultilevel"/>
    <w:lvl w:ilvl="0">
      <w:lvlJc w:val="left"/>
      <w:lvlText w:val="(%1)"/>
      <w:numFmt w:val="upperLetter"/>
      <w:start w:val="2"/>
    </w:lvl>
  </w:abstractNum>
  <w:abstractNum w:abstractNumId="79">
    <w:nsid w:val="1D545C4D"/>
    <w:multiLevelType w:val="hybridMultilevel"/>
    <w:lvl w:ilvl="0">
      <w:lvlJc w:val="left"/>
      <w:lvlText w:val="%1."/>
      <w:numFmt w:val="decimal"/>
      <w:start w:val="9"/>
    </w:lvl>
  </w:abstractNum>
  <w:abstractNum w:abstractNumId="80">
    <w:nsid w:val="59ADEA3D"/>
    <w:multiLevelType w:val="hybridMultilevel"/>
    <w:lvl w:ilvl="0">
      <w:lvlJc w:val="left"/>
      <w:lvlText w:val="(%1)"/>
      <w:numFmt w:val="upperLetter"/>
      <w:start w:val="1"/>
    </w:lvl>
  </w:abstractNum>
  <w:abstractNum w:abstractNumId="81">
    <w:nsid w:val="288F1A34"/>
    <w:multiLevelType w:val="hybridMultilevel"/>
    <w:lvl w:ilvl="0">
      <w:lvlJc w:val="left"/>
      <w:lvlText w:val="(%1)"/>
      <w:numFmt w:val="upperLetter"/>
      <w:start w:val="4"/>
    </w:lvl>
  </w:abstractNum>
  <w:abstractNum w:abstractNumId="82">
    <w:nsid w:val="2A155DBC"/>
    <w:multiLevelType w:val="hybridMultilevel"/>
    <w:lvl w:ilvl="0">
      <w:lvlJc w:val="left"/>
      <w:lvlText w:val="%1."/>
      <w:numFmt w:val="decimal"/>
      <w:start w:val="13"/>
    </w:lvl>
  </w:abstractNum>
  <w:abstractNum w:abstractNumId="83">
    <w:nsid w:val="1D9F6E5F"/>
    <w:multiLevelType w:val="hybridMultilevel"/>
    <w:lvl w:ilvl="0">
      <w:lvlJc w:val="left"/>
      <w:lvlText w:val="(%1)"/>
      <w:numFmt w:val="upperLetter"/>
      <w:start w:val="1"/>
    </w:lvl>
    <w:lvl w:ilvl="1">
      <w:lvlJc w:val="left"/>
      <w:lvlText w:val="(%2)"/>
      <w:numFmt w:val="upperLetter"/>
      <w:start w:val="1"/>
    </w:lvl>
  </w:abstractNum>
  <w:abstractNum w:abstractNumId="84">
    <w:nsid w:val="97E1B4E"/>
    <w:multiLevelType w:val="hybridMultilevel"/>
    <w:lvl w:ilvl="0">
      <w:lvlJc w:val="left"/>
      <w:lvlText w:val="(%1)"/>
      <w:numFmt w:val="upperLetter"/>
      <w:start w:val="35"/>
    </w:lvl>
  </w:abstractNum>
  <w:abstractNum w:abstractNumId="85">
    <w:nsid w:val="51088277"/>
    <w:multiLevelType w:val="hybridMultilevel"/>
    <w:lvl w:ilvl="0">
      <w:lvlJc w:val="left"/>
      <w:lvlText w:val="(%1)"/>
      <w:numFmt w:val="upperLetter"/>
      <w:start w:val="2"/>
    </w:lvl>
  </w:abstractNum>
  <w:abstractNum w:abstractNumId="86">
    <w:nsid w:val="1CA0C5FA"/>
    <w:multiLevelType w:val="hybridMultilevel"/>
    <w:lvl w:ilvl="0">
      <w:lvlJc w:val="left"/>
      <w:lvlText w:val="(%1)"/>
      <w:numFmt w:val="upperLetter"/>
      <w:start w:val="3"/>
    </w:lvl>
  </w:abstractNum>
  <w:abstractNum w:abstractNumId="87">
    <w:nsid w:val="53584BCB"/>
    <w:multiLevelType w:val="hybridMultilevel"/>
    <w:lvl w:ilvl="0">
      <w:lvlJc w:val="left"/>
      <w:lvlText w:val="(%1)"/>
      <w:numFmt w:val="lowerLetter"/>
      <w:start w:val="25"/>
    </w:lvl>
    <w:lvl w:ilvl="1">
      <w:lvlJc w:val="left"/>
      <w:lvlText w:val="(%2)"/>
      <w:numFmt w:val="upperLetter"/>
      <w:start w:val="4"/>
    </w:lvl>
  </w:abstractNum>
  <w:abstractNum w:abstractNumId="88">
    <w:nsid w:val="415E286C"/>
    <w:multiLevelType w:val="hybridMultilevel"/>
    <w:lvl w:ilvl="0">
      <w:lvlJc w:val="left"/>
      <w:lvlText w:val="(%1)"/>
      <w:numFmt w:val="upperLetter"/>
      <w:start w:val="6"/>
    </w:lvl>
  </w:abstractNum>
  <w:abstractNum w:abstractNumId="89">
    <w:nsid w:val="7C58FD05"/>
    <w:multiLevelType w:val="hybridMultilevel"/>
    <w:lvl w:ilvl="0">
      <w:lvlJc w:val="left"/>
      <w:lvlText w:val="(%1)"/>
      <w:numFmt w:val="upperLetter"/>
      <w:start w:val="10"/>
    </w:lvl>
  </w:abstractNum>
  <w:abstractNum w:abstractNumId="90">
    <w:nsid w:val="23D86AAC"/>
    <w:multiLevelType w:val="hybridMultilevel"/>
    <w:lvl w:ilvl="0">
      <w:lvlJc w:val="left"/>
      <w:lvlText w:val="%1."/>
      <w:numFmt w:val="decimal"/>
      <w:start w:val="14"/>
    </w:lvl>
  </w:abstractNum>
  <w:abstractNum w:abstractNumId="91">
    <w:nsid w:val="45E6D486"/>
    <w:multiLevelType w:val="hybridMultilevel"/>
    <w:lvl w:ilvl="0">
      <w:lvlJc w:val="left"/>
      <w:lvlText w:val="%1."/>
      <w:numFmt w:val="decimal"/>
      <w:start w:val="16"/>
    </w:lvl>
  </w:abstractNum>
  <w:abstractNum w:abstractNumId="92">
    <w:nsid w:val="5C10FE21"/>
    <w:multiLevelType w:val="hybridMultilevel"/>
    <w:lvl w:ilvl="0">
      <w:lvlJc w:val="left"/>
      <w:lvlText w:val="(%1)"/>
      <w:numFmt w:val="lowerRoman"/>
      <w:start w:val="1"/>
    </w:lvl>
  </w:abstractNum>
  <w:abstractNum w:abstractNumId="93">
    <w:nsid w:val="E7FFA2B"/>
    <w:multiLevelType w:val="hybridMultilevel"/>
    <w:lvl w:ilvl="0">
      <w:lvlJc w:val="left"/>
      <w:lvlText w:val="☐"/>
      <w:numFmt w:val="bullet"/>
      <w:start w:val="1"/>
    </w:lvl>
  </w:abstractNum>
  <w:abstractNum w:abstractNumId="94">
    <w:nsid w:val="3C5991AA"/>
    <w:multiLevelType w:val="hybridMultilevel"/>
    <w:lvl w:ilvl="0">
      <w:lvlJc w:val="left"/>
      <w:lvlText w:val="%1."/>
      <w:numFmt w:val="decimal"/>
      <w:start w:val="1"/>
    </w:lvl>
  </w:abstractNum>
  <w:abstractNum w:abstractNumId="95">
    <w:nsid w:val="4BD8591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6">
    <w:nsid w:val="78DF6A55"/>
    <w:multiLevelType w:val="hybridMultilevel"/>
    <w:lvl w:ilvl="0">
      <w:lvlJc w:val="left"/>
      <w:lvlText w:val="%1."/>
      <w:numFmt w:val="lowerLetter"/>
      <w:start w:val="1"/>
    </w:lvl>
  </w:abstractNum>
  <w:abstractNum w:abstractNumId="97">
    <w:nsid w:val="39B7AAA2"/>
    <w:multiLevelType w:val="hybridMultilevel"/>
    <w:lvl w:ilvl="0">
      <w:lvlJc w:val="left"/>
      <w:lvlText w:val="%1."/>
      <w:numFmt w:val="lowerLetter"/>
      <w:start w:val="1"/>
    </w:lvl>
  </w:abstractNum>
  <w:abstractNum w:abstractNumId="98">
    <w:nsid w:val="2B0D8DBE"/>
    <w:multiLevelType w:val="hybridMultilevel"/>
    <w:lvl w:ilvl="0">
      <w:lvlJc w:val="left"/>
      <w:lvlText w:val="%1."/>
      <w:numFmt w:val="decimal"/>
      <w:start w:val="5"/>
    </w:lvl>
  </w:abstractNum>
  <w:abstractNum w:abstractNumId="99">
    <w:nsid w:val="6C80EC70"/>
    <w:multiLevelType w:val="hybridMultilevel"/>
    <w:lvl w:ilvl="0">
      <w:lvlJc w:val="left"/>
      <w:lvlText w:val="%1."/>
      <w:numFmt w:val="decimal"/>
      <w:start w:val="6"/>
    </w:lvl>
  </w:abstractNum>
  <w:abstractNum w:abstractNumId="100">
    <w:nsid w:val="379E21B5"/>
    <w:multiLevelType w:val="hybridMultilevel"/>
    <w:lvl w:ilvl="0">
      <w:lvlJc w:val="left"/>
      <w:lvlText w:val="%1."/>
      <w:numFmt w:val="decimal"/>
      <w:start w:val="7"/>
    </w:lvl>
    <w:lvl w:ilvl="1">
      <w:lvlJc w:val="left"/>
      <w:lvlText w:val="%2."/>
      <w:numFmt w:val="lowerLetter"/>
      <w:start w:val="1"/>
    </w:lvl>
  </w:abstractNum>
  <w:abstractNum w:abstractNumId="101">
    <w:nsid w:val="69E373"/>
    <w:multiLevelType w:val="hybridMultilevel"/>
    <w:lvl w:ilvl="0">
      <w:lvlJc w:val="left"/>
      <w:lvlText w:val="%1."/>
      <w:numFmt w:val="decimal"/>
      <w:start w:val="10"/>
    </w:lvl>
  </w:abstractNum>
  <w:abstractNum w:abstractNumId="102">
    <w:nsid w:val="2C27173B"/>
    <w:multiLevelType w:val="hybridMultilevel"/>
    <w:lvl w:ilvl="0">
      <w:lvlJc w:val="left"/>
      <w:lvlText w:val="%1."/>
      <w:numFmt w:val="decimal"/>
      <w:start w:val="11"/>
    </w:lvl>
  </w:abstractNum>
  <w:abstractNum w:abstractNumId="103">
    <w:nsid w:val="4C9B0904"/>
    <w:multiLevelType w:val="hybridMultilevel"/>
    <w:lvl w:ilvl="0">
      <w:lvlJc w:val="left"/>
      <w:lvlText w:val="%1."/>
      <w:numFmt w:val="decimal"/>
      <w:start w:val="12"/>
    </w:lvl>
    <w:lvl w:ilvl="1">
      <w:lvlJc w:val="left"/>
      <w:lvlText w:val="%2."/>
      <w:numFmt w:val="lowerLetter"/>
      <w:start w:val="1"/>
    </w:lvl>
  </w:abstractNum>
  <w:abstractNum w:abstractNumId="104">
    <w:nsid w:val="6AA7B75C"/>
    <w:multiLevelType w:val="hybridMultilevel"/>
    <w:lvl w:ilvl="0">
      <w:lvlJc w:val="left"/>
      <w:lvlText w:val="%1."/>
      <w:numFmt w:val="decimal"/>
      <w:start w:val="16"/>
    </w:lvl>
  </w:abstractNum>
  <w:abstractNum w:abstractNumId="105">
    <w:nsid w:val="1DF029D3"/>
    <w:multiLevelType w:val="hybridMultilevel"/>
    <w:lvl w:ilvl="0">
      <w:lvlJc w:val="left"/>
      <w:lvlText w:val="%1."/>
      <w:numFmt w:val="decimal"/>
      <w:start w:val="17"/>
    </w:lvl>
    <w:lvl w:ilvl="1">
      <w:lvlJc w:val="left"/>
      <w:lvlText w:val="%2."/>
      <w:numFmt w:val="lowerLetter"/>
      <w:start w:val="1"/>
    </w:lvl>
  </w:abstractNum>
  <w:abstractNum w:abstractNumId="106">
    <w:nsid w:val="5675FF36"/>
    <w:multiLevelType w:val="hybridMultilevel"/>
    <w:lvl w:ilvl="0">
      <w:lvlJc w:val="left"/>
      <w:lvlText w:val="%1."/>
      <w:numFmt w:val="decimal"/>
      <w:start w:val="21"/>
    </w:lvl>
  </w:abstractNum>
  <w:abstractNum w:abstractNumId="107">
    <w:nsid w:val="3DD15094"/>
    <w:multiLevelType w:val="hybridMultilevel"/>
    <w:lvl w:ilvl="0">
      <w:lvlJc w:val="left"/>
      <w:lvlText w:val="%1."/>
      <w:numFmt w:val="decimal"/>
      <w:start w:val="22"/>
    </w:lvl>
  </w:abstractNum>
  <w:abstractNum w:abstractNumId="108">
    <w:nsid w:val="3DB012B3"/>
    <w:multiLevelType w:val="hybridMultilevel"/>
    <w:lvl w:ilvl="0">
      <w:lvlJc w:val="left"/>
      <w:lvlText w:val="%1."/>
      <w:numFmt w:val="decimal"/>
      <w:start w:val="28"/>
    </w:lvl>
  </w:abstractNum>
  <w:abstractNum w:abstractNumId="109">
    <w:nsid w:val="2708C9AF"/>
    <w:multiLevelType w:val="hybridMultilevel"/>
    <w:lvl w:ilvl="0">
      <w:lvlJc w:val="left"/>
      <w:lvlText w:val="%1."/>
      <w:numFmt w:val="decimal"/>
      <w:start w:val="29"/>
    </w:lvl>
  </w:abstractNum>
  <w:abstractNum w:abstractNumId="110">
    <w:nsid w:val="5B25ACE2"/>
    <w:multiLevelType w:val="hybridMultilevel"/>
    <w:lvl w:ilvl="0">
      <w:lvlJc w:val="left"/>
      <w:lvlText w:val="%1."/>
      <w:numFmt w:val="decimal"/>
      <w:start w:val="34"/>
    </w:lvl>
    <w:lvl w:ilvl="1">
      <w:lvlJc w:val="left"/>
      <w:lvlText w:val="%2."/>
      <w:numFmt w:val="lowerLetter"/>
      <w:start w:val="1"/>
    </w:lvl>
  </w:abstractNum>
  <w:abstractNum w:abstractNumId="111">
    <w:nsid w:val="175DFCF0"/>
    <w:multiLevelType w:val="hybridMultilevel"/>
    <w:lvl w:ilvl="0">
      <w:lvlJc w:val="left"/>
      <w:lvlText w:val="%1."/>
      <w:numFmt w:val="lowerLetter"/>
      <w:start w:val="3"/>
    </w:lvl>
  </w:abstractNum>
  <w:abstractNum w:abstractNumId="112">
    <w:nsid w:val="4F97E3E4"/>
    <w:multiLevelType w:val="hybridMultilevel"/>
    <w:lvl w:ilvl="0">
      <w:lvlJc w:val="left"/>
      <w:lvlText w:val="%1."/>
      <w:numFmt w:val="decimal"/>
      <w:start w:val="35"/>
    </w:lvl>
    <w:lvl w:ilvl="1">
      <w:lvlJc w:val="left"/>
      <w:lvlText w:val="%2."/>
      <w:numFmt w:val="lowerLetter"/>
      <w:start w:val="1"/>
    </w:lvl>
  </w:abstractNum>
  <w:abstractNum w:abstractNumId="113">
    <w:nsid w:val="53B0A9E"/>
    <w:multiLevelType w:val="hybridMultilevel"/>
    <w:lvl w:ilvl="0">
      <w:lvlJc w:val="left"/>
      <w:lvlText w:val="%1."/>
      <w:numFmt w:val="decimal"/>
      <w:start w:val="37"/>
    </w:lvl>
  </w:abstractNum>
  <w:abstractNum w:abstractNumId="114">
    <w:nsid w:val="34FD6B4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5">
    <w:nsid w:val="5915FF32"/>
    <w:multiLevelType w:val="hybridMultilevel"/>
    <w:lvl w:ilvl="0">
      <w:lvlJc w:val="left"/>
      <w:lvlText w:val="%1."/>
      <w:numFmt w:val="decimal"/>
      <w:start w:val="39"/>
    </w:lvl>
    <w:lvl w:ilvl="1">
      <w:lvlJc w:val="left"/>
      <w:lvlText w:val="%2."/>
      <w:numFmt w:val="lowerLetter"/>
      <w:start w:val="1"/>
    </w:lvl>
    <w:lvl w:ilvl="2">
      <w:lvlJc w:val="left"/>
      <w:lvlText w:val="%3"/>
      <w:numFmt w:val="lowerRoman"/>
      <w:start w:val="1"/>
    </w:lvl>
  </w:abstractNum>
  <w:abstractNum w:abstractNumId="116">
    <w:nsid w:val="56438D15"/>
    <w:multiLevelType w:val="hybridMultilevel"/>
    <w:lvl w:ilvl="0">
      <w:lvlJc w:val="left"/>
      <w:lvlText w:val="%1."/>
      <w:numFmt w:val="decimal"/>
      <w:start w:val="42"/>
    </w:lvl>
  </w:abstractNum>
  <w:abstractNum w:abstractNumId="117">
    <w:nsid w:val="519E3149"/>
    <w:multiLevelType w:val="hybridMultilevel"/>
    <w:lvl w:ilvl="0">
      <w:lvlJc w:val="left"/>
      <w:lvlText w:val="%1."/>
      <w:numFmt w:val="decimal"/>
      <w:start w:val="52"/>
    </w:lvl>
  </w:abstractNum>
  <w:abstractNum w:abstractNumId="118">
    <w:nsid w:val="2C6E4AFD"/>
    <w:multiLevelType w:val="hybridMultilevel"/>
    <w:lvl w:ilvl="0">
      <w:lvlJc w:val="left"/>
      <w:lvlText w:val="(%1)"/>
      <w:numFmt w:val="decimal"/>
      <w:start w:val="1"/>
    </w:lvl>
  </w:abstractNum>
  <w:abstractNum w:abstractNumId="119">
    <w:nsid w:val="17A1B582"/>
    <w:multiLevelType w:val="hybridMultilevel"/>
    <w:lvl w:ilvl="0">
      <w:lvlJc w:val="left"/>
      <w:lvlText w:val="*"/>
      <w:numFmt w:val="bullet"/>
      <w:start w:val="1"/>
    </w:lvl>
  </w:abstractNum>
  <w:abstractNum w:abstractNumId="120">
    <w:nsid w:val="4DF72E4E"/>
    <w:multiLevelType w:val="hybridMultilevel"/>
    <w:lvl w:ilvl="0">
      <w:lvlJc w:val="left"/>
      <w:lvlText w:val="•"/>
      <w:numFmt w:val="bullet"/>
      <w:start w:val="1"/>
    </w:lvl>
  </w:abstractNum>
  <w:abstractNum w:abstractNumId="121">
    <w:nsid w:val="5046B5A9"/>
    <w:multiLevelType w:val="hybridMultilevel"/>
    <w:lvl w:ilvl="0">
      <w:lvlJc w:val="left"/>
      <w:lvlText w:val="•"/>
      <w:numFmt w:val="bullet"/>
      <w:start w:val="1"/>
    </w:lvl>
  </w:abstractNum>
  <w:abstractNum w:abstractNumId="122">
    <w:nsid w:val="5D888A08"/>
    <w:multiLevelType w:val="hybridMultilevel"/>
    <w:lvl w:ilvl="0">
      <w:lvlJc w:val="left"/>
      <w:lvlText w:val="•"/>
      <w:numFmt w:val="bullet"/>
      <w:start w:val="1"/>
    </w:lvl>
  </w:abstractNum>
  <w:abstractNum w:abstractNumId="123">
    <w:nsid w:val="2A082C70"/>
    <w:multiLevelType w:val="hybridMultilevel"/>
    <w:lvl w:ilvl="0">
      <w:lvlJc w:val="left"/>
      <w:lvlText w:val="•"/>
      <w:numFmt w:val="bullet"/>
      <w:start w:val="1"/>
    </w:lvl>
  </w:abstractNum>
  <w:abstractNum w:abstractNumId="124">
    <w:nsid w:val="5EC6AFD4"/>
    <w:multiLevelType w:val="hybridMultilevel"/>
    <w:lvl w:ilvl="0">
      <w:lvlJc w:val="left"/>
      <w:lvlText w:val="•"/>
      <w:numFmt w:val="bullet"/>
      <w:start w:val="1"/>
    </w:lvl>
  </w:abstractNum>
  <w:abstractNum w:abstractNumId="125">
    <w:nsid w:val="19E21BB2"/>
    <w:multiLevelType w:val="hybridMultilevel"/>
    <w:lvl w:ilvl="0">
      <w:lvlJc w:val="left"/>
      <w:lvlText w:val="•"/>
      <w:numFmt w:val="bullet"/>
      <w:start w:val="1"/>
    </w:lvl>
  </w:abstractNum>
  <w:abstractNum w:abstractNumId="126">
    <w:nsid w:val="75E0858A"/>
    <w:multiLevelType w:val="hybridMultilevel"/>
    <w:lvl w:ilvl="0">
      <w:lvlJc w:val="left"/>
      <w:lvlText w:val="•"/>
      <w:numFmt w:val="bullet"/>
      <w:start w:val="1"/>
    </w:lvl>
  </w:abstractNum>
  <w:abstractNum w:abstractNumId="127">
    <w:nsid w:val="57A61A29"/>
    <w:multiLevelType w:val="hybridMultilevel"/>
    <w:lvl w:ilvl="0">
      <w:lvlJc w:val="left"/>
      <w:lvlText w:val="•"/>
      <w:numFmt w:val="bullet"/>
      <w:start w:val="1"/>
    </w:lvl>
  </w:abstractNum>
  <w:abstractNum w:abstractNumId="128">
    <w:nsid w:val="5399C654"/>
    <w:multiLevelType w:val="hybridMultilevel"/>
    <w:lvl w:ilvl="0">
      <w:lvlJc w:val="left"/>
      <w:lvlText w:val="•"/>
      <w:numFmt w:val="bullet"/>
      <w:start w:val="1"/>
    </w:lvl>
  </w:abstractNum>
  <w:abstractNum w:abstractNumId="129">
    <w:nsid w:val="20EE1348"/>
    <w:multiLevelType w:val="hybridMultilevel"/>
    <w:lvl w:ilvl="0">
      <w:lvlJc w:val="left"/>
      <w:lvlText w:val="•"/>
      <w:numFmt w:val="bullet"/>
      <w:start w:val="1"/>
    </w:lvl>
  </w:abstractNum>
  <w:abstractNum w:abstractNumId="130">
    <w:nsid w:val="4427069A"/>
    <w:multiLevelType w:val="hybridMultilevel"/>
    <w:lvl w:ilvl="0">
      <w:lvlJc w:val="left"/>
      <w:lvlText w:val="•"/>
      <w:numFmt w:val="bullet"/>
      <w:start w:val="1"/>
    </w:lvl>
  </w:abstractNum>
  <w:abstractNum w:abstractNumId="131">
    <w:nsid w:val="B37E80A"/>
    <w:multiLevelType w:val="hybridMultilevel"/>
    <w:lvl w:ilvl="0">
      <w:lvlJc w:val="left"/>
      <w:lvlText w:val="•"/>
      <w:numFmt w:val="bullet"/>
      <w:start w:val="1"/>
    </w:lvl>
  </w:abstractNum>
  <w:abstractNum w:abstractNumId="132">
    <w:nsid w:val="2157F6BC"/>
    <w:multiLevelType w:val="hybridMultilevel"/>
    <w:lvl w:ilvl="0">
      <w:lvlJc w:val="left"/>
      <w:lvlText w:val="1"/>
      <w:numFmt w:val="bullet"/>
      <w:start w:val="1"/>
    </w:lvl>
  </w:abstractNum>
  <w:abstractNum w:abstractNumId="133">
    <w:nsid w:val="704E1DD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jpeg"/><Relationship Id="rId63" Type="http://schemas.openxmlformats.org/officeDocument/2006/relationships/image" Target="media/image54.png"/><Relationship Id="rId14" Type="http://schemas.openxmlformats.org/officeDocument/2006/relationships/hyperlink" Target="https://www.sec.gov/ix?doc=/Archives/edgar/data/100517/000110465920110493/tm2031884-2_8k.htm" TargetMode="External"/><Relationship Id="rId15" Type="http://schemas.openxmlformats.org/officeDocument/2006/relationships/hyperlink" Target="https://www.sec.gov/ix?doc=/Archives/edgar/data/100517/000110465920133237/tm2037895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2021-01-20T16:03:23Z</dcterms:created>
  <dcterms:modified xsi:type="dcterms:W3CDTF">2021-01-20T16:03:23Z</dcterms:modified>
</cp:coreProperties>
</file>