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6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rPr>
          <w:sz w:val="20"/>
          <w:szCs w:val="20"/>
          <w:color w:val="auto"/>
        </w:rPr>
      </w:pPr>
      <w:r>
        <w:rPr>
          <w:rFonts w:ascii="Courier New" w:cs="Courier New" w:eastAsia="Courier New" w:hAnsi="Courier New"/>
          <w:sz w:val="18"/>
          <w:szCs w:val="18"/>
          <w:color w:val="auto"/>
        </w:rPr>
        <w:t>Washington, D.C. 20594</w:t>
      </w:r>
    </w:p>
    <w:p>
      <w:pPr>
        <w:spacing w:after="0" w:line="200" w:lineRule="exact"/>
        <w:rPr>
          <w:sz w:val="24"/>
          <w:szCs w:val="24"/>
          <w:color w:val="auto"/>
        </w:rPr>
      </w:pPr>
    </w:p>
    <w:p>
      <w:pPr>
        <w:spacing w:after="0" w:line="203"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640"/>
        <w:spacing w:after="0"/>
        <w:tabs>
          <w:tab w:leader="none" w:pos="462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Continental Airlines, Inc.</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Class B Common Stock</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210795308</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The Capital Group Companies,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86-0206507</w:t>
      </w:r>
    </w:p>
    <w:p>
      <w:pPr>
        <w:spacing w:after="0" w:line="202"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SEC USE ONLY</w:t>
      </w:r>
    </w:p>
    <w:p>
      <w:pPr>
        <w:ind w:left="120"/>
        <w:spacing w:after="0" w:line="238" w:lineRule="auto"/>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244" w:right="1440" w:bottom="52"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CITIZENSHIP OR PLACE OF ORGANIZATION</w:t>
      </w:r>
    </w:p>
    <w:p>
      <w:pPr>
        <w:ind w:left="120"/>
        <w:spacing w:after="0" w:line="238" w:lineRule="auto"/>
        <w:rPr>
          <w:sz w:val="20"/>
          <w:szCs w:val="20"/>
          <w:color w:val="auto"/>
        </w:rPr>
      </w:pPr>
      <w:r>
        <w:rPr>
          <w:rFonts w:ascii="Courier New" w:cs="Courier New" w:eastAsia="Courier New" w:hAnsi="Courier New"/>
          <w:sz w:val="18"/>
          <w:szCs w:val="18"/>
          <w:color w:val="auto"/>
        </w:rPr>
        <w:t>4</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17"/>
                <w:szCs w:val="17"/>
                <w:color w:val="auto"/>
              </w:rPr>
            </w:pP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416,000</w:t>
            </w:r>
          </w:p>
        </w:tc>
      </w:tr>
      <w:tr>
        <w:trPr>
          <w:trHeight w:val="405"/>
        </w:trPr>
        <w:tc>
          <w:tcPr>
            <w:tcW w:w="132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6"/>
              </w:rPr>
              <w:t>NUMBER OF</w:t>
            </w:r>
          </w:p>
        </w:tc>
        <w:tc>
          <w:tcPr>
            <w:tcW w:w="420" w:type="dxa"/>
            <w:vAlign w:val="bottom"/>
          </w:tcPr>
          <w:p>
            <w:pPr>
              <w:spacing w:after="0"/>
              <w:rPr>
                <w:sz w:val="24"/>
                <w:szCs w:val="24"/>
                <w:color w:val="auto"/>
              </w:rPr>
            </w:pP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20" w:type="dxa"/>
            <w:vAlign w:val="bottom"/>
          </w:tcPr>
          <w:p>
            <w:pPr>
              <w:spacing w:after="0"/>
              <w:rPr>
                <w:sz w:val="17"/>
                <w:szCs w:val="17"/>
                <w:color w:val="auto"/>
              </w:rPr>
            </w:pP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480" w:type="dxa"/>
            <w:vAlign w:val="bottom"/>
          </w:tcPr>
          <w:p>
            <w:pPr>
              <w:spacing w:after="0"/>
              <w:rPr>
                <w:sz w:val="17"/>
                <w:szCs w:val="17"/>
                <w:color w:val="auto"/>
              </w:rPr>
            </w:pP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SHARES</w:t>
            </w:r>
          </w:p>
        </w:tc>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13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BENEFICIALL</w:t>
            </w:r>
          </w:p>
        </w:tc>
        <w:tc>
          <w:tcPr>
            <w:tcW w:w="420" w:type="dxa"/>
            <w:vAlign w:val="bottom"/>
          </w:tcPr>
          <w:p>
            <w:pPr>
              <w:spacing w:after="0"/>
              <w:rPr>
                <w:sz w:val="17"/>
                <w:szCs w:val="17"/>
                <w:color w:val="auto"/>
              </w:rPr>
            </w:pP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Y OWNED BY</w:t>
            </w:r>
          </w:p>
        </w:tc>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EACH</w:t>
            </w: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3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13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420" w:type="dxa"/>
            <w:vAlign w:val="bottom"/>
          </w:tcPr>
          <w:p>
            <w:pPr>
              <w:spacing w:after="0"/>
              <w:rPr>
                <w:sz w:val="17"/>
                <w:szCs w:val="17"/>
                <w:color w:val="auto"/>
              </w:rPr>
            </w:pP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2,822,400</w:t>
            </w:r>
          </w:p>
        </w:tc>
      </w:tr>
    </w:tbl>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SHARED DISPOSITIVE POWER</w:t>
      </w:r>
    </w:p>
    <w:p>
      <w:pPr>
        <w:ind w:left="1480"/>
        <w:spacing w:after="0" w:line="238" w:lineRule="auto"/>
        <w:rPr>
          <w:sz w:val="20"/>
          <w:szCs w:val="20"/>
          <w:color w:val="auto"/>
        </w:rPr>
      </w:pPr>
      <w:r>
        <w:rPr>
          <w:rFonts w:ascii="Courier New" w:cs="Courier New" w:eastAsia="Courier New" w:hAnsi="Courier New"/>
          <w:sz w:val="18"/>
          <w:szCs w:val="18"/>
          <w:color w:val="auto"/>
        </w:rPr>
        <w:t>8</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spacing w:after="0" w:line="202"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2,822,400</w:t>
      </w:r>
      <w:r>
        <w:rPr>
          <w:sz w:val="20"/>
          <w:szCs w:val="20"/>
          <w:color w:val="auto"/>
        </w:rPr>
        <w:tab/>
      </w:r>
      <w:r>
        <w:rPr>
          <w:rFonts w:ascii="Courier New" w:cs="Courier New" w:eastAsia="Courier New" w:hAnsi="Courier New"/>
          <w:sz w:val="18"/>
          <w:szCs w:val="18"/>
          <w:color w:val="auto"/>
        </w:rPr>
        <w:t>Beneficial ownership disclaimed pursuant to Rule 13d-4</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4739" w:hanging="427"/>
        <w:spacing w:after="0" w:line="470"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5.7%</w:t>
      </w: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TYPE OF REPORTING PERSON*</w:t>
      </w:r>
    </w:p>
    <w:p>
      <w:pPr>
        <w:ind w:left="120"/>
        <w:spacing w:after="0" w:line="238" w:lineRule="auto"/>
        <w:rPr>
          <w:sz w:val="20"/>
          <w:szCs w:val="20"/>
          <w:color w:val="auto"/>
        </w:rPr>
      </w:pPr>
      <w:r>
        <w:rPr>
          <w:rFonts w:ascii="Courier New" w:cs="Courier New" w:eastAsia="Courier New" w:hAnsi="Courier New"/>
          <w:sz w:val="18"/>
          <w:szCs w:val="18"/>
          <w:color w:val="auto"/>
        </w:rPr>
        <w:t>12</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339" w:right="1440" w:bottom="1440" w:gutter="0" w:footer="0" w:header="0"/>
        </w:sectPr>
      </w:pPr>
    </w:p>
    <w:bookmarkStart w:id="2" w:name="page3"/>
    <w:bookmarkEnd w:id="2"/>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Continental Airlines, Inc.</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2929 Allen Parkway, Suite 2010</w:t>
      </w:r>
    </w:p>
    <w:p>
      <w:pPr>
        <w:ind w:left="740"/>
        <w:spacing w:after="0"/>
        <w:rPr>
          <w:sz w:val="20"/>
          <w:szCs w:val="20"/>
          <w:color w:val="auto"/>
        </w:rPr>
      </w:pPr>
      <w:r>
        <w:rPr>
          <w:rFonts w:ascii="Courier New" w:cs="Courier New" w:eastAsia="Courier New" w:hAnsi="Courier New"/>
          <w:sz w:val="18"/>
          <w:szCs w:val="18"/>
          <w:color w:val="auto"/>
        </w:rPr>
        <w:t>Houston, TX 77019</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The Capital Group Companies, Inc.</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0"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Class B Common Stock</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210795308</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7" w:lineRule="exact"/>
        <w:rPr>
          <w:sz w:val="20"/>
          <w:szCs w:val="20"/>
          <w:color w:val="auto"/>
        </w:rPr>
      </w:pPr>
    </w:p>
    <w:p>
      <w:pPr>
        <w:ind w:left="1280" w:right="2939" w:hanging="535"/>
        <w:spacing w:after="0" w:line="235" w:lineRule="auto"/>
        <w:tabs>
          <w:tab w:leader="none" w:pos="149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240.13d-1(b)(1)(ii)(G).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619"/>
        <w:spacing w:after="0" w:line="238" w:lineRule="auto"/>
        <w:rPr>
          <w:sz w:val="20"/>
          <w:szCs w:val="20"/>
          <w:color w:val="auto"/>
        </w:rPr>
      </w:pPr>
      <w:r>
        <w:rPr>
          <w:rFonts w:ascii="Courier New" w:cs="Courier New" w:eastAsia="Courier New" w:hAnsi="Courier New"/>
          <w:sz w:val="18"/>
          <w:szCs w:val="18"/>
          <w:color w:val="auto"/>
        </w:rPr>
        <w:t>The Capital Group Companies, Inc., is the parent holding company of a group of investment management companies that hold investment power and, in some cases, voting power over the securities reported in this Schedule 13G. The investment management companies, which include a "bank" as defined in Section 3(a)6 of the Securities Exchange Act of 1934 (the "Act") and several investment advisers registered under Section 203 of the Investment Advisers Act of 1940, provide investment advisory and management services for their respective clients which include registered investment companies and institutional accounts. The Capital Group Companies, Inc. does not have investment power or voting power over any of the securities reported herein; however, The Capital Group Companies, Inc., may be deemed to "beneficially own" such securities by virtue of Rule 13d-3 under the Act.</w:t>
      </w:r>
    </w:p>
    <w:p>
      <w:pPr>
        <w:spacing w:after="0" w:line="208" w:lineRule="exact"/>
        <w:rPr>
          <w:sz w:val="20"/>
          <w:szCs w:val="20"/>
          <w:color w:val="auto"/>
        </w:rPr>
      </w:pPr>
    </w:p>
    <w:p>
      <w:pPr>
        <w:ind w:left="740" w:right="2839"/>
        <w:spacing w:after="0" w:line="271" w:lineRule="auto"/>
        <w:rPr>
          <w:sz w:val="20"/>
          <w:szCs w:val="20"/>
          <w:color w:val="auto"/>
        </w:rPr>
      </w:pPr>
      <w:r>
        <w:rPr>
          <w:rFonts w:ascii="Courier New" w:cs="Courier New" w:eastAsia="Courier New" w:hAnsi="Courier New"/>
          <w:sz w:val="16"/>
          <w:szCs w:val="16"/>
          <w:color w:val="auto"/>
        </w:rPr>
        <w:t>The number of shares reported by The Capital Group Companies, Inc. includes 930,870 shares resulting from the assumed conversion of 450,000 shares of the $4.25 144A TOPRS, due 2020; 465,430 shares resulting from the assumed conversion of 225,000 of the $4.25 registered TOPRS, due 2020; and 1,010,100 shares resulting from the assumed comversion of $30,500,000 principal amount of the 6.75% convertible debentures, due 2006.</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 ]</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7" w:lineRule="exact"/>
        <w:rPr>
          <w:sz w:val="20"/>
          <w:szCs w:val="20"/>
          <w:color w:val="auto"/>
        </w:rPr>
      </w:pPr>
    </w:p>
    <w:p>
      <w:pPr>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9" w:lineRule="exact"/>
        <w:rPr>
          <w:sz w:val="20"/>
          <w:szCs w:val="20"/>
          <w:color w:val="auto"/>
        </w:rPr>
      </w:pPr>
    </w:p>
    <w:p>
      <w:pPr>
        <w:ind w:left="1060" w:right="2839" w:hanging="315"/>
        <w:spacing w:after="0" w:line="237"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Research and Management Company is an Investment Adviser registered under Section 203 of the Investment Advisers Act of 1940 and is a wholly owned subsidiary of The Capital Group Companies, Inc.</w:t>
      </w:r>
    </w:p>
    <w:p>
      <w:pPr>
        <w:spacing w:after="0" w:line="207" w:lineRule="exact"/>
        <w:rPr>
          <w:rFonts w:ascii="Courier New" w:cs="Courier New" w:eastAsia="Courier New" w:hAnsi="Courier New"/>
          <w:sz w:val="18"/>
          <w:szCs w:val="18"/>
          <w:color w:val="auto"/>
        </w:rPr>
      </w:pPr>
    </w:p>
    <w:p>
      <w:pPr>
        <w:ind w:left="1060" w:right="2619" w:hanging="315"/>
        <w:spacing w:after="0" w:line="236"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Guardian Trust Company is a bank as defined in Section 3(a)(6) of the Act and a wholly owned subsidiary of The Capital Group Companies, Inc.</w:t>
      </w:r>
    </w:p>
    <w:p>
      <w:pPr>
        <w:spacing w:after="0" w:line="208" w:lineRule="exact"/>
        <w:rPr>
          <w:rFonts w:ascii="Courier New" w:cs="Courier New" w:eastAsia="Courier New" w:hAnsi="Courier New"/>
          <w:sz w:val="18"/>
          <w:szCs w:val="18"/>
          <w:color w:val="auto"/>
        </w:rPr>
      </w:pPr>
    </w:p>
    <w:p>
      <w:pPr>
        <w:ind w:left="1060" w:right="2619" w:hanging="315"/>
        <w:spacing w:after="0" w:line="237"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International Limited (CIL) does not fall within any of the categories described in Rule 13d-1-(b)(ii)(A-F) but its holdings of any reported securities come within the five percent limitation as set forth in a December 15, 1986 no-action letter from the Staff of the Securities and Exchange Commission to The Capital Group Companies, Inc. CIL is a wholly owned subsidiary of Capital Group International, Inc. which is a wholly owned subsidiary of The Capital Group Companies, Inc.</w:t>
      </w:r>
    </w:p>
    <w:p>
      <w:pPr>
        <w:spacing w:after="0" w:line="200" w:lineRule="exact"/>
        <w:rPr>
          <w:sz w:val="20"/>
          <w:szCs w:val="20"/>
          <w:color w:val="auto"/>
        </w:rPr>
      </w:pPr>
    </w:p>
    <w:p>
      <w:pPr>
        <w:spacing w:after="0" w:line="210" w:lineRule="exact"/>
        <w:rPr>
          <w:sz w:val="20"/>
          <w:szCs w:val="20"/>
          <w:color w:val="auto"/>
        </w:rPr>
      </w:pPr>
    </w:p>
    <w:p>
      <w:pPr>
        <w:spacing w:after="0"/>
        <w:tabs>
          <w:tab w:leader="none" w:pos="940" w:val="left"/>
          <w:tab w:leader="none" w:pos="7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940" w:val="left"/>
          <w:tab w:leader="none" w:pos="4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14, 1997</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*Larry P. Clemmensen</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Larry P. Clemmensen, President</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The Capital Group Companies, Inc.</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bullet"/>
      <w:start w:val="1"/>
    </w:lvl>
  </w:abstractNum>
  <w:abstractNum w:abstractNumId="1">
    <w:nsid w:val="2AE8944A"/>
    <w:multiLevelType w:val="hybridMultilevel"/>
    <w:lvl w:ilvl="0">
      <w:lvlJc w:val="left"/>
      <w:lvlText w:val="2"/>
      <w:numFmt w:val="bullet"/>
      <w:start w:val="1"/>
    </w:lvl>
  </w:abstractNum>
  <w:abstractNum w:abstractNumId="2">
    <w:nsid w:val="625558EC"/>
    <w:multiLevelType w:val="hybridMultilevel"/>
    <w:lvl w:ilvl="0">
      <w:lvlJc w:val="left"/>
      <w:lvlText w:val="%1"/>
      <w:numFmt w:val="decimal"/>
      <w:start w:val="11"/>
    </w:lvl>
  </w:abstractNum>
  <w:abstractNum w:abstractNumId="3">
    <w:nsid w:val="238E1F29"/>
    <w:multiLevelType w:val="hybridMultilevel"/>
    <w:lvl w:ilvl="0">
      <w:lvlJc w:val="left"/>
      <w:lvlText w:val="(%1)"/>
      <w:numFmt w:val="lowerLetter"/>
      <w:start w:val="7"/>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2019-12-13T09:54:49Z</dcterms:created>
  <dcterms:modified xsi:type="dcterms:W3CDTF">2019-12-13T09:54:49Z</dcterms:modified>
</cp:coreProperties>
</file>