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33020</wp:posOffset>
            </wp:positionV>
            <wp:extent cx="5006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-172085</wp:posOffset>
            </wp:positionV>
            <wp:extent cx="5006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-5080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80010</wp:posOffset>
            </wp:positionV>
            <wp:extent cx="3086100" cy="574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Commission</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w:t>
            </w:r>
          </w:p>
        </w:tc>
        <w:tc>
          <w:tcPr>
            <w:tcW w:w="2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Principal Executive Office Address</w:t>
            </w:r>
          </w:p>
        </w:tc>
        <w:tc>
          <w:tcPr>
            <w:tcW w:w="15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Telephone Number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State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99"/>
        </w:trPr>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Charter</w:t>
            </w:r>
          </w:p>
        </w:tc>
        <w:tc>
          <w:tcPr>
            <w:tcW w:w="2200" w:type="dxa"/>
            <w:vAlign w:val="bottom"/>
            <w:gridSpan w:val="4"/>
            <w:vMerge w:val="continue"/>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77"/>
        </w:trPr>
        <w:tc>
          <w:tcPr>
            <w:tcW w:w="1020" w:type="dxa"/>
            <w:vAlign w:val="bottom"/>
            <w:gridSpan w:val="2"/>
            <w:vMerge w:val="continue"/>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001-06033</w:t>
            </w:r>
          </w:p>
        </w:tc>
        <w:tc>
          <w:tcPr>
            <w:tcW w:w="120" w:type="dxa"/>
            <w:vAlign w:val="bottom"/>
          </w:tcPr>
          <w:p>
            <w:pPr>
              <w:spacing w:after="0"/>
              <w:rPr>
                <w:sz w:val="14"/>
                <w:szCs w:val="14"/>
                <w:color w:val="auto"/>
              </w:rPr>
            </w:pPr>
          </w:p>
        </w:tc>
        <w:tc>
          <w:tcPr>
            <w:tcW w:w="2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United Airlines Holdings, Inc.</w:t>
            </w:r>
          </w:p>
        </w:tc>
        <w:tc>
          <w:tcPr>
            <w:tcW w:w="80" w:type="dxa"/>
            <w:vAlign w:val="bottom"/>
          </w:tcPr>
          <w:p>
            <w:pPr>
              <w:spacing w:after="0"/>
              <w:rPr>
                <w:sz w:val="14"/>
                <w:szCs w:val="14"/>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w w:val="99"/>
              </w:rPr>
              <w:t>233 South Wacker Drive,</w:t>
            </w: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9"/>
              </w:rPr>
              <w:t>(872)</w:t>
            </w:r>
          </w:p>
        </w:tc>
        <w:tc>
          <w:tcPr>
            <w:tcW w:w="9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825-4000</w:t>
            </w:r>
          </w:p>
        </w:tc>
        <w:tc>
          <w:tcPr>
            <w:tcW w:w="100" w:type="dxa"/>
            <w:vAlign w:val="bottom"/>
          </w:tcPr>
          <w:p>
            <w:pPr>
              <w:spacing w:after="0"/>
              <w:rPr>
                <w:sz w:val="14"/>
                <w:szCs w:val="14"/>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Delaware</w:t>
            </w:r>
          </w:p>
        </w:tc>
        <w:tc>
          <w:tcPr>
            <w:tcW w:w="120" w:type="dxa"/>
            <w:vAlign w:val="bottom"/>
          </w:tcPr>
          <w:p>
            <w:pPr>
              <w:spacing w:after="0"/>
              <w:rPr>
                <w:sz w:val="14"/>
                <w:szCs w:val="14"/>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36-2675207</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Illinois</w:t>
            </w:r>
          </w:p>
        </w:tc>
        <w:tc>
          <w:tcPr>
            <w:tcW w:w="7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60606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001-10323</w:t>
            </w:r>
          </w:p>
        </w:tc>
        <w:tc>
          <w:tcPr>
            <w:tcW w:w="120" w:type="dxa"/>
            <w:vAlign w:val="bottom"/>
          </w:tcPr>
          <w:p>
            <w:pPr>
              <w:spacing w:after="0"/>
              <w:rPr>
                <w:sz w:val="19"/>
                <w:szCs w:val="19"/>
                <w:color w:val="auto"/>
              </w:rPr>
            </w:pP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United Airlines, Inc.</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233 South Wacker Drive,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9"/>
              </w:rPr>
              <w:t>(872)</w:t>
            </w: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825-4000</w:t>
            </w:r>
          </w:p>
        </w:tc>
        <w:tc>
          <w:tcPr>
            <w:tcW w:w="10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Delaware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74-2099724</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Chicago,</w:t>
            </w:r>
          </w:p>
        </w:tc>
        <w:tc>
          <w:tcPr>
            <w:tcW w:w="76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auto"/>
              </w:rPr>
              <w:t>Illinois</w:t>
            </w:r>
          </w:p>
        </w:tc>
        <w:tc>
          <w:tcPr>
            <w:tcW w:w="720" w:type="dxa"/>
            <w:vAlign w:val="bottom"/>
          </w:tcPr>
          <w:p>
            <w:pPr>
              <w:jc w:val="right"/>
              <w:ind w:right="297"/>
              <w:spacing w:after="0" w:line="147" w:lineRule="exact"/>
              <w:rPr>
                <w:sz w:val="20"/>
                <w:szCs w:val="20"/>
                <w:color w:val="auto"/>
              </w:rPr>
            </w:pPr>
            <w:r>
              <w:rPr>
                <w:rFonts w:ascii="Times New Roman" w:cs="Times New Roman" w:eastAsia="Times New Roman" w:hAnsi="Times New Roman"/>
                <w:sz w:val="13"/>
                <w:szCs w:val="13"/>
                <w:color w:val="auto"/>
              </w:rPr>
              <w:t>60606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Times New Roman" w:cs="Times New Roman" w:eastAsia="Times New Roman" w:hAnsi="Times New Roman"/>
          <w:sz w:val="13"/>
          <w:szCs w:val="13"/>
          <w:b w:val="1"/>
          <w:bCs w:val="1"/>
          <w:color w:val="auto"/>
        </w:rPr>
        <w:t>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797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66"/>
        </w:trPr>
        <w:tc>
          <w:tcPr>
            <w:tcW w:w="2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1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registered pursuant to Section 12(b) of the Act:</w:t>
            </w:r>
          </w:p>
        </w:tc>
        <w:tc>
          <w:tcPr>
            <w:tcW w:w="3460" w:type="dxa"/>
            <w:vAlign w:val="bottom"/>
          </w:tcPr>
          <w:p>
            <w:pPr>
              <w:spacing w:after="0"/>
              <w:rPr>
                <w:sz w:val="14"/>
                <w:szCs w:val="14"/>
                <w:color w:val="auto"/>
              </w:rPr>
            </w:pPr>
          </w:p>
        </w:tc>
      </w:tr>
      <w:tr>
        <w:trPr>
          <w:trHeight w:val="182"/>
        </w:trPr>
        <w:tc>
          <w:tcPr>
            <w:tcW w:w="2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4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64"/>
        </w:trPr>
        <w:tc>
          <w:tcPr>
            <w:tcW w:w="22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United Airlines Holdings, Inc.</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6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UAL</w:t>
            </w:r>
          </w:p>
        </w:tc>
        <w:tc>
          <w:tcPr>
            <w:tcW w:w="200" w:type="dxa"/>
            <w:vAlign w:val="bottom"/>
          </w:tcPr>
          <w:p>
            <w:pPr>
              <w:spacing w:after="0"/>
              <w:rPr>
                <w:sz w:val="14"/>
                <w:szCs w:val="14"/>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71"/>
        </w:trPr>
        <w:tc>
          <w:tcPr>
            <w:tcW w:w="2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Preferred Stock Purchase Rights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None</w:t>
            </w:r>
          </w:p>
        </w:tc>
        <w:tc>
          <w:tcPr>
            <w:tcW w:w="3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85"/>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1700" w:type="dxa"/>
            <w:vAlign w:val="bottom"/>
            <w:tcBorders>
              <w:bottom w:val="single" w:sz="8" w:color="auto"/>
            </w:tcBorders>
          </w:tcPr>
          <w:p>
            <w:pPr>
              <w:jc w:val="right"/>
              <w:ind w:right="1337"/>
              <w:spacing w:after="0"/>
              <w:rPr>
                <w:sz w:val="20"/>
                <w:szCs w:val="20"/>
                <w:color w:val="auto"/>
              </w:rPr>
            </w:pPr>
            <w:r>
              <w:rPr>
                <w:rFonts w:ascii="Times New Roman" w:cs="Times New Roman" w:eastAsia="Times New Roman" w:hAnsi="Times New Roman"/>
                <w:sz w:val="13"/>
                <w:szCs w:val="13"/>
                <w:color w:val="auto"/>
                <w:w w:val="99"/>
              </w:rPr>
              <w:t>None</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None</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None</w:t>
            </w:r>
          </w:p>
        </w:tc>
      </w:tr>
    </w:tbl>
    <w:p>
      <w:pPr>
        <w:spacing w:after="0" w:line="166" w:lineRule="exact"/>
        <w:rPr>
          <w:sz w:val="24"/>
          <w:szCs w:val="24"/>
          <w:color w:val="auto"/>
        </w:rPr>
      </w:pPr>
    </w:p>
    <w:p>
      <w:pPr>
        <w:ind w:right="220"/>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
        <w:spacing w:after="0" w:line="150" w:lineRule="exact"/>
        <w:tabs>
          <w:tab w:leader="none" w:pos="3600" w:val="left"/>
          <w:tab w:leader="none" w:pos="4020" w:val="left"/>
          <w:tab w:leader="none" w:pos="4460" w:val="left"/>
          <w:tab w:leader="none" w:pos="4900" w:val="left"/>
          <w:tab w:leader="none" w:pos="5560" w:val="left"/>
          <w:tab w:leader="none" w:pos="9200" w:val="left"/>
          <w:tab w:leader="none" w:pos="9640" w:val="left"/>
          <w:tab w:leader="none" w:pos="10060" w:val="left"/>
          <w:tab w:leader="none" w:pos="105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0"/>
          <w:szCs w:val="10"/>
          <w:color w:val="auto"/>
        </w:rPr>
        <w:t>☐</w:t>
      </w:r>
    </w:p>
    <w:p>
      <w:pPr>
        <w:spacing w:after="0" w:line="226" w:lineRule="exact"/>
        <w:rPr>
          <w:sz w:val="24"/>
          <w:szCs w:val="24"/>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
        <w:spacing w:after="0" w:line="150" w:lineRule="exact"/>
        <w:tabs>
          <w:tab w:leader="none" w:pos="3600" w:val="left"/>
          <w:tab w:leader="none" w:pos="4020" w:val="left"/>
          <w:tab w:leader="none" w:pos="4460" w:val="left"/>
          <w:tab w:leader="none" w:pos="4900" w:val="left"/>
          <w:tab w:leader="none" w:pos="5560" w:val="left"/>
          <w:tab w:leader="none" w:pos="9200" w:val="left"/>
          <w:tab w:leader="none" w:pos="9640" w:val="left"/>
          <w:tab w:leader="none" w:pos="10060" w:val="left"/>
          <w:tab w:leader="none" w:pos="105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0"/>
          <w:szCs w:val="10"/>
          <w:color w:val="auto"/>
        </w:rPr>
        <w:t>☐</w:t>
      </w:r>
    </w:p>
    <w:p>
      <w:pPr>
        <w:spacing w:after="0" w:line="212" w:lineRule="exact"/>
        <w:rPr>
          <w:sz w:val="24"/>
          <w:szCs w:val="24"/>
          <w:color w:val="auto"/>
        </w:rPr>
      </w:pPr>
    </w:p>
    <w:p>
      <w:pPr>
        <w:ind w:right="44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33" w:right="339" w:bottom="1440" w:gutter="0" w:footer="0" w:header="0"/>
        </w:sectPr>
      </w:pPr>
    </w:p>
    <w:p>
      <w:pPr>
        <w:spacing w:after="0" w:line="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United Airlines Holdings, Inc.</w:t>
      </w:r>
    </w:p>
    <w:p>
      <w:pPr>
        <w:spacing w:after="0" w:line="3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United Airlines, Inc.</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350" w:lineRule="auto"/>
        <w:rPr>
          <w:sz w:val="20"/>
          <w:szCs w:val="20"/>
          <w:color w:val="auto"/>
        </w:rPr>
      </w:pPr>
      <w:r>
        <w:rPr>
          <w:rFonts w:ascii="Times New Roman" w:cs="Times New Roman" w:eastAsia="Times New Roman" w:hAnsi="Times New Roman"/>
          <w:sz w:val="12"/>
          <w:szCs w:val="12"/>
          <w:color w:val="auto"/>
        </w:rPr>
        <w:t>Large accelerated filer Large 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11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Accelerated filer Accelerated filer</w:t>
      </w:r>
    </w:p>
    <w:p>
      <w:pPr>
        <w:spacing w:after="0" w:line="20" w:lineRule="exact"/>
        <w:rPr>
          <w:sz w:val="24"/>
          <w:szCs w:val="24"/>
          <w:color w:val="auto"/>
        </w:rPr>
      </w:pPr>
      <w:r>
        <w:rPr>
          <w:sz w:val="24"/>
          <w:szCs w:val="24"/>
          <w:color w:val="auto"/>
        </w:rPr>
        <w:br w:type="column"/>
      </w:r>
    </w:p>
    <w:p>
      <w:pPr>
        <w:jc w:val="both"/>
        <w:spacing w:after="0" w:line="17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Non-accelerated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Smaller reporting company 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Emerging growth company Emerging growth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ectPr>
          <w:pgSz w:w="11900" w:h="16838" w:orient="portrait"/>
          <w:cols w:equalWidth="0" w:num="10">
            <w:col w:w="1560" w:space="660"/>
            <w:col w:w="1120" w:space="380"/>
            <w:col w:w="100" w:space="140"/>
            <w:col w:w="860" w:space="280"/>
            <w:col w:w="1340" w:space="340"/>
            <w:col w:w="120" w:space="180"/>
            <w:col w:w="1380" w:space="440"/>
            <w:col w:w="120" w:space="160"/>
            <w:col w:w="1380" w:space="400"/>
            <w:col w:w="280"/>
          </w:cols>
          <w:pgMar w:left="320" w:top="533" w:right="339" w:bottom="1440" w:gutter="0" w:footer="0" w:header="0"/>
          <w:type w:val="continuous"/>
        </w:sectPr>
      </w:pPr>
    </w:p>
    <w:p>
      <w:pPr>
        <w:ind w:right="560"/>
        <w:spacing w:after="0" w:line="273"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533"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United Airlines Holdings, Inc.</w:t>
      </w:r>
    </w:p>
    <w:p>
      <w:pPr>
        <w:spacing w:after="0" w:line="3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United Airlines, Inc.</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11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40" w:lineRule="exact"/>
        <w:rPr>
          <w:sz w:val="24"/>
          <w:szCs w:val="24"/>
          <w:color w:val="auto"/>
        </w:rPr>
      </w:pPr>
    </w:p>
    <w:p>
      <w:pPr>
        <w:sectPr>
          <w:pgSz w:w="11900" w:h="16838" w:orient="portrait"/>
          <w:cols w:equalWidth="0" w:num="2">
            <w:col w:w="2880" w:space="720"/>
            <w:col w:w="7640"/>
          </w:cols>
          <w:pgMar w:left="320" w:top="533"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ectPr>
          <w:pgSz w:w="11900" w:h="16838" w:orient="portrait"/>
          <w:cols w:equalWidth="0" w:num="1">
            <w:col w:w="11240"/>
          </w:cols>
          <w:pgMar w:left="320" w:top="533" w:right="339" w:bottom="1440" w:gutter="0" w:footer="0" w:header="0"/>
          <w:type w:val="continuous"/>
        </w:sectPr>
      </w:pPr>
    </w:p>
    <w:p>
      <w:pPr>
        <w:spacing w:after="0" w:line="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United Airlines Holdings, Inc.</w:t>
      </w:r>
    </w:p>
    <w:p>
      <w:pPr>
        <w:spacing w:after="0" w:line="3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United Airlines, Inc.</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both"/>
        <w:spacing w:after="0" w:line="194"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4">
            <w:col w:w="2840" w:space="720"/>
            <w:col w:w="180" w:space="260"/>
            <w:col w:w="420" w:space="160"/>
            <w:col w:w="6660"/>
          </w:cols>
          <w:pgMar w:left="320" w:top="53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number of shares outstanding of each of the issuer's classes of common stock as of July 10, 2025 is shown below:</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323,732,094</w:t>
            </w:r>
          </w:p>
        </w:tc>
        <w:tc>
          <w:tcPr>
            <w:tcW w:w="4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of common stock ($0.01 par value)</w:t>
            </w: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United Airlines, Inc.</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64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6"/>
              </w:rPr>
              <w:t>shares of common stock ($0.01 par value) (100% owned by United Airlines Holdings, Inc.)</w:t>
            </w:r>
          </w:p>
        </w:tc>
      </w:tr>
    </w:tbl>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OMISSION OF CERTAIN INFORMATION</w:t>
      </w:r>
    </w:p>
    <w:p>
      <w:pPr>
        <w:spacing w:after="0" w:line="102"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This combined Quarterly Report on Form 10-Q is separately filed by United Airlines Holdings, Inc. and United Airlines, Inc. United Airlines, Inc. meets the conditions set forth in General Instruction H(1)(a) and (b) of Form 10-Q and is therefore filing this form with the reduced disclosure format allowed under that General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60" w:type="dxa"/>
            <w:vAlign w:val="bottom"/>
            <w:gridSpan w:val="9"/>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80" w:type="dxa"/>
            <w:vAlign w:val="bottom"/>
            <w:gridSpan w:val="6"/>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United Airlines, Inc.</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gridSpan w:val="9"/>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560" w:type="dxa"/>
            <w:vAlign w:val="bottom"/>
            <w:gridSpan w:val="11"/>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June 30, 2025</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6"/>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0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6"/>
        </w:trPr>
        <w:tc>
          <w:tcPr>
            <w:tcW w:w="9940" w:type="dxa"/>
            <w:vAlign w:val="bottom"/>
            <w:gridSpan w:val="32"/>
          </w:tcPr>
          <w:p>
            <w:pPr>
              <w:ind w:left="40"/>
              <w:spacing w:after="0" w:line="176"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700" w:type="dxa"/>
            <w:vAlign w:val="bottom"/>
            <w:tcBorders>
              <w:top w:val="single" w:sz="8" w:color="0000FF"/>
            </w:tcBorders>
            <w:gridSpan w:val="7"/>
          </w:tcPr>
          <w:p>
            <w:pPr>
              <w:spacing w:after="0"/>
              <w:rPr>
                <w:sz w:val="22"/>
                <w:szCs w:val="22"/>
                <w:color w:val="auto"/>
              </w:rPr>
            </w:pPr>
          </w:p>
        </w:tc>
        <w:tc>
          <w:tcPr>
            <w:tcW w:w="7020" w:type="dxa"/>
            <w:vAlign w:val="bottom"/>
            <w:gridSpan w:val="12"/>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United Airlines Holdings, Inc.:</w:t>
            </w:r>
          </w:p>
        </w:tc>
        <w:tc>
          <w:tcPr>
            <w:tcW w:w="7340" w:type="dxa"/>
            <w:vAlign w:val="bottom"/>
            <w:gridSpan w:val="15"/>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Statements of Consolidated Operations</w:t>
            </w:r>
          </w:p>
        </w:tc>
        <w:tc>
          <w:tcPr>
            <w:tcW w:w="6560" w:type="dxa"/>
            <w:vAlign w:val="bottom"/>
            <w:gridSpan w:val="11"/>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Statements of Consolidated Comprehensive Income (Loss)</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2100" w:type="dxa"/>
            <w:vAlign w:val="bottom"/>
            <w:gridSpan w:val="8"/>
          </w:tcPr>
          <w:p>
            <w:pPr>
              <w:spacing w:after="0"/>
              <w:rPr>
                <w:sz w:val="18"/>
                <w:szCs w:val="18"/>
                <w:color w:val="auto"/>
              </w:rPr>
            </w:pPr>
          </w:p>
        </w:tc>
        <w:tc>
          <w:tcPr>
            <w:tcW w:w="5180" w:type="dxa"/>
            <w:vAlign w:val="bottom"/>
            <w:gridSpan w:val="6"/>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Statements of Consolidated Cash Flows</w:t>
            </w:r>
          </w:p>
        </w:tc>
        <w:tc>
          <w:tcPr>
            <w:tcW w:w="5660" w:type="dxa"/>
            <w:vAlign w:val="bottom"/>
            <w:gridSpan w:val="9"/>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Statement of Consolidated Stockholders' Equity</w:t>
            </w:r>
          </w:p>
        </w:tc>
        <w:tc>
          <w:tcPr>
            <w:tcW w:w="260" w:type="dxa"/>
            <w:vAlign w:val="bottom"/>
          </w:tcPr>
          <w:p>
            <w:pPr>
              <w:spacing w:after="0"/>
              <w:rPr>
                <w:sz w:val="18"/>
                <w:szCs w:val="18"/>
                <w:color w:val="auto"/>
              </w:rPr>
            </w:pPr>
          </w:p>
        </w:tc>
        <w:tc>
          <w:tcPr>
            <w:tcW w:w="5660" w:type="dxa"/>
            <w:vAlign w:val="bottom"/>
            <w:gridSpan w:val="9"/>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United Airlines, Inc.:</w:t>
            </w:r>
          </w:p>
        </w:tc>
        <w:tc>
          <w:tcPr>
            <w:tcW w:w="8040" w:type="dxa"/>
            <w:vAlign w:val="bottom"/>
            <w:gridSpan w:val="21"/>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Statements of Consolidated Operations</w:t>
            </w:r>
          </w:p>
        </w:tc>
        <w:tc>
          <w:tcPr>
            <w:tcW w:w="6560" w:type="dxa"/>
            <w:vAlign w:val="bottom"/>
            <w:gridSpan w:val="11"/>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Statements of Consolidated Comprehensive Income (Loss)</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2100" w:type="dxa"/>
            <w:vAlign w:val="bottom"/>
            <w:gridSpan w:val="8"/>
          </w:tcPr>
          <w:p>
            <w:pPr>
              <w:spacing w:after="0"/>
              <w:rPr>
                <w:sz w:val="18"/>
                <w:szCs w:val="18"/>
                <w:color w:val="auto"/>
              </w:rPr>
            </w:pPr>
          </w:p>
        </w:tc>
        <w:tc>
          <w:tcPr>
            <w:tcW w:w="5180" w:type="dxa"/>
            <w:vAlign w:val="bottom"/>
            <w:gridSpan w:val="6"/>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Statements of Consolidated Cash Flows</w:t>
            </w:r>
          </w:p>
        </w:tc>
        <w:tc>
          <w:tcPr>
            <w:tcW w:w="5660" w:type="dxa"/>
            <w:vAlign w:val="bottom"/>
            <w:gridSpan w:val="9"/>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Statement of Consolidated Stockholder's Equity</w:t>
            </w:r>
          </w:p>
        </w:tc>
        <w:tc>
          <w:tcPr>
            <w:tcW w:w="260" w:type="dxa"/>
            <w:vAlign w:val="bottom"/>
          </w:tcPr>
          <w:p>
            <w:pPr>
              <w:spacing w:after="0"/>
              <w:rPr>
                <w:sz w:val="18"/>
                <w:szCs w:val="18"/>
                <w:color w:val="auto"/>
              </w:rPr>
            </w:pPr>
          </w:p>
        </w:tc>
        <w:tc>
          <w:tcPr>
            <w:tcW w:w="5660" w:type="dxa"/>
            <w:vAlign w:val="bottom"/>
            <w:gridSpan w:val="9"/>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Combined Notes to Condensed Consolidated Financial Statements</w:t>
            </w:r>
          </w:p>
        </w:tc>
        <w:tc>
          <w:tcPr>
            <w:tcW w:w="1100" w:type="dxa"/>
            <w:vAlign w:val="bottom"/>
            <w:vMerge w:val="restart"/>
          </w:tcPr>
          <w:p>
            <w:pPr>
              <w:spacing w:after="0"/>
              <w:rPr>
                <w:sz w:val="22"/>
                <w:szCs w:val="22"/>
                <w:color w:val="auto"/>
              </w:rPr>
            </w:pPr>
          </w:p>
        </w:tc>
        <w:tc>
          <w:tcPr>
            <w:tcW w:w="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6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rPr>
              <w:t>(United Airlines Holdings, Inc. and United Airlines, Inc.)</w:t>
            </w:r>
          </w:p>
        </w:tc>
        <w:tc>
          <w:tcPr>
            <w:tcW w:w="540" w:type="dxa"/>
            <w:vAlign w:val="bottom"/>
            <w:tcBorders>
              <w:top w:val="single" w:sz="8" w:color="0000FF"/>
            </w:tcBorders>
            <w:gridSpan w:val="4"/>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gridSpan w:val="2"/>
            <w:shd w:val="clear" w:color="auto" w:fill="0000FF"/>
          </w:tcPr>
          <w:p>
            <w:pPr>
              <w:spacing w:after="0"/>
              <w:rPr>
                <w:sz w:val="2"/>
                <w:szCs w:val="2"/>
                <w:color w:val="auto"/>
              </w:rPr>
            </w:pPr>
          </w:p>
        </w:tc>
        <w:tc>
          <w:tcPr>
            <w:tcW w:w="300" w:type="dxa"/>
            <w:vAlign w:val="bottom"/>
            <w:tcBorders>
              <w:left w:val="single" w:sz="8" w:color="0000FF"/>
            </w:tcBorders>
            <w:gridSpan w:val="2"/>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right w:val="single" w:sz="8" w:color="0000FF"/>
            </w:tcBorders>
            <w:gridSpan w:val="2"/>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780" w:type="dxa"/>
            <w:vAlign w:val="bottom"/>
            <w:tcBorders>
              <w:left w:val="single" w:sz="8" w:color="0000FF"/>
            </w:tcBorders>
            <w:gridSpan w:val="6"/>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00" w:type="dxa"/>
            <w:vAlign w:val="bottom"/>
            <w:tcBorders>
              <w:right w:val="single" w:sz="8" w:color="0000FF"/>
            </w:tcBorders>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1 - Basis of Presentation</w:t>
            </w:r>
          </w:p>
        </w:tc>
        <w:tc>
          <w:tcPr>
            <w:tcW w:w="5320" w:type="dxa"/>
            <w:vAlign w:val="bottom"/>
            <w:gridSpan w:val="7"/>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5"/>
              </w:rPr>
              <w:t>Note 2 - Revenue Recognition</w:t>
            </w:r>
          </w:p>
        </w:tc>
        <w:tc>
          <w:tcPr>
            <w:tcW w:w="7100" w:type="dxa"/>
            <w:vAlign w:val="bottom"/>
            <w:gridSpan w:val="13"/>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 3 - Earnings Per Share</w:t>
            </w:r>
          </w:p>
        </w:tc>
        <w:tc>
          <w:tcPr>
            <w:tcW w:w="7100" w:type="dxa"/>
            <w:vAlign w:val="bottom"/>
            <w:gridSpan w:val="13"/>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Note 4 - Accumulated Other Comprehensive Income (Loss)</w:t>
            </w:r>
          </w:p>
        </w:tc>
        <w:tc>
          <w:tcPr>
            <w:tcW w:w="4940" w:type="dxa"/>
            <w:vAlign w:val="bottom"/>
            <w:gridSpan w:val="5"/>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5 - Income Taxes</w:t>
            </w:r>
          </w:p>
        </w:tc>
        <w:tc>
          <w:tcPr>
            <w:tcW w:w="4940" w:type="dxa"/>
            <w:vAlign w:val="bottom"/>
            <w:gridSpan w:val="5"/>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Note 6 - Pension and Other Postretirement Benefit Plans</w:t>
            </w:r>
          </w:p>
        </w:tc>
        <w:tc>
          <w:tcPr>
            <w:tcW w:w="5180" w:type="dxa"/>
            <w:vAlign w:val="bottom"/>
            <w:gridSpan w:val="6"/>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Note 7 - Fair Value Measurements, Investments and Notes Receivable</w:t>
            </w:r>
          </w:p>
        </w:tc>
        <w:tc>
          <w:tcPr>
            <w:tcW w:w="42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Note 8 - Debt</w:t>
            </w:r>
          </w:p>
        </w:tc>
        <w:tc>
          <w:tcPr>
            <w:tcW w:w="4060" w:type="dxa"/>
            <w:vAlign w:val="bottom"/>
            <w:gridSpan w:val="21"/>
          </w:tcPr>
          <w:p>
            <w:pPr>
              <w:spacing w:after="0"/>
              <w:rPr>
                <w:sz w:val="18"/>
                <w:szCs w:val="18"/>
                <w:color w:val="auto"/>
              </w:rPr>
            </w:pPr>
          </w:p>
        </w:tc>
        <w:tc>
          <w:tcPr>
            <w:tcW w:w="42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Note 9 - Commitments, Contingencies and Guarantees</w:t>
            </w:r>
          </w:p>
        </w:tc>
        <w:tc>
          <w:tcPr>
            <w:tcW w:w="5320" w:type="dxa"/>
            <w:vAlign w:val="bottom"/>
            <w:gridSpan w:val="7"/>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left w:val="single" w:sz="8" w:color="0000FF"/>
            </w:tcBorders>
            <w:gridSpan w:val="7"/>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10 - Special Charges</w:t>
            </w:r>
          </w:p>
        </w:tc>
        <w:tc>
          <w:tcPr>
            <w:tcW w:w="5320" w:type="dxa"/>
            <w:vAlign w:val="bottom"/>
            <w:gridSpan w:val="7"/>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2100" w:type="dxa"/>
            <w:vAlign w:val="bottom"/>
            <w:gridSpan w:val="3"/>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400" w:type="dxa"/>
            <w:vAlign w:val="bottom"/>
            <w:tcBorders>
              <w:left w:val="single" w:sz="8" w:color="0000FF"/>
            </w:tcBorders>
            <w:gridSpan w:val="10"/>
            <w:shd w:val="clear" w:color="auto" w:fill="0000FF"/>
          </w:tcPr>
          <w:p>
            <w:pPr>
              <w:spacing w:after="0" w:line="20" w:lineRule="exact"/>
              <w:rPr>
                <w:sz w:val="1"/>
                <w:szCs w:val="1"/>
                <w:color w:val="auto"/>
              </w:rPr>
            </w:pPr>
          </w:p>
        </w:tc>
        <w:tc>
          <w:tcPr>
            <w:tcW w:w="4880" w:type="dxa"/>
            <w:vAlign w:val="bottom"/>
            <w:tcBorders>
              <w:left w:val="single" w:sz="8" w:color="0000FF"/>
            </w:tcBorders>
            <w:gridSpan w:val="4"/>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880" w:type="dxa"/>
            <w:vAlign w:val="bottom"/>
            <w:gridSpan w:val="4"/>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940" w:type="dxa"/>
            <w:vAlign w:val="bottom"/>
            <w:gridSpan w:val="32"/>
          </w:tcPr>
          <w:p>
            <w:pPr>
              <w:ind w:left="4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5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280" w:type="dxa"/>
            <w:vAlign w:val="bottom"/>
            <w:gridSpan w:val="14"/>
          </w:tcPr>
          <w:p>
            <w:pPr>
              <w:spacing w:after="0"/>
              <w:rPr>
                <w:sz w:val="22"/>
                <w:szCs w:val="22"/>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16"/>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60" w:type="dxa"/>
            <w:vAlign w:val="bottom"/>
            <w:gridSpan w:val="2"/>
          </w:tcPr>
          <w:p>
            <w:pPr>
              <w:spacing w:after="0"/>
              <w:rPr>
                <w:sz w:val="18"/>
                <w:szCs w:val="18"/>
                <w:color w:val="auto"/>
              </w:rPr>
            </w:pPr>
          </w:p>
        </w:tc>
        <w:tc>
          <w:tcPr>
            <w:tcW w:w="7920" w:type="dxa"/>
            <w:vAlign w:val="bottom"/>
            <w:gridSpan w:val="20"/>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40" w:type="dxa"/>
            <w:vAlign w:val="bottom"/>
            <w:gridSpan w:val="16"/>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3040" w:type="dxa"/>
            <w:vAlign w:val="bottom"/>
            <w:tcBorders>
              <w:left w:val="single" w:sz="8" w:color="0000FF"/>
            </w:tcBorders>
            <w:gridSpan w:val="16"/>
            <w:shd w:val="clear" w:color="auto" w:fill="0000FF"/>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4880" w:type="dxa"/>
            <w:vAlign w:val="bottom"/>
            <w:gridSpan w:val="4"/>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920" w:type="dxa"/>
            <w:vAlign w:val="bottom"/>
            <w:gridSpan w:val="20"/>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gridSpan w:val="4"/>
          </w:tcPr>
          <w:p>
            <w:pPr>
              <w:spacing w:after="0"/>
              <w:rPr>
                <w:sz w:val="18"/>
                <w:szCs w:val="18"/>
                <w:color w:val="auto"/>
              </w:rPr>
            </w:pPr>
          </w:p>
        </w:tc>
        <w:tc>
          <w:tcPr>
            <w:tcW w:w="7920" w:type="dxa"/>
            <w:vAlign w:val="bottom"/>
            <w:gridSpan w:val="20"/>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20" w:type="dxa"/>
            <w:vAlign w:val="bottom"/>
            <w:gridSpan w:val="24"/>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8620" w:type="dxa"/>
            <w:vAlign w:val="bottom"/>
            <w:gridSpan w:val="24"/>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0" w:type="dxa"/>
            <w:vAlign w:val="bottom"/>
            <w:gridSpan w:val="25"/>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940" w:type="dxa"/>
            <w:vAlign w:val="bottom"/>
            <w:gridSpan w:val="32"/>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2"/>
        </w:trPr>
        <w:tc>
          <w:tcPr>
            <w:tcW w:w="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 (UNAUDITED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2320" w:type="dxa"/>
            <w:vAlign w:val="bottom"/>
            <w:gridSpan w:val="4"/>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Passenger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24,993</w:t>
            </w: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Cargo revenue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revenue</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3"/>
        </w:trPr>
        <w:tc>
          <w:tcPr>
            <w:tcW w:w="5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27,525</w:t>
            </w:r>
          </w:p>
        </w:tc>
      </w:tr>
      <w:tr>
        <w:trPr>
          <w:trHeight w:val="250"/>
        </w:trPr>
        <w:tc>
          <w:tcPr>
            <w:tcW w:w="5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fuel</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expenses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rent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r>
      <w:tr>
        <w:trPr>
          <w:trHeight w:val="223"/>
        </w:trPr>
        <w:tc>
          <w:tcPr>
            <w:tcW w:w="5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70"/>
        </w:trPr>
        <w:tc>
          <w:tcPr>
            <w:tcW w:w="5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capitalized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net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30"/>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18"/>
                <w:szCs w:val="18"/>
                <w:color w:val="auto"/>
              </w:rPr>
            </w:pPr>
          </w:p>
        </w:tc>
        <w:tc>
          <w:tcPr>
            <w:tcW w:w="272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2300" w:type="dxa"/>
            <w:vAlign w:val="bottom"/>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60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70"/>
        </w:trPr>
        <w:tc>
          <w:tcPr>
            <w:tcW w:w="6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 plans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and other</w:t>
            </w: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60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w:t>
            </w:r>
          </w:p>
        </w:tc>
        <w:tc>
          <w:tcPr>
            <w:tcW w:w="7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1"/>
        </w:trPr>
        <w:tc>
          <w:tcPr>
            <w:tcW w:w="6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7"/>
        </w:trPr>
        <w:tc>
          <w:tcPr>
            <w:tcW w:w="6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040" w:type="dxa"/>
            <w:vAlign w:val="bottom"/>
            <w:gridSpan w:val="2"/>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90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 (UNAUDITED)</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6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millions, except shares)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7080" w:type="dxa"/>
            <w:vAlign w:val="bottom"/>
            <w:gridSpan w:val="3"/>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Aircraft fuel, spare parts and supplies,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0" w:type="dxa"/>
            <w:vAlign w:val="bottom"/>
          </w:tcPr>
          <w:p>
            <w:pPr>
              <w:spacing w:after="0"/>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property and equipment, net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affiliates and other, net</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56,904</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 ticket sales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 finance leases, and other financial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28,992</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finance leases, and other financial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Pension and postretirement benefit liability</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30"/>
        </w:trPr>
        <w:tc>
          <w:tcPr>
            <w:tcW w:w="6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34,798</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38,094</w:t>
            </w:r>
          </w:p>
        </w:tc>
        <w:tc>
          <w:tcPr>
            <w:tcW w:w="0" w:type="dxa"/>
            <w:vAlign w:val="bottom"/>
          </w:tcPr>
          <w:p>
            <w:pPr>
              <w:spacing w:after="0"/>
              <w:rPr>
                <w:sz w:val="1"/>
                <w:szCs w:val="1"/>
                <w:color w:val="auto"/>
              </w:rPr>
            </w:pPr>
          </w:p>
        </w:tc>
      </w:tr>
      <w:tr>
        <w:trPr>
          <w:trHeight w:val="210"/>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0" w:type="dxa"/>
            <w:vAlign w:val="bottom"/>
            <w:shd w:val="clear" w:color="auto" w:fill="CCEEFF"/>
          </w:tcPr>
          <w:p>
            <w:pPr>
              <w:spacing w:after="0"/>
              <w:rPr>
                <w:sz w:val="15"/>
                <w:szCs w:val="15"/>
                <w:color w:val="auto"/>
              </w:rPr>
            </w:pPr>
          </w:p>
        </w:tc>
        <w:tc>
          <w:tcPr>
            <w:tcW w:w="70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at par, $0.01 par value; authorized 1,000,000,000 shares; outstanding</w:t>
            </w: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7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323,801,715 and 327,899,771 shares at June 30, 2025 and December 31, 2024, respectively</w:t>
            </w: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capital invested</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held in treasury, at cost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w:t>
            </w:r>
          </w:p>
        </w:tc>
      </w:tr>
      <w:tr>
        <w:trPr>
          <w:trHeight w:val="256"/>
        </w:trPr>
        <w:tc>
          <w:tcPr>
            <w:tcW w:w="8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net of flight equipment purchase deposit returns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and other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short-term and other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37"/>
        </w:trPr>
        <w:tc>
          <w:tcPr>
            <w:tcW w:w="8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 and other financial liabilities, net of discounts and fees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long-term debt, finance leases and other financial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and Financing Activities Not Affecting Cash:</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acquired or modified through operating leases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184"/>
        </w:trPr>
        <w:tc>
          <w:tcPr>
            <w:tcW w:w="83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Property and equipment acquired through the issuance or modification of debt, finance leases and other financial</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 converted to finance leases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interests received in exchange for loans, goods and services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98"/>
        </w:trPr>
        <w:tc>
          <w:tcPr>
            <w:tcW w:w="9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 The following table provides a reconciliation of cash, cash equivalents and restricted cash to amounts reported within the consolidated balance sheets: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8"/>
        </w:trPr>
        <w:tc>
          <w:tcPr>
            <w:tcW w:w="8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 Prepaid expenses and 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 Investments in affiliates and 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r>
      <w:tr>
        <w:trPr>
          <w:trHeight w:val="21"/>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8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70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2"/>
                <w:szCs w:val="12"/>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Invested</w:t>
            </w: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184"/>
        </w:trPr>
        <w:tc>
          <w:tcPr>
            <w:tcW w:w="34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 issued for share-based awards, net of</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withheld for tax</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issued for settlement of warrants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 issued for share-based awards, net of</w:t>
            </w: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withheld for tax</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4"/>
        </w:trPr>
        <w:tc>
          <w:tcPr>
            <w:tcW w:w="34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 issued for share-based awards, net of</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withheld for tax</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 issued for share-based awards, net of</w:t>
            </w: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withheld for tax</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40" w:type="dxa"/>
            <w:vAlign w:val="bottom"/>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Passenger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24,993</w:t>
            </w: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Cargo revenue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3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revenue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3"/>
        </w:trPr>
        <w:tc>
          <w:tcPr>
            <w:tcW w:w="5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revenue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28,448</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27,525</w:t>
            </w:r>
          </w:p>
        </w:tc>
      </w:tr>
      <w:tr>
        <w:trPr>
          <w:trHeight w:val="237"/>
        </w:trPr>
        <w:tc>
          <w:tcPr>
            <w:tcW w:w="5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fuel</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rent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r>
      <w:tr>
        <w:trPr>
          <w:trHeight w:val="223"/>
        </w:trPr>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capitalized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30"/>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56" w:right="35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08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3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70"/>
        </w:trPr>
        <w:tc>
          <w:tcPr>
            <w:tcW w:w="5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 plans</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and other</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53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w:t>
            </w: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
        </w:trPr>
        <w:tc>
          <w:tcPr>
            <w:tcW w:w="5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2"/>
        </w:trPr>
        <w:tc>
          <w:tcPr>
            <w:tcW w:w="706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fuel, spare parts and supplies, net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property and equipment, net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affiliates and other, net</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noncurrent assets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ticket sales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finance leases, and other financial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finance leases, and other financial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postretirement benefit liability</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34,828</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0" w:type="dxa"/>
            <w:vAlign w:val="bottom"/>
          </w:tcPr>
          <w:p>
            <w:pPr>
              <w:spacing w:after="0"/>
              <w:rPr>
                <w:sz w:val="1"/>
                <w:szCs w:val="1"/>
                <w:color w:val="auto"/>
              </w:rPr>
            </w:pP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at par, $0.01 par value; authorized 1,000 shares; issued and outstanding 1,000</w:t>
            </w: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at both June 30, 2025 and December 31, 2024</w:t>
            </w:r>
          </w:p>
        </w:tc>
        <w:tc>
          <w:tcPr>
            <w:tcW w:w="300" w:type="dxa"/>
            <w:vAlign w:val="bottom"/>
          </w:tcPr>
          <w:p>
            <w:pPr>
              <w:spacing w:after="0"/>
              <w:rPr>
                <w:sz w:val="21"/>
                <w:szCs w:val="21"/>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capital invested</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Payable to parent</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56" w:right="35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6"/>
        </w:trPr>
        <w:tc>
          <w:tcPr>
            <w:tcW w:w="8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57"/>
        </w:trPr>
        <w:tc>
          <w:tcPr>
            <w:tcW w:w="8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net of flight equipment purchase deposit returns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and other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short-term and other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57"/>
        </w:trPr>
        <w:tc>
          <w:tcPr>
            <w:tcW w:w="8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 and other financial liabilities, net of discounts and fees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long-term debt, finance leases and other financial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and Financing Activities Not Affecting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acquired or modified through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184"/>
        </w:trPr>
        <w:tc>
          <w:tcPr>
            <w:tcW w:w="83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Property and equipment acquired through the issuance or modification of debt, finance leases and other financial</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4"/>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converted to finance leases</w:t>
            </w:r>
          </w:p>
        </w:tc>
        <w:tc>
          <w:tcPr>
            <w:tcW w:w="3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interests received in exchange for loans, goods and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503"/>
        </w:trPr>
        <w:tc>
          <w:tcPr>
            <w:tcW w:w="9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 The following table provides a reconciliation of cash, cash equivalents and restricted cash to amounts reported within the consolidated balance sheets: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8"/>
        </w:trPr>
        <w:tc>
          <w:tcPr>
            <w:tcW w:w="8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 Prepaid expenses and 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 Investments in affiliates and 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r>
      <w:tr>
        <w:trPr>
          <w:trHeight w:val="20"/>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(Receivable from)</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Payable to</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Other Comprehensive</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Related Parties,</w:t>
            </w:r>
          </w:p>
        </w:tc>
        <w:tc>
          <w:tcPr>
            <w:tcW w:w="260" w:type="dxa"/>
            <w:vAlign w:val="bottom"/>
          </w:tcPr>
          <w:p>
            <w:pPr>
              <w:spacing w:after="0"/>
              <w:rPr>
                <w:sz w:val="14"/>
                <w:szCs w:val="14"/>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Capital Invested</w:t>
            </w:r>
          </w:p>
        </w:tc>
        <w:tc>
          <w:tcPr>
            <w:tcW w:w="2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UAL share repurchase</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UAL share repurchase</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COMBINED NOTES TO CONDENSED CONSOLIDATED FINANCIAL STATEMENTS (UNAUDITED)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incorporated in Delaware and its wholly-owned subsidiary is United Airlines, Inc. (together with its consolidated subsidiaries, "United"). 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UAL and United unaudited condensed consolidated financial statements shown here have been prepared as required by the U.S. Securities and Exchange Commission (the "SEC"). Some information and footnote disclosures normally included in financial statements that comply with accounting principles generally accepted in the United States ("GAAP") have been condensed or omitted as permitted by the SEC. The financial statements include all adjustments, including normal recurring adjustments and other adjustments, which are considered necessary for a fair presentation of the Company's financial position and results of operations for the interim periods presented. The UAL and United financial statements should be read together with the information included in the Company's Annual Report on Form 10-K for the fiscal year ended December 31, 2024 (the "2024 Form 10-K").</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consolidates variable interest entities where it has been determined that the Company is the primary beneficiary of those entities' operations. All significant intercompany accounts and transactions have been eliminated in consolidation. Certain prior period amounts have been reclassified to conform to the current period presentation.</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quarterly financial data is subject to seasonal fluctuations, and its second and third quarter financial results have historically reflected higher travel demand than its first and fourth quarter financial results. Due to these fluctuations, quarterly financial results are not necessarily indicative of financial results for the entire year.</w:t>
      </w:r>
    </w:p>
    <w:p>
      <w:pPr>
        <w:spacing w:after="0" w:line="1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Presentation. </w:t>
      </w:r>
      <w:r>
        <w:rPr>
          <w:rFonts w:ascii="Times New Roman" w:cs="Times New Roman" w:eastAsia="Times New Roman" w:hAnsi="Times New Roman"/>
          <w:sz w:val="18"/>
          <w:szCs w:val="18"/>
          <w:color w:val="auto"/>
        </w:rPr>
        <w:t>In the first quarter of 2025, the Company changed its rounding presentation to the nearest whole number in millions of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except per share data or as otherwise designated. As such, certain columns and rows within the financial statements and tables presented may not sum due to rounding. Per unit amounts have been calculated from the underlying whole-dollar amounts. This change is not material and does not impact the comparability of our condensed consolidated financial statements.</w:t>
      </w:r>
    </w:p>
    <w:p>
      <w:pPr>
        <w:spacing w:after="0" w:line="12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The Company manages it operations as one segment. The Company's chief executive officer is its chief operating decision maker ("CODM").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CODM assesses performance of the Company and makes resource allocation decisions based on Net income as reported in the Company's statement of consolidated operations. The measure of segment assets is reported on the Company's consolidated balance sheets as Total assets.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12"/>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2 - REVENUE RECOGNITION</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auto"/>
              </w:rPr>
              <w:t xml:space="preserve">Revenue by Geography. </w:t>
            </w:r>
            <w:r>
              <w:rPr>
                <w:rFonts w:ascii="Times New Roman" w:cs="Times New Roman" w:eastAsia="Times New Roman" w:hAnsi="Times New Roman"/>
                <w:sz w:val="18"/>
                <w:szCs w:val="18"/>
                <w:color w:val="auto"/>
              </w:rPr>
              <w:t>The table below presents the Company's operating revenue by principal geographic region (in millions):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8"/>
        </w:trPr>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4"/>
                <w:szCs w:val="24"/>
                <w:color w:val="auto"/>
              </w:rPr>
            </w:pPr>
          </w:p>
        </w:tc>
        <w:tc>
          <w:tcPr>
            <w:tcW w:w="28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(U.S. and Canada)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r>
      <w:tr>
        <w:trPr>
          <w:trHeight w:val="22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Atlantic</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29"/>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30"/>
        </w:trPr>
        <w:tc>
          <w:tcPr>
            <w:tcW w:w="4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Pacific</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28,448</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27,525</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Advance ticket sales. </w:t>
      </w:r>
      <w:r>
        <w:rPr>
          <w:rFonts w:ascii="Times New Roman" w:cs="Times New Roman" w:eastAsia="Times New Roman" w:hAnsi="Times New Roman"/>
          <w:sz w:val="18"/>
          <w:szCs w:val="18"/>
          <w:color w:val="auto"/>
        </w:rPr>
        <w:t>In the six months ended June 30, 2025 and 2024, the Company recognized approximately $5.5 billion and $5.0 billion,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passenger revenue for tickets that were included in Advance ticket sales at the beginning of those periods.</w:t>
      </w:r>
    </w:p>
    <w:p>
      <w:pPr>
        <w:spacing w:after="0" w:line="10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Ancillary services. </w:t>
      </w:r>
      <w:r>
        <w:rPr>
          <w:rFonts w:ascii="Times New Roman" w:cs="Times New Roman" w:eastAsia="Times New Roman" w:hAnsi="Times New Roman"/>
          <w:sz w:val="18"/>
          <w:szCs w:val="18"/>
          <w:color w:val="auto"/>
        </w:rPr>
        <w:t>The Company recorded approximately $1.2 billion and $2.2 billion of ancillary fees within passenger revenue in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respectively. The Company recorded approximately $1.2 billion and $2.2 billion of ancillary fees within passenger revenue in the three and six months ended June 30, 2024,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Frequent flyer deferred revenue. </w:t>
      </w:r>
      <w:r>
        <w:rPr>
          <w:rFonts w:ascii="Times New Roman" w:cs="Times New Roman" w:eastAsia="Times New Roman" w:hAnsi="Times New Roman"/>
          <w:sz w:val="18"/>
          <w:szCs w:val="18"/>
          <w:color w:val="auto"/>
        </w:rPr>
        <w:t>The table below presents a roll forward of Frequent flyer deferred revenue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2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7,591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 earned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miles redeemed</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Non-travel miles redeemed</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7,665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three and six months ended June 30, 2025, the Company recognized, in Other operating revenue, $0.8 billion and $1.6 billion, respectively, related to the marketing, advertising, non-travel miles redeemed (net of related costs) and other travel-related benefits of the mileage revenue associated with our various partner agreements including, but not limited to, our JPMorgan Chase Bank, N.A. MileagePlus co-brand agreement. In the three and six months ended June 30, 2024, the Company recognized, in Other operating revenue, $0.7 billion and $1.5 billion, respectively, related to those agreements. The portion related to the MileagePlus miles awarded of the total amounts received from our various partner agreements is deferred and presented in the table above as an increase to Frequent flyer deferred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EARNINGS PER SHARE</w:t>
      </w:r>
    </w:p>
    <w:p>
      <w:pPr>
        <w:spacing w:after="0" w:line="175"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The following table shows the computation of UAL's basic and diluted earnings per share, the latter of which uses the treasury stock method to calculate the dilutive effect of UAL's potential common stock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44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6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available to common stockholders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stock Warrants (a)</w:t>
            </w:r>
          </w:p>
        </w:tc>
        <w:tc>
          <w:tcPr>
            <w:tcW w:w="96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employee stock awards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Potentially dilutive securities (b)</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48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Warrants (a)</w:t>
            </w:r>
          </w:p>
        </w:tc>
        <w:tc>
          <w:tcPr>
            <w:tcW w:w="9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awards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220" w:hanging="194"/>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discussion below for more information about these Warrants.</w:t>
      </w:r>
    </w:p>
    <w:p>
      <w:pPr>
        <w:spacing w:after="0" w:line="40"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potentially dilutive securities outstanding are excluded from the computation of diluted earnings per share because the securities would have an antidilutive effect.</w:t>
      </w:r>
    </w:p>
    <w:p>
      <w:pPr>
        <w:spacing w:after="0" w:line="2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2020 and 2021, the Company issued to the United States Department of the Treasury (the "U.S. Treasury") warrants (the "Warrants") to purchase 9,928,349 shares of UAL common stock in connection with the Payroll Support Program established under Division A, Title IV, Subtitle B of the Coronavirus Aid, Relief, and Economic Security ("CARES") Act, the Payroll Support Program Extension established under Division N, Title IV, Subtitle A of the Consolidated Appropriations Act, 2021, the Payroll Support Program 3 established under Title VII, Subtitle C of the American Rescue Plan Act of 2021, and the Airline Loan Program established under Division A, Title IV, Subtitle A of the CARES Act. In August 2024, the holder of the Warrants exercised 6,414,635 of the Warrants in a net share settlement for 2,043,906 shares of UAL common stock. In March 2025, the remaining 3,513,714 Warrants were exercised in a net share settlement for 1,801,430 shares of UAL common stock.</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 2025, the Company repurchased, through open market purchases, approximately 3.5 million and 7.6 million shares, respectively, of UAL common stock for a total of approximately $0.2 billion and $0.6 billion, respectively, as part of its share repurchase program. As of July 10, 2025, the dollar value of shares that may yet be purchased under the program is approximately $0.8 billion.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components of the Company's accumulated other comprehensive income (loss), net of tax ("AOCI")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Pension and Other</w:t>
            </w:r>
          </w:p>
        </w:tc>
        <w:tc>
          <w:tcPr>
            <w:tcW w:w="140" w:type="dxa"/>
            <w:vAlign w:val="bottom"/>
          </w:tcPr>
          <w:p>
            <w:pPr>
              <w:spacing w:after="0"/>
              <w:rPr>
                <w:sz w:val="17"/>
                <w:szCs w:val="17"/>
                <w:color w:val="auto"/>
              </w:rPr>
            </w:pPr>
          </w:p>
        </w:tc>
        <w:tc>
          <w:tcPr>
            <w:tcW w:w="17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Investments and</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center"/>
              <w:ind w:right="6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Taxes (a)</w:t>
            </w:r>
          </w:p>
        </w:tc>
        <w:tc>
          <w:tcPr>
            <w:tcW w:w="360" w:type="dxa"/>
            <w:vAlign w:val="bottom"/>
          </w:tcPr>
          <w:p>
            <w:pPr>
              <w:spacing w:after="0"/>
              <w:rPr>
                <w:sz w:val="15"/>
                <w:szCs w:val="15"/>
                <w:color w:val="auto"/>
              </w:rPr>
            </w:pPr>
          </w:p>
        </w:tc>
        <w:tc>
          <w:tcPr>
            <w:tcW w:w="12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40" w:type="dxa"/>
            <w:vAlign w:val="bottom"/>
          </w:tcPr>
          <w:p>
            <w:pPr>
              <w:spacing w:after="0"/>
              <w:rPr>
                <w:sz w:val="21"/>
                <w:szCs w:val="21"/>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Changes in value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(31) (b)</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value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tcPr>
          <w:p>
            <w:pPr>
              <w:spacing w:after="0"/>
              <w:rPr>
                <w:sz w:val="19"/>
                <w:szCs w:val="19"/>
                <w:color w:val="auto"/>
              </w:rPr>
            </w:pPr>
          </w:p>
        </w:tc>
        <w:tc>
          <w:tcPr>
            <w:tcW w:w="18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(61) (b)</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Changes in value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(25) (b)</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value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tcPr>
          <w:p>
            <w:pPr>
              <w:spacing w:after="0"/>
              <w:rPr>
                <w:sz w:val="19"/>
                <w:szCs w:val="19"/>
                <w:color w:val="auto"/>
              </w:rPr>
            </w:pPr>
          </w:p>
        </w:tc>
        <w:tc>
          <w:tcPr>
            <w:tcW w:w="18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(50) (b)</w:t>
            </w:r>
          </w:p>
        </w:tc>
        <w:tc>
          <w:tcPr>
            <w:tcW w:w="14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8"/>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6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48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6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0" w:right="500" w:firstLine="6"/>
        <w:spacing w:after="0" w:line="241" w:lineRule="auto"/>
        <w:tabs>
          <w:tab w:leader="none" w:pos="2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$285 million of deferred income tax expense that will not be recognized in net income until the related pension and postretirement benefit obligations are fully extinguished. We consider all income sources, including other comprehensive income, in determining the amount of tax benefit allocated to results from operations.</w:t>
      </w:r>
    </w:p>
    <w:p>
      <w:pPr>
        <w:spacing w:after="0" w:line="162" w:lineRule="exact"/>
        <w:rPr>
          <w:rFonts w:ascii="Times New Roman" w:cs="Times New Roman" w:eastAsia="Times New Roman" w:hAnsi="Times New Roman"/>
          <w:sz w:val="14"/>
          <w:szCs w:val="14"/>
          <w:color w:val="auto"/>
        </w:rPr>
      </w:pPr>
    </w:p>
    <w:p>
      <w:pPr>
        <w:ind w:left="20" w:right="80" w:firstLine="6"/>
        <w:spacing w:after="0" w:line="241" w:lineRule="auto"/>
        <w:tabs>
          <w:tab w:leader="none" w:pos="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AOCI component is included in the computation of net periodic pension and other postretirement costs, specifically the following components: amortization of unrecognized (gain) loss, amortization of prior service credit and other. See Note 6 of this report for additional information on pensions and other postretirement liabilities.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effective tax rates for the three and six months ended June 30, 2025 were 22.0% and 21.2%, respectively. The Company's effective tax rate for both the three and six months ended June 30, 2024 was 23.9%. The provision for income taxes is based on the estimated annual effective tax rate, which represents a blend of federal, state and foreign taxes and includes the impact of certain nondeductible items. The decrease in the effective tax rate in the three months ended June 30, 2025, as compared to the same period in 2024, was primarily due to a release of valuation allowance related to realized capital gains. The decrease in the effective tax rate in the six months ended June 30, 2025, as compared to the same period in 2024, was primarily due to an increase in excess tax benefits related to stock-based compensation and a release of valuation allowance related to realized capital gains.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PENSION AND OTHER POSTRETIREMENT BENEFIT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periodic benefit cost includes the following components for the three months ended June 30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5"/>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100" w:type="dxa"/>
            <w:vAlign w:val="bottom"/>
          </w:tcPr>
          <w:p>
            <w:pPr>
              <w:spacing w:after="0"/>
              <w:rPr>
                <w:sz w:val="17"/>
                <w:szCs w:val="17"/>
                <w:color w:val="auto"/>
              </w:rPr>
            </w:pPr>
          </w:p>
        </w:tc>
        <w:tc>
          <w:tcPr>
            <w:tcW w:w="26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Affected Line Item</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8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580"/>
              <w:spacing w:after="0" w:line="176" w:lineRule="exact"/>
              <w:rPr>
                <w:sz w:val="20"/>
                <w:szCs w:val="20"/>
                <w:color w:val="auto"/>
              </w:rPr>
            </w:pPr>
            <w:r>
              <w:rPr>
                <w:rFonts w:ascii="Times New Roman" w:cs="Times New Roman" w:eastAsia="Times New Roman" w:hAnsi="Times New Roman"/>
                <w:sz w:val="18"/>
                <w:szCs w:val="18"/>
                <w:b w:val="1"/>
                <w:bCs w:val="1"/>
                <w:color w:val="auto"/>
              </w:rPr>
              <w:t>in the Statements of</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Consolidated Operations</w:t>
            </w:r>
          </w:p>
        </w:tc>
        <w:tc>
          <w:tcPr>
            <w:tcW w:w="0" w:type="dxa"/>
            <w:vAlign w:val="bottom"/>
          </w:tcPr>
          <w:p>
            <w:pPr>
              <w:spacing w:after="0"/>
              <w:rPr>
                <w:sz w:val="1"/>
                <w:szCs w:val="1"/>
                <w:color w:val="auto"/>
              </w:rPr>
            </w:pPr>
          </w:p>
        </w:tc>
      </w:tr>
      <w:tr>
        <w:trPr>
          <w:trHeight w:val="208"/>
        </w:trPr>
        <w:tc>
          <w:tcPr>
            <w:tcW w:w="46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268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(gain) loss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3"/>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periodic benefit cost includes the following components for the six months ended June 30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5"/>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100" w:type="dxa"/>
            <w:vAlign w:val="bottom"/>
          </w:tcPr>
          <w:p>
            <w:pPr>
              <w:spacing w:after="0"/>
              <w:rPr>
                <w:sz w:val="17"/>
                <w:szCs w:val="17"/>
                <w:color w:val="auto"/>
              </w:rPr>
            </w:pPr>
          </w:p>
        </w:tc>
        <w:tc>
          <w:tcPr>
            <w:tcW w:w="26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Affected Line Item</w:t>
            </w: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8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ind w:left="580"/>
              <w:spacing w:after="0" w:line="184" w:lineRule="exact"/>
              <w:rPr>
                <w:sz w:val="20"/>
                <w:szCs w:val="20"/>
                <w:color w:val="auto"/>
              </w:rPr>
            </w:pPr>
            <w:r>
              <w:rPr>
                <w:rFonts w:ascii="Times New Roman" w:cs="Times New Roman" w:eastAsia="Times New Roman" w:hAnsi="Times New Roman"/>
                <w:sz w:val="18"/>
                <w:szCs w:val="18"/>
                <w:b w:val="1"/>
                <w:bCs w:val="1"/>
                <w:color w:val="auto"/>
              </w:rPr>
              <w:t>in the Statements of</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Consolidated Operations</w:t>
            </w:r>
          </w:p>
        </w:tc>
        <w:tc>
          <w:tcPr>
            <w:tcW w:w="0" w:type="dxa"/>
            <w:vAlign w:val="bottom"/>
          </w:tcPr>
          <w:p>
            <w:pPr>
              <w:spacing w:after="0"/>
              <w:rPr>
                <w:sz w:val="1"/>
                <w:szCs w:val="1"/>
                <w:color w:val="auto"/>
              </w:rPr>
            </w:pPr>
          </w:p>
        </w:tc>
      </w:tr>
      <w:tr>
        <w:trPr>
          <w:trHeight w:val="208"/>
        </w:trPr>
        <w:tc>
          <w:tcPr>
            <w:tcW w:w="46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268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(gain) loss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contributed $59 million to its U.S. domestic tax-qualified defined benefit pension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 INVESTMENTS AND NOTES RECEIVABLE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value of financial assets measured at fair value on a recurring basis in the Company's financial statements (in millions):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20" w:type="dxa"/>
            <w:vAlign w:val="bottom"/>
            <w:tcBorders>
              <w:bottom w:val="single" w:sz="8" w:color="auto"/>
            </w:tcBorders>
          </w:tcPr>
          <w:p>
            <w:pPr>
              <w:spacing w:after="0"/>
              <w:rPr>
                <w:sz w:val="20"/>
                <w:szCs w:val="20"/>
                <w:color w:val="auto"/>
              </w:rPr>
            </w:pPr>
          </w:p>
        </w:tc>
      </w:tr>
      <w:tr>
        <w:trPr>
          <w:trHeight w:val="223"/>
        </w:trPr>
        <w:tc>
          <w:tcPr>
            <w:tcW w:w="356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9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9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9,354</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and agency notes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5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Certificates of deposit placed through an</w:t>
            </w:r>
          </w:p>
        </w:tc>
        <w:tc>
          <w:tcPr>
            <w:tcW w:w="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5"/>
                <w:szCs w:val="15"/>
                <w:color w:val="auto"/>
              </w:rPr>
            </w:pPr>
          </w:p>
        </w:tc>
        <w:tc>
          <w:tcPr>
            <w:tcW w:w="96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39"/>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 registry service (CDARS)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4"/>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fixed-income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25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4"/>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presented in the table above have the same fair value as their carrying amount.</w:t>
      </w:r>
    </w:p>
    <w:p>
      <w:pPr>
        <w:spacing w:after="0" w:line="16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 The short-term investments shown in the table above are classified as available-for-sale and have remaining maturities of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two years.</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Long-term investments: Equity securities </w:t>
      </w:r>
      <w:r>
        <w:rPr>
          <w:rFonts w:ascii="Times New Roman" w:cs="Times New Roman" w:eastAsia="Times New Roman" w:hAnsi="Times New Roman"/>
          <w:sz w:val="18"/>
          <w:szCs w:val="18"/>
          <w:color w:val="auto"/>
        </w:rPr>
        <w:t>— Represents equity and equity-linked securities (such as vested warrants) that make up United's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Azul Linhas Aéreas Brasileiras S.A. ("Azul"), Archer Aviation Inc., Eve Holding, Inc. and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Mesa Air Group, Inc. ("Mesa"). United concluded that Mesa is a variable interest entity as of June 30, 2025. United holds a variable interest in Mesa in the form of an approximately 10% equity interest and several loans to Mesa, but United is not the primary beneficiary because it does not have power to direct the activities that most significantly impact Mesa's economic performance.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2025, Azul announced it had entered into restructuring agreements with its key stakeholders and strategic partners, including United, to effectuate a proactive reorganization process. Under the agreement, United and another key Azul stakeholder may provide equity investments of up to $300 million in the aggregate in connection with the reorganization process, subject to the satisfaction of certain conditions.</w:t>
      </w:r>
    </w:p>
    <w:p>
      <w:pPr>
        <w:spacing w:after="0" w:line="1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fair value information. </w:t>
      </w:r>
      <w:r>
        <w:rPr>
          <w:rFonts w:ascii="Times New Roman" w:cs="Times New Roman" w:eastAsia="Times New Roman" w:hAnsi="Times New Roman"/>
          <w:sz w:val="18"/>
          <w:szCs w:val="18"/>
          <w:color w:val="auto"/>
        </w:rPr>
        <w:t>The table below presents the carrying amounts and estimated fair values of financial instruments not presented in the 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(in millions). Carrying amounts include any related discounts, premiums and issuance costs.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5"/>
            <w:vMerge w:val="continue"/>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23,189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right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0" w:type="dxa"/>
            <w:vAlign w:val="bottom"/>
          </w:tcPr>
          <w:p>
            <w:pPr>
              <w:spacing w:after="0"/>
              <w:rPr>
                <w:sz w:val="1"/>
                <w:szCs w:val="1"/>
                <w:color w:val="auto"/>
              </w:rPr>
            </w:pPr>
          </w:p>
        </w:tc>
      </w:tr>
      <w:tr>
        <w:trPr>
          <w:trHeight w:val="459"/>
        </w:trPr>
        <w:tc>
          <w:tcPr>
            <w:tcW w:w="7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Fair value of the financial instruments included in the tables above was determined as follows: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60" w:type="dxa"/>
            <w:vAlign w:val="bottom"/>
            <w:tcBorders>
              <w:left w:val="single" w:sz="8" w:color="auto"/>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Methodology</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500" w:type="dxa"/>
            <w:vAlign w:val="bottom"/>
            <w:tcBorders>
              <w:left w:val="single" w:sz="8" w:color="auto"/>
            </w:tcBorders>
            <w:gridSpan w:val="6"/>
          </w:tcPr>
          <w:p>
            <w:pPr>
              <w:ind w:left="40"/>
              <w:spacing w:after="0" w:line="177" w:lineRule="exact"/>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4500" w:type="dxa"/>
            <w:vAlign w:val="bottom"/>
            <w:gridSpan w:val="14"/>
          </w:tcPr>
          <w:p>
            <w:pPr>
              <w:ind w:left="20"/>
              <w:spacing w:after="0" w:line="177" w:lineRule="exact"/>
              <w:rPr>
                <w:sz w:val="20"/>
                <w:szCs w:val="20"/>
                <w:color w:val="auto"/>
              </w:rPr>
            </w:pPr>
            <w:r>
              <w:rPr>
                <w:rFonts w:ascii="Times New Roman" w:cs="Times New Roman" w:eastAsia="Times New Roman" w:hAnsi="Times New Roman"/>
                <w:sz w:val="18"/>
                <w:szCs w:val="18"/>
                <w:color w:val="auto"/>
              </w:rPr>
              <w:t>The carrying amounts of these assets approximate fair value.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2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(current and non-current)</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500" w:type="dxa"/>
            <w:vAlign w:val="bottom"/>
            <w:tcBorders>
              <w:left w:val="single" w:sz="8" w:color="auto"/>
            </w:tcBorders>
            <w:gridSpan w:val="6"/>
          </w:tcPr>
          <w:p>
            <w:pPr>
              <w:ind w:left="40"/>
              <w:spacing w:after="0" w:line="177" w:lineRule="exact"/>
              <w:rPr>
                <w:sz w:val="20"/>
                <w:szCs w:val="20"/>
                <w:color w:val="auto"/>
              </w:rPr>
            </w:pPr>
            <w:r>
              <w:rPr>
                <w:rFonts w:ascii="Times New Roman" w:cs="Times New Roman" w:eastAsia="Times New Roman" w:hAnsi="Times New Roman"/>
                <w:sz w:val="18"/>
                <w:szCs w:val="18"/>
                <w:color w:val="auto"/>
              </w:rPr>
              <w:t>Short-term and Long-term investments</w:t>
            </w:r>
          </w:p>
        </w:tc>
        <w:tc>
          <w:tcPr>
            <w:tcW w:w="1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7300" w:type="dxa"/>
            <w:vAlign w:val="bottom"/>
            <w:tcBorders>
              <w:right w:val="single" w:sz="8" w:color="auto"/>
            </w:tcBorders>
            <w:gridSpan w:val="22"/>
          </w:tcPr>
          <w:p>
            <w:pPr>
              <w:ind w:left="20"/>
              <w:spacing w:after="0" w:line="177" w:lineRule="exact"/>
              <w:rPr>
                <w:sz w:val="20"/>
                <w:szCs w:val="20"/>
                <w:color w:val="auto"/>
              </w:rPr>
            </w:pPr>
            <w:r>
              <w:rPr>
                <w:rFonts w:ascii="Times New Roman" w:cs="Times New Roman" w:eastAsia="Times New Roman" w:hAnsi="Times New Roman"/>
                <w:sz w:val="18"/>
                <w:szCs w:val="18"/>
                <w:color w:val="auto"/>
              </w:rPr>
              <w:t>Fair values are based on (a) the trading prices of the investment or similar instruments or (b) broker</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8"/>
                <w:szCs w:val="18"/>
                <w:color w:val="auto"/>
              </w:rPr>
              <w:t>quotes obtained by third-party valuation services.</w:t>
            </w: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60" w:type="dxa"/>
            <w:vAlign w:val="bottom"/>
            <w:tcBorders>
              <w:lef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7300" w:type="dxa"/>
            <w:vAlign w:val="bottom"/>
            <w:tcBorders>
              <w:right w:val="single" w:sz="8" w:color="auto"/>
            </w:tcBorders>
            <w:gridSpan w:val="22"/>
          </w:tcPr>
          <w:p>
            <w:pPr>
              <w:ind w:left="20"/>
              <w:spacing w:after="0" w:line="177" w:lineRule="exact"/>
              <w:rPr>
                <w:sz w:val="20"/>
                <w:szCs w:val="20"/>
                <w:color w:val="auto"/>
              </w:rPr>
            </w:pPr>
            <w:r>
              <w:rPr>
                <w:rFonts w:ascii="Times New Roman" w:cs="Times New Roman" w:eastAsia="Times New Roman" w:hAnsi="Times New Roman"/>
                <w:sz w:val="18"/>
                <w:szCs w:val="18"/>
                <w:color w:val="auto"/>
              </w:rPr>
              <w:t>Fair values are based on either market prices or the discounted amount of future cash flows using</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tcBorders>
            <w:gridSpan w:val="15"/>
          </w:tcPr>
          <w:p>
            <w:pPr>
              <w:ind w:left="20"/>
              <w:spacing w:after="0"/>
              <w:rPr>
                <w:sz w:val="20"/>
                <w:szCs w:val="20"/>
                <w:color w:val="auto"/>
              </w:rPr>
            </w:pPr>
            <w:r>
              <w:rPr>
                <w:rFonts w:ascii="Times New Roman" w:cs="Times New Roman" w:eastAsia="Times New Roman" w:hAnsi="Times New Roman"/>
                <w:sz w:val="18"/>
                <w:szCs w:val="18"/>
                <w:color w:val="auto"/>
              </w:rPr>
              <w:t>our current incremental rate of borrowing for similar liabilities.</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As of June 30, 2025, United holds investments, accounted for using the equity method, with a combined carrying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$255 million, including the following:</w:t>
      </w:r>
    </w:p>
    <w:p>
      <w:pPr>
        <w:spacing w:after="0" w:line="105" w:lineRule="exact"/>
        <w:rPr>
          <w:sz w:val="20"/>
          <w:szCs w:val="20"/>
          <w:color w:val="auto"/>
        </w:rPr>
      </w:pPr>
    </w:p>
    <w:p>
      <w:pPr>
        <w:ind w:left="660" w:right="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Republic Airways Holdings Inc. ("Republic Airways"). United holds a 19% minority interest in Republic Airways, which is the parent company of Republic Airways Inc. ("Republic"). Republic currently operates 66 regional aircraft under capacity purchase agreements ("CPAs") with United that have terms through 2037.</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CommuteAir LLC ("CommuteAir"). United owns a 40% minority ownership stake in CommuteAir. CommuteAir currently operates 59 regional aircraft under a CPA with United that has a term through 2028.</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Airlines Ventures Sustainable Flight Fund (the "Fund"). United holds, through its corporate venture capital arm, United Airlines Ventures, Ltd., a 33% ownership interest in the Fund. The Fund is an investment vehicle designed to invest in start-ups developing technologies focused on decarbonizing aviation and its associated energy supply chains, including through research and production, and technologies associated with sustainable aviation fuel (SAF).</w:t>
      </w:r>
    </w:p>
    <w:p>
      <w:pPr>
        <w:spacing w:after="0" w:line="12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Investments. </w:t>
      </w:r>
      <w:r>
        <w:rPr>
          <w:rFonts w:ascii="Times New Roman" w:cs="Times New Roman" w:eastAsia="Times New Roman" w:hAnsi="Times New Roman"/>
          <w:sz w:val="18"/>
          <w:szCs w:val="18"/>
          <w:color w:val="auto"/>
        </w:rPr>
        <w:t>As of June 30, 2025, United has equity investments in a number of companies including a multinational airline holding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air carrier and others with emerging technologies and sustainable solutions. None of these investments have readily determinable fair values. We account for these investments at cost less impairment, adjusted for observable price changes in orderly transactions for an identical or similar investment of the same issuer. As of June 30, 2025, the carrying amount of these investments was $283 million.</w:t>
      </w:r>
    </w:p>
    <w:p>
      <w:pPr>
        <w:spacing w:after="0" w:line="12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Receivable. </w:t>
      </w:r>
      <w:r>
        <w:rPr>
          <w:rFonts w:ascii="Times New Roman" w:cs="Times New Roman" w:eastAsia="Times New Roman" w:hAnsi="Times New Roman"/>
          <w:sz w:val="18"/>
          <w:szCs w:val="18"/>
          <w:color w:val="auto"/>
        </w:rPr>
        <w:t>As of June 30, 2025, the Company has $74 million of notes receivable, net of allowance for credit losses, the majority of which is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of its regional carriers. The current portions of the notes receivable are recorded in Receivables, net. The long-term portion of the notes receivable is recorded in Investments in affiliates and other, net on the Company's consolidated balance sheets.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April 4, 2025, Mesa entered into an Agreement, Plan of Conversion and Plan of Merger (the "Merger Agreement") with Republic Airways. Subject to the terms and conditions of the Merger Agreement, Republic Airways will merge with and into Mesa, with Mesa continuing as the surviving corporation following the merger (the "Surviving Entity"). At the effective time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merger, our equity holdings in both Mesa and Republic Airways will be converted into shares of the new Surviving Entity. Concurrent with the execution of the Merger Agreement, Republic Airways, Mesa and its affiliates, and United entered into a Three Party Agreement that provides for certain actions to be taken subject to the terms and conditions therein to facilitate transactions related to the merger, including United's commitment to facilitate, by making certain financial contributions to Mesa, Mesa's disposition of certain assets and its extinguishment of certain liabilities in exchange for United receiving shares of up to 6% of equity interests of the Surviving Entity.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had $3.0 billion undrawn and available under our revolving credit facility.</w:t>
      </w:r>
    </w:p>
    <w:p>
      <w:pPr>
        <w:spacing w:after="0" w:line="17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contractual principal payments (not including $155 million of unamortized debt discount, premiums and debt issuance costs) as of June 30, 2025 under then-outstanding long-term debt agreements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Last Six</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22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Months of</w:t>
            </w:r>
          </w:p>
        </w:tc>
        <w:tc>
          <w:tcPr>
            <w:tcW w:w="220" w:type="dxa"/>
            <w:vAlign w:val="bottom"/>
          </w:tcPr>
          <w:p>
            <w:pPr>
              <w:spacing w:after="0"/>
              <w:rPr>
                <w:sz w:val="15"/>
                <w:szCs w:val="15"/>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00" w:type="dxa"/>
            <w:vAlign w:val="bottom"/>
          </w:tcPr>
          <w:p>
            <w:pPr>
              <w:spacing w:after="0"/>
              <w:rPr>
                <w:sz w:val="15"/>
                <w:szCs w:val="15"/>
                <w:color w:val="auto"/>
              </w:rPr>
            </w:pPr>
          </w:p>
        </w:tc>
        <w:tc>
          <w:tcPr>
            <w:tcW w:w="1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After 2029</w:t>
            </w:r>
          </w:p>
        </w:tc>
        <w:tc>
          <w:tcPr>
            <w:tcW w:w="260" w:type="dxa"/>
            <w:vAlign w:val="bottom"/>
          </w:tcPr>
          <w:p>
            <w:pPr>
              <w:spacing w:after="0"/>
              <w:rPr>
                <w:sz w:val="15"/>
                <w:szCs w:val="15"/>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principal payments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June 30, 2025, the Company was in compliance with its debt covenants under these agreements.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7, 2025, the Company voluntarily prepaid in full the outstanding principal balance of the MileagePlus senior secured notes secured by substantially all of the assets of Mileage Plus Holdings, LLC (the "MileagePlus Notes"), which outstanding principal balance was $1.52 billion as of June 30, 2025, in addition to all accrued and unpaid interest under the MileagePlus Notes, and terminated all commitments thereunder.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CONTINGENCIES, AND GUARANTEES</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w:t>
      </w:r>
      <w:r>
        <w:rPr>
          <w:rFonts w:ascii="Times New Roman" w:cs="Times New Roman" w:eastAsia="Times New Roman" w:hAnsi="Times New Roman"/>
          <w:sz w:val="18"/>
          <w:szCs w:val="18"/>
          <w:color w:val="auto"/>
        </w:rPr>
        <w:t>The table below summarizes United's firm commitments as of June 30, 2025, which include aircraft and related spare engines, aircraft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and non-aircraft capital commitments (in billions):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Last Six</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Months of</w:t>
            </w: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00" w:type="dxa"/>
            <w:vAlign w:val="bottom"/>
          </w:tcPr>
          <w:p>
            <w:pPr>
              <w:spacing w:after="0"/>
              <w:rPr>
                <w:sz w:val="16"/>
                <w:szCs w:val="16"/>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After 2029</w:t>
            </w:r>
          </w:p>
        </w:tc>
        <w:tc>
          <w:tcPr>
            <w:tcW w:w="180" w:type="dxa"/>
            <w:vAlign w:val="bottom"/>
          </w:tcPr>
          <w:p>
            <w:pPr>
              <w:spacing w:after="0"/>
              <w:rPr>
                <w:sz w:val="16"/>
                <w:szCs w:val="16"/>
                <w:color w:val="auto"/>
              </w:rPr>
            </w:pPr>
          </w:p>
        </w:tc>
        <w:tc>
          <w:tcPr>
            <w:tcW w:w="7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 commitments are based on contractual scheduled aircraft deliveries. The amount and timing of these commitments could change to the extent that:</w:t>
      </w:r>
    </w:p>
    <w:p>
      <w:pPr>
        <w:spacing w:after="0" w:line="27" w:lineRule="exact"/>
        <w:rPr>
          <w:sz w:val="20"/>
          <w:szCs w:val="20"/>
          <w:color w:val="auto"/>
        </w:rPr>
      </w:pPr>
    </w:p>
    <w:p>
      <w:pPr>
        <w:ind w:right="60" w:firstLine="8"/>
        <w:spacing w:after="0" w:line="255"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spacing w:after="0" w:line="12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As of June 30, 2025, United is the guarantor of approximately $2.9 billion in aggregate principal amount of tax-exempt special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bonds and interest thereon. These bonds, which are issued by various airport authorities or other conduit issuers, are payable solely from rentals paid under long-term agreements with the respective airport authorities or from payments under loan agreements with the respective issuing authorities. The leasing arrangements associated with these obligations are accounted for as operating leases in the Company's financial statements. All of these bonds are due between 2027 and 2041.</w:t>
      </w:r>
    </w:p>
    <w:p>
      <w:pPr>
        <w:spacing w:after="0" w:line="1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Increased Cost Provisions. </w:t>
      </w:r>
      <w:r>
        <w:rPr>
          <w:rFonts w:ascii="Times New Roman" w:cs="Times New Roman" w:eastAsia="Times New Roman" w:hAnsi="Times New Roman"/>
          <w:sz w:val="18"/>
          <w:szCs w:val="18"/>
          <w:color w:val="auto"/>
        </w:rPr>
        <w:t>In United's financing transactions that include loans in which United is the borrower, United typically agrees to reimburse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lenders for any reduced returns with respect to the loans due to any change in capital requirements and, in the case of loans with respect to which the interest rate is based on the Secured Overnight Financing Rate ("SOFR"), for certain other increased costs that the lenders incur in carrying these loans as a result of any change in law, subject, in most cases, to obligations of the lenders to take certain limited steps to mitigate the requirement for, or the amount of, such increased costs. At June 30, 2025, the Company had $8.3 billion of floating rate debt with remaining terms of up to approximately 12 years that are subject to these increased cost provisions. In several financing transactions involving loans or leases from non-U.S. entities, with remaining terms of up to approximately 12 years and an aggregate balance of $5.1 billion,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bears the risk of any change in tax laws that would subject loan or lease payments thereunder to non-U.S. entities to withholding taxes, subject to customary exclusions.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Labor Relations</w:t>
      </w:r>
      <w:r>
        <w:rPr>
          <w:rFonts w:ascii="Times New Roman" w:cs="Times New Roman" w:eastAsia="Times New Roman" w:hAnsi="Times New Roman"/>
          <w:sz w:val="17"/>
          <w:szCs w:val="17"/>
          <w:b w:val="1"/>
          <w:bCs w:val="1"/>
          <w:i w:val="1"/>
          <w:iCs w:val="1"/>
          <w:color w:val="242424"/>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of June 30, 2025, the Company had approximately 111,300 employees, of whom approximately 82% were represented by various 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organizations.</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May 2025, the Company reached a Tentative Agreement ("TA") with its employees represented by the Association of Flight Attendants ("AFA") regarding a contract that became amendable in August 2021. The TA includes improvements with respect to scheduling, reserve requirements and other quality of life improvements, as well as pay rate increases during its five-year term. The TA also includes a provision for a one-time payment to employees represented by the AFA upon ratification. Voting to ratify the TA started on July 7, 2025 and will close on July 29, 2025. In the three and six months ended June 30, 2025, the Company recorded, in Special charges, $561 million of expenses relating to this ratification payment.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SPECIAL CHARGES</w:t>
      </w:r>
    </w:p>
    <w:p>
      <w:pPr>
        <w:spacing w:after="0" w:line="17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For the three and six months ended June 30, operating and nonoperating special charges and unrealized (gains) losses on investments in the statements of consolidated operations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4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contract ratification bonuses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(Gains) losses on sale of assets and other special charges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special charges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unrealized (gains) losses on investments, net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debt extinguishment and modification fees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56"/>
        </w:trPr>
        <w:tc>
          <w:tcPr>
            <w:tcW w:w="572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Total nonoperating special charges and unrealized (gains) losses on</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investments, net</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operating and nonoperating special charges and unrealized (gains) losses</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investments, net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net of valuation allowance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55"/>
        </w:trPr>
        <w:tc>
          <w:tcPr>
            <w:tcW w:w="5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operating and nonoperating special charges and unrealized (gains) losses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investments, net of income taxes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nonoperating special charges and unrealized (gains) losses on investments included the following:</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$114 million and $222 million, respectively, of net gains on sale of assets and other special charges, which were primarily comprised of $151 million and $261 million, respectively, of gains on various aircraft sale-leaseback transactions. The Company also recorded a $561 million special charge in connection with the TA with its flight attendants represented by the AFA. See Note 9 for more information related to the 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unaudited condensed consolidated financial statements and related notes included elsewhere in this Quarterly Report on Form 10-Q to enhance the understanding of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incorporated in Delaware and its wholly-owned subsidiary is United Airlines, Inc. (together with its consolidated subsidiaries, "United").</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shared purpose is "Connecting People. Uniting the World." We have the most comprehensive route network among North American carriers, including U.S. mainland hubs in Chicago, Denver, Houston, Los Angeles, New York/Newark, San Francisco and Washington, D.C. The Company transports people and cargo through its mainline operations, which utilize jet aircraft with at least 126 seats, and regional operations, which utilize smaller aircraft that are operated under contract by United's regional carriers. The Company serves virtually every major market around the world, either directly or through participation in Star Alliance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world's largest airline alliance network.</w:t>
      </w:r>
    </w:p>
    <w:p>
      <w:pPr>
        <w:spacing w:after="0" w:line="5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current expectations described below are forward-looking statements and our actual results and timing may vary materially based on various factors that include, but are not limited to, those discussed below under "Economic and Market Factors," "Governmental Actions" and "Forward-Looking Information" and in Part I, Item 1A. Risk Factors, in our Annual Report on Form 10-K for the fiscal year ended December 31, 2024 (the "2024 Form 10-K"). The results presented in this report are not necessarily indicative of future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Market Factors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airline industry is highly competitive, marked by significant competition with respect to routes, fares, airline capacity, schedules (both timing and frequency), services, products, customer service and frequent flyer programs. We, like other companies in our industry, have been subject to these and other industry-specific competitive dynamics. In addition, our operations, supply chain, partners and suppliers have been subject to various global macroeconomic factors. We expect to continue to remain vulnerable to a number of industry-specific and global macroeconomic factors that may cause our actual results of operations to differ from our historical results of operations or current expectations. The economic and market factors and trends that we currently believe are or will be most impactful to our results of operations and financial condition include the following: the execution and effect of our business strategies, including our United Next plan, especially relating to our focus on expanding market and product opportunities and the growth in the scale of our operations; the impact on the Company of significant operational challenges by third parties on which we rely; aircraft delivery delays; rising inflationary pressures; labor market and supply chain constraints and related costs affecting us and our partners; volatile fuel prices; increasing maintenance expenses; changes in interest rates; changes in travel patterns; and changes in general economic conditions in the markets in which the Company operates, including an economic downturn or macroeconomic uncertainty leading to a decrease in demand for air travel or fluctuations in foreign currency exchange rates that may impact international travel demand. We continue to monitor the potential favorable or unfavorable impacts of these and other factors on our business, operations, financial condition, future results of operations, liquidity and financial flexibility, which are dependent on future developments, including as a result of those factors discussed in Part I, Item 1A. Risk Factors, of the 2024 Form 10-K. Our future results of operations may be subject to volatility and our growth plans may be delayed, particularly in the short term, due to the impact of the above factors and trends.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Actions</w:t>
      </w:r>
    </w:p>
    <w:p>
      <w:pPr>
        <w:spacing w:after="0" w:line="17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operate in complex, highly regulated environments in the U.S., the European Union, the United Kingdom and other regions around the world. Compliance with laws, regulations, administrative practices and other restrictions or legal requirements in the countries in which we do business is onerous and expensive. In addition, changes to existing legal requirements or the implementation of new legal requirements and any failure to comply with such legal requirements could negatively impact our business, operations, financial condition, future results of operations, liquidity and financial flexibility by increasing the Company's costs, limiting the Company's ability to offer a product, service or feature to customers, impacting customer demand for the Company's products and services and requiring changes to the Company's supply chain and its business. Legal requirements that we currently believe are or will be most impactful to our results of operations and financial condition include the following: the closure of our flying airspace and termination of other operations due to regional conflicts, including the suspension of our overflying in Russian airspace as a result of the Russia-Ukraine military conflict and interruptions of our flying as a result of the military conflicts in the Middle East, as well as any escalation of the broader economic consequences of any conflicts beyond their current scope; delays in aircraft certification (especially relating to the 737 MAX 10 aircraft); increased Federal Aviation Administration oversight of the aircraft production process; any legal requirement that would result in a reshaping of the benefits that we provide to our consumers through our loyalty program or the co-branded credit cards issued by our partner; the effect of trade tariffs and any potential changes to them that we are unable to mitigate; and certain rules and regulations proposed by the U.S. Department of Transportation that would impose additional costs and operational restrictions on airlines. Changes in existing applicable legal requirements or new applicable legal requirements as well as the related interpretations and enforcement practices regarding them, create uncertainty about how such laws and regulations will be understood and applied. As a result, the impact of changing and new legal requirements generally cannot be reasonably predicted and those requirements may ultimately require extensive system and operational changes, be difficult to implement, increase our operating costs and require significant capital expenditures.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an analysis of our results of operations and reasons for material changes therein for the three and six months ended June 30, 2025, as compared to the corresponding period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2025 Compared to Second Quarter 2024</w:t>
      </w:r>
    </w:p>
    <w:p>
      <w:pPr>
        <w:spacing w:after="0" w:line="17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color w:val="auto"/>
        </w:rPr>
        <w:t>The Company recorded net income of $1.0 billion for the second quarter of 2025 as compared to $1.3 billion for the second quarter of 2024. Significant components of the Company's operating results for the three months ended June 30 are as follows (in millions, except percentage changes):</w:t>
      </w: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0"/>
              <w:spacing w:after="0" w:line="185"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20" w:type="dxa"/>
            <w:vAlign w:val="bottom"/>
          </w:tcPr>
          <w:p>
            <w:pPr>
              <w:spacing w:after="0"/>
              <w:rPr>
                <w:sz w:val="16"/>
                <w:szCs w:val="16"/>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854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net</w:t>
            </w: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(113)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(350)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38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consolidated statistical information for the Company's operations for the three months ended June 30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Passengers (thousands) (a)</w:t>
            </w: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46,186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passenger miles ("RPMs" or "traffic") (millions) (b)</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70,088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67,064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seat miles ("ASMs" or "capacity") (millions) (c)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84,347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79,678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 load factor (d)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 pts.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revenue per available seat mile ("PRASM") (cents)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per ASM ("TRASM") (cents)</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yield per revenue passenger mile ("Yield") (cents) (e)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Cargo revenue ton miles ("CTM") (millions) (f)</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per ASM ("CASM") (cents)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gallon of fuel, including fuel taxes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gallons consumed (millions)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headcount, as of June 30</w:t>
            </w:r>
          </w:p>
        </w:tc>
        <w:tc>
          <w:tcPr>
            <w:tcW w:w="28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111,300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38658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revenue passengers measured by each flight segment flown.</w:t>
      </w:r>
    </w:p>
    <w:p>
      <w:pPr>
        <w:spacing w:after="0" w:line="40"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scheduled miles flown by revenue passengers.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seats available for passengers multiplied by the number of scheduled miles those seats are flown.</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passenger miles divided by available seat miles.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passenger revenue received for each revenue passenger mile flown.</w:t>
      </w:r>
    </w:p>
    <w:p>
      <w:pPr>
        <w:spacing w:after="0" w:line="41"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cargo revenue tons transported multiplied by the number of miles flown.</w:t>
      </w:r>
    </w:p>
    <w:p>
      <w:pPr>
        <w:spacing w:after="0" w:line="271"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The table below shows year-over-year comparisons by type of operating revenue for the three months ended June 30 (in millions,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for percentage changes):</w:t>
      </w:r>
    </w:p>
    <w:tbl>
      <w:tblPr>
        <w:tblLayout w:type="fixed"/>
        <w:tblInd w:w="0" w:type="dxa"/>
        <w:tblCellMar>
          <w:top w:w="0" w:type="dxa"/>
          <w:left w:w="0" w:type="dxa"/>
          <w:bottom w:w="0" w:type="dxa"/>
          <w:right w:w="0" w:type="dxa"/>
        </w:tblCellMar>
      </w:tblPr>
      <w:tr>
        <w:trPr>
          <w:trHeight w:val="191"/>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60" w:type="dxa"/>
            <w:vAlign w:val="bottom"/>
          </w:tcPr>
          <w:p>
            <w:pPr>
              <w:spacing w:after="0"/>
              <w:rPr>
                <w:sz w:val="16"/>
                <w:szCs w:val="16"/>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Cargo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selected passenger revenue and operating data, broken out by geographic region, expressed as year-over-year changes: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 (Decrease) from 2024:</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8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Atlantic</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42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Latin</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revenue (in millions)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 revenue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fare per passenger</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PRASM</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RPMs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ASMs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load factor (points)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Passenger revenue increased $0.2 billion, or 1.1%, in the second quarter of 2025 as compared to the year-ago period, primarily due to a 5.9% increase in capacity and a 4.1% increase in the number of passengers flown, partially offset by a 3.2% decrease in yield.</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Other operating revenue increased $78 million, or 8.8%, in the second quarter of 2025 as compared to the year-ago period, primarily due to an increase in mileage revenue from non-airline partners, including credit card spending with our co-branded credit card partner, JPMorgan Chase Bank, N.A., as well as an increase in the purchases of United Club memberships.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table below includes data related to the Company's operating expenses for the three months ended June 30 (in millions,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percentage changes):</w:t>
      </w: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50"/>
              <w:spacing w:after="0" w:line="18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20" w:type="dxa"/>
            <w:vAlign w:val="bottom"/>
          </w:tcPr>
          <w:p>
            <w:pPr>
              <w:spacing w:after="0"/>
              <w:rPr>
                <w:sz w:val="16"/>
                <w:szCs w:val="16"/>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fuel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rent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ind w:left="140"/>
        <w:spacing w:after="0"/>
        <w:rPr>
          <w:sz w:val="20"/>
          <w:szCs w:val="20"/>
          <w:color w:val="auto"/>
        </w:rPr>
      </w:pPr>
      <w:r>
        <w:rPr>
          <w:rFonts w:ascii="Times New Roman" w:cs="Times New Roman" w:eastAsia="Times New Roman" w:hAnsi="Times New Roman"/>
          <w:sz w:val="14"/>
          <w:szCs w:val="14"/>
          <w:color w:val="auto"/>
        </w:rPr>
        <w:t>NM - Greater than 100% change or otherwise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-92710</wp:posOffset>
            </wp:positionV>
            <wp:extent cx="2297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4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Salaries and related costs increased $0.3 billion, or 7.7%, in the second quarter of 2025 as compared to the year-ago period, primarily due to increased pay as a result of the increase in flying activity, a 5.0% increase in headcount, and an increase in pay rates for eligible employee groups.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Aircraft fuel decreased by $0.4 billion, or 11.4%, in the second quarter of 2025 as compared to the year-ago period, due to a lower average price per gallon of fuel, partially offset by increased consumption from increased flying activity.</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Landing fees and other rent increased $95 million, or 11.0%, in the second quarter of 2025 as compared to the year-ago period, primarily due to rate increases at various airports and higher landed weight volume due to increased flight activity.</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Aircraft maintenance materials and outside repairs increased $149 million, or 20.8%, in the second quarter of 2025 as compared to the year-ago period, primarily due to higher volumes of engine overhauls as well as the timing of repair work.</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Regional capacity purchase increased $64 million, or 10.5%, in the second quarter of 2025 as compared to the year-ago period, primarily due to an approximately 9% increase in regional capacity.</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Distribution expenses decreased $139 million, or 22.2%, in the second quarter of 2025 as compared to the year-ago period, primarily due to a change in the mix of sales channels as well as the refinement of assumptions used in determining our credit card fees expense.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Aircraft rent increased $27 million, or 67.2%, in the second quarter of 2025 as compared to the year-ago period, primarily due to the addition of new leased aircraft to the Company's fleet.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details on the Company's Special charges, see Note 10 to the financial statements included in Part I, Item 1 of this report.</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$0.3 billion, or 12.5%, in the second quarter of 2025 as compared to the year-ago period, primarily due to an increase in flying activity, including increased costs for onboard catering, supplies and amenities, ground and cargo handling, airport lounge operations and passenger services, as well as expenditures related to employee uniforms and information technology projects and services.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table below shows year-over-year comparisons of the Company's nonoperating income (expense)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(in millions, except for percentage changes):</w:t>
      </w: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capitalized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expense decreased $66 million, or 15.5%, in the second quarter of 2025 as compared to the year-ago period, primarily due to lower debt balances as a result of various debt prepayments and scheduled amortization and a reduction in the average cost of debt.</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Unrealized gains on investments, net, was $26 million in the second quarter of 2025 as compared to $33 million in unrealized losses in the year-ago period, primarily due to changes in the market value of the Company's investments in equity securities. See Note 7 to the financial statements included in Part I, Item 1 of this report for information related to these equity investments.</w:t>
      </w:r>
    </w:p>
    <w:p>
      <w:pPr>
        <w:spacing w:after="0" w:line="118" w:lineRule="exact"/>
        <w:rPr>
          <w:sz w:val="20"/>
          <w:szCs w:val="20"/>
          <w:color w:val="auto"/>
        </w:rPr>
      </w:pPr>
    </w:p>
    <w:p>
      <w:pPr>
        <w:ind w:right="168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See Note 5 to the financial statements included in Part I, Item 1 of this report for information related to income taxes.</w:t>
      </w:r>
      <w:r>
        <w:rPr>
          <w:rFonts w:ascii="Times New Roman" w:cs="Times New Roman" w:eastAsia="Times New Roman" w:hAnsi="Times New Roman"/>
          <w:sz w:val="18"/>
          <w:szCs w:val="18"/>
          <w:b w:val="1"/>
          <w:bCs w:val="1"/>
          <w:i w:val="1"/>
          <w:iCs w:val="1"/>
          <w:color w:val="auto"/>
        </w:rPr>
        <w:t xml:space="preserve"> First Six Months 2025 Compared to First Six Months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net income of $1.4 billion in the first six months of 2025 as compared to net income of $1.2 billion in the first six months of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operating results for the six months ended June 30 are as follows (in millions, except percentage changes):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28,448</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26,516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Nonoperating expense, net</w:t>
            </w:r>
          </w:p>
        </w:tc>
        <w:tc>
          <w:tcPr>
            <w:tcW w:w="1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Certain consolidated statistical information for the Company's operations for the six months ended June 30 is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Passengers (thousands)</w:t>
            </w:r>
          </w:p>
        </w:tc>
        <w:tc>
          <w:tcPr>
            <w:tcW w:w="1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86,992</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83,700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RPMs (millions)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129,604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124,491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ASMs (millions)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159,503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151,346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 load factor</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pt.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PRASM (cents)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TRASM (cents)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Yield (cents)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CTM (millions)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CASM (cents)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gallon of fuel, including fuel taxes</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gallons consumed (millions)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headcount, as of June 30</w:t>
            </w: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111,300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0"/>
        </w:trPr>
        <w:tc>
          <w:tcPr>
            <w:tcW w:w="4680" w:type="dxa"/>
            <w:vAlign w:val="bottom"/>
          </w:tcPr>
          <w:p>
            <w:pPr>
              <w:spacing w:after="0"/>
              <w:rPr>
                <w:sz w:val="24"/>
                <w:szCs w:val="24"/>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The table below shows year-over-year comparisons by type of operating revenue for the six months ended June 30 (in millions,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percentage changes):</w:t>
      </w: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50"/>
              <w:spacing w:after="0" w:line="18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80" w:type="dxa"/>
            <w:vAlign w:val="bottom"/>
          </w:tcPr>
          <w:p>
            <w:pPr>
              <w:spacing w:after="0"/>
              <w:rPr>
                <w:sz w:val="16"/>
                <w:szCs w:val="16"/>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Cargo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revenue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28,448</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8"/>
          <w:szCs w:val="18"/>
          <w:color w:val="auto"/>
        </w:rPr>
        <w:t>The table below presents selected passenger revenue and operating data, broken out by geographic region, expressed as year-over-year changes for the six months ended June 30, 2025 compared to the six months ended June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 (Decrease) from 2024:</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8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Atlantic</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42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Latin</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revenue (in millions)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 revenue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fare per passenger</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PRASM</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RPMs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ASMs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load factor (points)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Passenger revenue increased $0.7 billion, or 2.8%, in the first six months of 2025 as compared to the year-ago period, primarily due to a 5.4% increase in capacity as well as a 3.9% increase in passengers.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Cargo revenue increased $54 million, or 6.7%, in the first six months of 2025 as compared to the year-ago period, primarily due to higher tonnage and higher yields.</w:t>
      </w:r>
    </w:p>
    <w:p>
      <w:pPr>
        <w:spacing w:after="0" w:line="27"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Other operating revenue increased $0.2 billion, or 9.6%, in the first six months of 2025 as compared to the year-ago period, primarily due to an increase in mileage revenue from non-airline partners, including credit card spending with our co-branded credit card partner, JPMorgan Chase Bank, N.A., as well as increases in the purchases of United Club memberships, visitor volume and purchases of one-time United Club passes.</w:t>
      </w:r>
    </w:p>
    <w:p>
      <w:pPr>
        <w:spacing w:after="0" w:line="13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table below presents data related to the Company's operating expenses for the six months ended June 30 (in millions, except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changes):</w:t>
      </w:r>
    </w:p>
    <w:tbl>
      <w:tblPr>
        <w:tblLayout w:type="fixed"/>
        <w:tblInd w:w="0" w:type="dxa"/>
        <w:tblCellMar>
          <w:top w:w="0" w:type="dxa"/>
          <w:left w:w="0" w:type="dxa"/>
          <w:bottom w:w="0" w:type="dxa"/>
          <w:right w:w="0" w:type="dxa"/>
        </w:tblCellMar>
      </w:tblPr>
      <w:tr>
        <w:trPr>
          <w:trHeight w:val="191"/>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6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fuel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rent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Salaries and related costs increased $0.5 billion, or 6.7%, in the first six months of 2025 as compared to the year-ago period, primarily due to annual wage rate increases across certain employee groups, increased flight activity, and a 5.0% increase in headcount.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Aircraft fuel expense decreased $0.6 billion, or 10.0%, in the first six months of 2025 as compared to the year-ago period, primarily due to a lower average price per gallon of fuel, partially offset by increased consumption from increased flying activity.</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Landing fees and other rent increased $164 million, or 9.8%, in the first six months of 2025 as compared to the year-ago period, primarily due to rate increases at various airports, terminal expansions and other increases in the number of airport gates, and higher landed weight volume due to increased flight activity.</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Aircraft maintenance materials and outside repairs increased $107 million, or 7.2%, in the first six months of 2025 as compared to the year-ago period, primarily due to engine overhauls and component part repairs driven by higher volumes and cost of materials.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expense increased $34 million, or 2.4%, in the first six months of 2025 as compared to the year-ago period, primarily due to the induction of new aircraft and related spare parts, as well as certain capital improvement projects.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Regional capacity purchase increased $129 million, or 10.8%, in the first six months of 2025 as compared to the year-ago period, primarily due to an approximately 13% increase in regional capacity.</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Distribution expenses decreased $123 million, or 11.1%, in the first six months of 2025 as compared to the year-ago period, primarily due to a change in the mix of sales channels as well as the refinement of assumptions used in determining our credit card fees expense.</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Aircraft rent increased $35 million, or 42.4%, in the first six months of 2025 as compared to the year-ago period, primarily due to the addition of new leased aircraft to the Company's fleet.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details on the Company's Special charges, see Note 10 to the financial statements included in Part I, Item 1 of this report.</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$455 million, or 10.4%, in the first six months of 2025 as compared to the year-ago period, primarily due to an increase in flight activity, including increased costs for onboard catering and amenities, ground and cargo handling, airport lounge operations and passenger services, as well as expenditures related to employee uniforms and information technology projects and services.</w:t>
      </w:r>
    </w:p>
    <w:p>
      <w:pPr>
        <w:spacing w:after="0" w:line="11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Nonoperating Income (Expense). </w:t>
      </w:r>
      <w:r>
        <w:rPr>
          <w:rFonts w:ascii="Times New Roman" w:cs="Times New Roman" w:eastAsia="Times New Roman" w:hAnsi="Times New Roman"/>
          <w:sz w:val="18"/>
          <w:szCs w:val="18"/>
          <w:color w:val="auto"/>
        </w:rPr>
        <w:t>The following table illustrates the year-over-year dollar and percentage changes in the Company's nonoperating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for the six months ended June 30 (in millions, except for percentage changes):</w:t>
      </w: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capitalized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Interest expense decreased $164 million, or 18.6%, in the first six months of 2025 as compared to the year-ago period, primarily due to lower debt balances as a result of various debt prepayments and scheduled amortization and a reduction in the average cost of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decreased $36 million, or 9.8%, in the first six months of 2025 as compared to the year-ago period, primarily due to lower interest rates.</w:t>
      </w:r>
    </w:p>
    <w:p>
      <w:pPr>
        <w:spacing w:after="0" w:line="17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Unrealized gains on investments, net, was $5 million in the first six months of 2025 as compared to $70 million in unrealized losses in the year-ago period, primarily due to the change in the market value of the Company's investments in equity securities. See Note 7 to the financial statements included in Part I, Item 1 of this report for information related to these equity investments.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Miscellaneous, net, changed by $67 million in the first six months of 2025 as compared to the year-ago period, primarily due to $35 million of debt extinguishment and modification fees related to the refinancing of the Company's 2021 term loans recorded in the year-ago period, foreign exchange gains recorded in the current period as compared to losses in the year-ago-period and an increase in the benefit from the Company's net periodic benefit cost of its pensions and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See Note 5 to the financial statements included in Part I, Item 1 of this report for information related to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deploy a disciplined and balanced approach to capital allocation, including returns to shareholders through potential share repurchases. As of June 30, 2025, the Company had $15.6 billion in unrestricted cash, cash equivalents and short-term investments, as compared to $14.5 billion at December 31, 2024. We believe that our existing cash, cash equivalents and short-term investments, together with cash generated from operations, will be sufficient to satisfy our anticipated liquidity needs for the next 12 months, and we expect to meet our long-term liquidity needs with our anticipated access to the capital markets and projected cash from operations.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$3.0 billion revolving credit facility as of June 30, 2025. The revolving credit facility is secured by certain route authorities and airport slots and gates. No borrowings were outstanding under the revolving credit facility as of June 30, 2025.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7, 2025, the Company voluntarily prepaid in full the outstanding principal balance of the MileagePlus senior secured notes secured by substantially all of the assets of Mileage Plus Holdings, LLC (the "MileagePlus Notes"), which outstanding principal balance was $1.52 billion as of June 30, 2025, in addition to all accrued and unpaid interest under the MileagePlus Notes, and terminated all commitments thereunder.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significant amount of fixed obligations, including debt, leases of aircraft, airport and other facilities, and pension funding obligations. As of June 30, 2025, the Company had approximately $32.8 billion of debt, finance lease, operating lease and other financial liabilities, including $6.7 billion that will become due in the next 12 months. In addition, we have substantial noncancelable commitments for capital expenditures, including the acquisition of certain new aircraft and related spare engines. 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June 30, 2025, the Company was in compliance with its debt covenants under these agreements. As of June 30, 2025, a substantial portion of the Company's assets, principally aircraft and certain related assets, its loyalty program, certain route authorities and airport slots and gates, was pledged under various loan and other agreements. See Note 8 to the financial statements included in Part I, Item 1 of this report for additional information on aircraft financing and other debt instruments.</w:t>
      </w:r>
    </w:p>
    <w:p>
      <w:pPr>
        <w:spacing w:after="0" w:line="12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has backstop financing commitments available from certain of its aircraft manufacturers for a limited number of its future aircraft deliveries, subject to certain customary conditions. See Note 9 to the financial statements included in Part I, Item 1 of this report for additional information on commitments.</w:t>
      </w:r>
    </w:p>
    <w:p>
      <w:pPr>
        <w:spacing w:after="0" w:line="1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2025, United had firm commitments to purchase aircraft from The Boeing Company ("Boeing") and Airbus S.A.S. ("Airbus") as presented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Contractual Aircraft Deliveries</w:t>
            </w:r>
          </w:p>
        </w:tc>
        <w:tc>
          <w:tcPr>
            <w:tcW w:w="160" w:type="dxa"/>
            <w:vAlign w:val="bottom"/>
          </w:tcPr>
          <w:p>
            <w:pPr>
              <w:spacing w:after="0"/>
              <w:rPr>
                <w:sz w:val="20"/>
                <w:szCs w:val="20"/>
                <w:color w:val="auto"/>
              </w:rPr>
            </w:pPr>
          </w:p>
        </w:tc>
        <w:tc>
          <w:tcPr>
            <w:tcW w:w="392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Expected Aircraft Deliveries (b)</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Firm</w:t>
            </w:r>
          </w:p>
        </w:tc>
        <w:tc>
          <w:tcPr>
            <w:tcW w:w="134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Last Six</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Last Six</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Aircraft Type</w:t>
            </w:r>
          </w:p>
        </w:tc>
        <w:tc>
          <w:tcPr>
            <w:tcW w:w="188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6"/>
                <w:szCs w:val="16"/>
                <w:color w:val="auto"/>
              </w:rPr>
            </w:pP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13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6"/>
                <w:szCs w:val="16"/>
                <w:color w:val="auto"/>
              </w:rPr>
            </w:pP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0" w:type="dxa"/>
            <w:vAlign w:val="bottom"/>
          </w:tcPr>
          <w:p>
            <w:pPr>
              <w:spacing w:after="0"/>
              <w:rPr>
                <w:sz w:val="1"/>
                <w:szCs w:val="1"/>
                <w:color w:val="auto"/>
              </w:rPr>
            </w:pPr>
          </w:p>
        </w:tc>
      </w:tr>
      <w:tr>
        <w:trPr>
          <w:trHeight w:val="230"/>
        </w:trPr>
        <w:tc>
          <w:tcPr>
            <w:tcW w:w="1400" w:type="dxa"/>
            <w:vAlign w:val="bottom"/>
            <w:gridSpan w:val="2"/>
            <w:vMerge w:val="continue"/>
          </w:tcPr>
          <w:p>
            <w:pPr>
              <w:spacing w:after="0"/>
              <w:rPr>
                <w:sz w:val="19"/>
                <w:szCs w:val="19"/>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Commitments (a)</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of 2025</w:t>
            </w: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2025</w:t>
            </w: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737 MAX 9</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737 MAX 10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A321neo</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A321XLR</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A350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ind w:left="220" w:hanging="194"/>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also has options and purchase rights for additional aircraft.</w:t>
      </w:r>
    </w:p>
    <w:p>
      <w:pPr>
        <w:spacing w:after="0" w:line="27" w:lineRule="exact"/>
        <w:rPr>
          <w:rFonts w:ascii="Times New Roman" w:cs="Times New Roman" w:eastAsia="Times New Roman" w:hAnsi="Times New Roman"/>
          <w:sz w:val="14"/>
          <w:szCs w:val="14"/>
          <w:color w:val="auto"/>
        </w:rPr>
      </w:pPr>
    </w:p>
    <w:p>
      <w:pPr>
        <w:ind w:left="20" w:right="200" w:firstLine="6"/>
        <w:spacing w:after="0" w:line="261" w:lineRule="auto"/>
        <w:tabs>
          <w:tab w:leader="none" w:pos="22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aircraft deliveries reflect adjustments communicated by Boeing and Airbus or estimated by United. However, aircraft deliveries are subject to a number of variables, as further described in Part I, Item 1A. Risk Factors of the 2024 Form 10-K, and we cannot guarantee delivery of any particular aircraft at any specific time notwithstanding firm purchase commitments.</w:t>
      </w:r>
    </w:p>
    <w:p>
      <w:pPr>
        <w:spacing w:after="0" w:line="2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aircraft listed in the table above are scheduled for delivery through 2033. The amount and timing of the Company's future capital commitments could change to the extent that: (i) the Company and the aircraft manufacturers, with whom the Company has existing orders for new aircraft, agree to modify (or further modify) the contracts governing those orders; (ii) rights 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exercised pursuant to the relevant agreements to cancel deliveries or modify the timing of deliveries; or (iii) the aircraft manufacturers are unable to deliver in accordance with the terms of those orders. See Note 9 to the financial statements included in Part I, Item 1 of this report for additional information on these purchase commitments.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4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cash provided by (used in):</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5,723</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(2,518)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4,780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provided by operating activities increased approximately $0.2 billion in the first six months of 2025 as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year-ago period, primarily due to net working capital changes and higher profitability in the first six months of 2025.</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Cash flows used in investing activities were $3.0 billion in the first six months of 2025 compared to cash flows provided by investing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of $1.6 billion in the year-ago period, a change of $4.6 billion, primarily due to an increase in the purchase of short-term and other investments as well as a decrease in proceeds from the sale of short-term and other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Significant financing events in the six months ended June 30, 2025 were as follows:</w:t>
      </w:r>
    </w:p>
    <w:p>
      <w:pPr>
        <w:spacing w:after="0" w:line="17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Debt, Finance Lease and Other Financial Liability Principal Payments</w:t>
      </w:r>
      <w:r>
        <w:rPr>
          <w:rFonts w:ascii="Times New Roman" w:cs="Times New Roman" w:eastAsia="Times New Roman" w:hAnsi="Times New Roman"/>
          <w:sz w:val="18"/>
          <w:szCs w:val="18"/>
          <w:color w:val="auto"/>
        </w:rPr>
        <w:t>. During the six months ended June 30, 2025, the Company made payments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finance leases, and other financial liabilities of $1.6 billion.</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repurchase. </w:t>
      </w:r>
      <w:r>
        <w:rPr>
          <w:rFonts w:ascii="Times New Roman" w:cs="Times New Roman" w:eastAsia="Times New Roman" w:hAnsi="Times New Roman"/>
          <w:sz w:val="18"/>
          <w:szCs w:val="18"/>
          <w:color w:val="auto"/>
        </w:rPr>
        <w:t>As part of our capital deployment program, the Company's Board of Directors authorized a share repurchase program in October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three and six months ended June 30, 2025, the Company repurchased, through open market purchases, approximately 3.5 million and 7.6 million shares, respectively, of UAL common stock for a total of approximately $0.2 billion and $0.6 billion, respectively, as part of its share repurchase program. See Note 3 to the financial statements in Part I, Item 1 of this report and Note 3 to the financial statements in Part II, Item 8 of the 2024 Form 10-K for additional information on the share repurchase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Credit Ratings. </w:t>
      </w:r>
      <w:r>
        <w:rPr>
          <w:rFonts w:ascii="Times New Roman" w:cs="Times New Roman" w:eastAsia="Times New Roman" w:hAnsi="Times New Roman"/>
          <w:sz w:val="18"/>
          <w:szCs w:val="18"/>
          <w:color w:val="auto"/>
        </w:rPr>
        <w:t>As of the filing date of this report, UAL and United had the following corporate credit ratings:</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S&amp;P</w:t>
            </w:r>
          </w:p>
        </w:tc>
        <w:tc>
          <w:tcPr>
            <w:tcW w:w="2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Moody's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Fitch</w:t>
            </w: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UAL</w:t>
            </w: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w:t>
            </w:r>
          </w:p>
        </w:tc>
        <w:tc>
          <w:tcPr>
            <w:tcW w:w="20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-2540</wp:posOffset>
            </wp:positionV>
            <wp:extent cx="68065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889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*The credit agency does not issue corporate credit ratings for subsidiary entities.</w:t>
      </w:r>
    </w:p>
    <w:p>
      <w:pPr>
        <w:spacing w:after="0" w:line="26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been able to secure financing with investment grade credit ratings for certain enhanced equipment trust certificates ("EETCs"), term loans and secured bond financings. Downgrades from these rating levels, among other things, could restrict the availability, or increase the cost, of future financing for the Company as well as affect the fair market value of existing debt. A rating reflects only the view of a rating agency and is not a recommendation to buy, sell or hold securities. Ratings can be revised upward or downward at any time by a rating agency if such rating agency decides that circumstances warrant such a change. Currently Moody's and Fitch have assigned the Company a positive outlook, while S&amp;P maintains a stable outlook.</w:t>
      </w:r>
    </w:p>
    <w:p>
      <w:pPr>
        <w:spacing w:after="0" w:line="129"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Contingencies and Liquidity Matters. </w:t>
      </w:r>
      <w:r>
        <w:rPr>
          <w:rFonts w:ascii="Times New Roman" w:cs="Times New Roman" w:eastAsia="Times New Roman" w:hAnsi="Times New Roman"/>
          <w:sz w:val="18"/>
          <w:szCs w:val="18"/>
          <w:color w:val="auto"/>
        </w:rPr>
        <w:t>As described in the 2024 Form 10-K, the Company's liquidity may be adversely impacted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variety of factors, including, but not limited to, pension funding obligations, reserve requirements associated with credit card processing agreements, guarantees,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2024 Form 10-K and Notes 7, 8 and 9 to the financial statements contained in Part I, Item 1 of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"Critical Accounting Policies" in Part II, Item 7, Management's Discussion and Analysis of Financial Condition and Results of Operations in the 2024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Section 27A of the Securities Act of 1933, as amended, and Section 21E of the Securities Exchange Act of 1934, as amended (the "Exchange Act"), including in Part I, Item 2. Management's Discussion and Analysis of Financial Condition and Results of Operations and elsewhere, relating to, among other things, goals, plans and projections regarding the Company's financial position, results of operations, market position, airline capacity, fleet plan strategy, fares,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spacing w:after="0" w:line="1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 the suspension of our overflying in Russian airspace as a result of the Russia-Ukraine military conflict and interruptions of our flying as a result of the military conflicts in the Middle East, as well as any escalation of the broader economic consequences of any conflicts beyond their current scope);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UAL common stock and warrants; and other risks and uncertainties set forth under Part I, Item 1A. Risk Factors, of our 2024 Form 10-K, and under "Economic and Market Factors" and "Governmental Actions" in Part I, Item 2. Management's Discussion and Analysis of Financial Condition and Results of Operations, of this report, as well as other risks and uncertainties set forth from time to time in the reports we file with the SEC.</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foregoing list sets forth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It is routine for our internal projections and expectations to change as the year or each quarter in the year progresses, and therefore it should be clearly understood that the internal projections, beliefs and assumptions upon which we base our expectations may change. For instance, we regularly monitor future demand and booking trends and adjust capacity, as needed. As such, our actual flown capacity may differ materially from currently published flight schedules or current estimations.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56" w:right="45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Part II, Item 7A. Quantitative and Qualitative Disclosures About Market Risk, in our 2024 Form 10-K.</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 and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UAL and United each maintains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it files with the SEC on a timely basis. Based on that evaluation, the Chief Executive Officer and the Chief Financial Officer of UAL and United have concluded that as of June 30, 2025, disclosure controls and procedures were effective.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 during the Quarter Ended June 30, 2025</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there were no changes in UAL's or United's internal control over financial reporting that materially affected, or are reasonably likely to materially affect, their internal control over financial reporting (as defined in Rules 13a-15(f) and 15d-15(f) under the Exchange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3, Legal Proceedings, of the 2024 Form 10-K for a description of legal proceedings.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of the 2024 Form 10-K for a discussion of the risk factors affecting UAL and United.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the Company's repurchases of its UAL common stock during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6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 (or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jc w:val="center"/>
              <w:ind w:right="53"/>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jc w:val="center"/>
              <w:ind w:right="53"/>
              <w:spacing w:after="0" w:line="189" w:lineRule="exact"/>
              <w:rPr>
                <w:sz w:val="20"/>
                <w:szCs w:val="20"/>
                <w:color w:val="auto"/>
              </w:rPr>
            </w:pPr>
            <w:r>
              <w:rPr>
                <w:rFonts w:ascii="Times New Roman" w:cs="Times New Roman" w:eastAsia="Times New Roman" w:hAnsi="Times New Roman"/>
                <w:sz w:val="18"/>
                <w:szCs w:val="18"/>
                <w:b w:val="1"/>
                <w:bCs w:val="1"/>
                <w:color w:val="auto"/>
              </w:rPr>
              <w:t>approximate dollar value) of</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units) purchased as part of</w:t>
            </w:r>
          </w:p>
        </w:tc>
        <w:tc>
          <w:tcPr>
            <w:tcW w:w="100" w:type="dxa"/>
            <w:vAlign w:val="bottom"/>
          </w:tcPr>
          <w:p>
            <w:pPr>
              <w:spacing w:after="0"/>
              <w:rPr>
                <w:sz w:val="15"/>
                <w:szCs w:val="15"/>
                <w:color w:val="auto"/>
              </w:rPr>
            </w:pPr>
          </w:p>
        </w:tc>
        <w:tc>
          <w:tcPr>
            <w:tcW w:w="26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(or units) that may yet be</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5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vMerge w:val="restart"/>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Total number of shares (or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 plans 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jc w:val="center"/>
              <w:ind w:right="73"/>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 or</w:t>
            </w:r>
          </w:p>
        </w:tc>
        <w:tc>
          <w:tcPr>
            <w:tcW w:w="0" w:type="dxa"/>
            <w:vAlign w:val="bottom"/>
          </w:tcPr>
          <w:p>
            <w:pPr>
              <w:spacing w:after="0"/>
              <w:rPr>
                <w:sz w:val="1"/>
                <w:szCs w:val="1"/>
                <w:color w:val="auto"/>
              </w:rPr>
            </w:pPr>
          </w:p>
        </w:tc>
      </w:tr>
      <w:tr>
        <w:trPr>
          <w:trHeight w:val="243"/>
        </w:trPr>
        <w:tc>
          <w:tcPr>
            <w:tcW w:w="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purchased</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8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programs (in millions)</w:t>
            </w:r>
          </w:p>
        </w:tc>
        <w:tc>
          <w:tcPr>
            <w:tcW w:w="0" w:type="dxa"/>
            <w:vAlign w:val="bottom"/>
          </w:tcPr>
          <w:p>
            <w:pPr>
              <w:spacing w:after="0"/>
              <w:rPr>
                <w:sz w:val="1"/>
                <w:szCs w:val="1"/>
                <w:color w:val="auto"/>
              </w:rPr>
            </w:pPr>
          </w:p>
        </w:tc>
      </w:tr>
      <w:tr>
        <w:trPr>
          <w:trHeight w:val="223"/>
        </w:trPr>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1-30</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2,678,987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2,678,987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29"/>
        </w:trPr>
        <w:tc>
          <w:tcPr>
            <w:tcW w:w="1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May 1-31</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30"/>
        </w:trPr>
        <w:tc>
          <w:tcPr>
            <w:tcW w:w="1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1-30</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w:t>
            </w:r>
          </w:p>
        </w:tc>
        <w:tc>
          <w:tcPr>
            <w:tcW w:w="8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23"/>
        </w:trPr>
        <w:tc>
          <w:tcPr>
            <w:tcW w:w="1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3,543,780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3,543,780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right="160" w:firstLine="6"/>
        <w:spacing w:after="0" w:line="220"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15, 2024, the Company announced that its Board of Directors authorized a new share repurchase program with no stated expiration, allowing for purchases of up to $1.5 billion in the aggregate of outstanding UAL common stock and certain warrants to purchase UAL common stock. Under the share repurchase program, we have repurchased a total of approximately 8.7 million shares of UAL common stock for a total investment of approximately $0.7 billion as of July 10, 2025. See Note 3 to the financial statements in Part I, Item 1 of this report and Note 3 to the financial statements in Part II, Item 8 of the 2024 Form 10-K for additional information on the share repurchase program.</w:t>
      </w:r>
    </w:p>
    <w:p>
      <w:pPr>
        <w:spacing w:after="0" w:line="9"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is calculated on a settlement basis and excludes commission and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right="160" w:firstLine="8"/>
        <w:spacing w:after="0" w:line="266"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no director or "officer" (as defined in Rule 16a-1(f) under the Exchange Act) of the Company or United informed the Company or United of the adoption, modification or termination of a "Rule 10b5-1 trading arrangement" or a "non-Rule 10b5-1 trading arrangement," as each term is defined in Item 408(a)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80" w:type="dxa"/>
            <w:vAlign w:val="bottom"/>
            <w:gridSpan w:val="14"/>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48"/>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80" w:type="dxa"/>
            <w:vAlign w:val="bottom"/>
            <w:gridSpan w:val="13"/>
          </w:tcPr>
          <w:p>
            <w:pPr>
              <w:ind w:left="74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UAL</w:t>
            </w:r>
          </w:p>
        </w:tc>
        <w:tc>
          <w:tcPr>
            <w:tcW w:w="300" w:type="dxa"/>
            <w:vAlign w:val="bottom"/>
          </w:tcPr>
          <w:p>
            <w:pPr>
              <w:spacing w:after="0"/>
              <w:rPr>
                <w:sz w:val="24"/>
                <w:szCs w:val="24"/>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Share Unit Award Notice pursuant to the United Airlines Holdings, Inc. 2006 Director Equity Incentive Plan (for</w:t>
            </w:r>
          </w:p>
        </w:tc>
      </w:tr>
      <w:tr>
        <w:trPr>
          <w:trHeight w:val="156"/>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awards granted on or after May 2025)</w:t>
            </w:r>
          </w:p>
        </w:tc>
        <w:tc>
          <w:tcPr>
            <w:tcW w:w="6020" w:type="dxa"/>
            <w:vAlign w:val="bottom"/>
            <w:tcBorders>
              <w:top w:val="single" w:sz="8" w:color="0000FF"/>
            </w:tcBorders>
            <w:gridSpan w:val="10"/>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Amendment No. 7, dated as of June 30, 2025, to the Amended and Restated A350-900 Purchase Agreement, dated as of</w:t>
            </w:r>
          </w:p>
        </w:tc>
      </w:tr>
      <w:tr>
        <w:trPr>
          <w:trHeight w:val="156"/>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United</w:t>
            </w:r>
          </w:p>
        </w:tc>
        <w:tc>
          <w:tcPr>
            <w:tcW w:w="804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September 1, 2017, including letter agreements related thereto, between Airbus S.A.S. and United Airlines, Inc.</w:t>
            </w:r>
          </w:p>
        </w:tc>
        <w:tc>
          <w:tcPr>
            <w:tcW w:w="6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of United Airlines Holdings, Inc. Pursuant to 15 U.S.C. 78m(a) or 78o(d)</w:t>
            </w:r>
          </w:p>
        </w:tc>
      </w:tr>
      <w:tr>
        <w:trPr>
          <w:trHeight w:val="156"/>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7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of United Airlines Holdings, Inc. Pursuant to 15 U.S.C. 78m(a) or 78o(d)</w:t>
            </w:r>
          </w:p>
        </w:tc>
      </w:tr>
      <w:tr>
        <w:trPr>
          <w:trHeight w:val="156"/>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6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of United Airlines, Inc. Pursuant to 15 U.S.C. 78m(a) or 78o(d) (Section 302</w:t>
            </w:r>
          </w:p>
        </w:tc>
      </w:tr>
      <w:tr>
        <w:trPr>
          <w:trHeight w:val="156"/>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96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of United Airlines, Inc. Pursuant to 15 U.S.C. 78m(a) or 78o(d) (Section 302</w:t>
            </w:r>
          </w:p>
        </w:tc>
      </w:tr>
      <w:tr>
        <w:trPr>
          <w:trHeight w:val="156"/>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92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0" w:type="dxa"/>
            <w:vAlign w:val="bottom"/>
            <w:gridSpan w:val="2"/>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7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of United Airlines Holdings, Inc. Pursuant to 18</w:t>
            </w:r>
          </w:p>
        </w:tc>
      </w:tr>
      <w:tr>
        <w:trPr>
          <w:trHeight w:val="156"/>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U.S.C. 1350 (Section 906 of the Sarbanes-Oxley Act of 2002)</w:t>
            </w:r>
          </w:p>
        </w:tc>
        <w:tc>
          <w:tcPr>
            <w:tcW w:w="4220" w:type="dxa"/>
            <w:vAlign w:val="bottom"/>
            <w:tcBorders>
              <w:top w:val="single" w:sz="8" w:color="0000FF"/>
            </w:tcBorders>
            <w:gridSpan w:val="5"/>
          </w:tcPr>
          <w:p>
            <w:pPr>
              <w:spacing w:after="0"/>
              <w:rPr>
                <w:sz w:val="13"/>
                <w:szCs w:val="13"/>
                <w:color w:val="auto"/>
              </w:rPr>
            </w:pPr>
          </w:p>
        </w:tc>
        <w:tc>
          <w:tcPr>
            <w:tcW w:w="22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7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of United Airlines, Inc. Pursuant to 18 U.S.C. 1350</w:t>
            </w:r>
          </w:p>
        </w:tc>
      </w:tr>
      <w:tr>
        <w:trPr>
          <w:trHeight w:val="156"/>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9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00" w:type="dxa"/>
            <w:vAlign w:val="bottom"/>
            <w:gridSpan w:val="3"/>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5480" w:type="dxa"/>
            <w:vAlign w:val="bottom"/>
            <w:gridSpan w:val="13"/>
          </w:tcPr>
          <w:p>
            <w:pPr>
              <w:spacing w:after="0" w:line="20" w:lineRule="exact"/>
              <w:rPr>
                <w:sz w:val="1"/>
                <w:szCs w:val="1"/>
                <w:color w:val="auto"/>
              </w:rPr>
            </w:pPr>
          </w:p>
        </w:tc>
      </w:tr>
      <w:tr>
        <w:trPr>
          <w:trHeight w:val="26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2"/>
                <w:szCs w:val="22"/>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combined Quarterly Report of UAL and United on Form 10-Q for the quarter</w:t>
            </w:r>
          </w:p>
        </w:tc>
      </w:tr>
      <w:tr>
        <w:trPr>
          <w:trHeight w:val="175"/>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United</w:t>
            </w:r>
          </w:p>
        </w:tc>
        <w:tc>
          <w:tcPr>
            <w:tcW w:w="90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auto"/>
              </w:rPr>
              <w:t>ended June 30, 2025, formatted in Inline XBRL: (i) Statements of Consolidated Operations, (ii) Statements of Consolidated</w:t>
            </w:r>
          </w:p>
        </w:tc>
      </w:tr>
      <w:tr>
        <w:trPr>
          <w:trHeight w:val="184"/>
        </w:trPr>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Comprehensive Income, (iii) Consolidated Balance Sheets, (iv) Condensed Statements of Consolidated Cash Flows, (v)</w:t>
            </w:r>
          </w:p>
        </w:tc>
      </w:tr>
      <w:tr>
        <w:trPr>
          <w:trHeight w:val="180"/>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w w:val="99"/>
              </w:rPr>
              <w:t>Statements of Consolidated Stockholders' Equity and (vi) Combined Notes to Condensed Consolidated Financial Statements,</w:t>
            </w:r>
          </w:p>
        </w:tc>
      </w:tr>
      <w:tr>
        <w:trPr>
          <w:trHeight w:val="234"/>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tagged as blocks of text and including detailed tags.</w:t>
            </w:r>
          </w:p>
        </w:tc>
      </w:tr>
      <w:tr>
        <w:trPr>
          <w:trHeight w:val="23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UAL</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34"/>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w:t>
            </w: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58" w:lineRule="exact"/>
        <w:rPr>
          <w:sz w:val="20"/>
          <w:szCs w:val="20"/>
          <w:color w:val="auto"/>
        </w:rPr>
      </w:pPr>
    </w:p>
    <w:p>
      <w:pPr>
        <w:ind w:left="1280" w:right="180" w:hanging="689"/>
        <w:spacing w:after="0" w:line="256"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or arrangement. Pursuant to Item 601(b)(10), United is permitted to omit certain compensation-related exhibits from this report and therefore only UAL is identified as the registrant for purposes of those items.</w:t>
      </w:r>
    </w:p>
    <w:p>
      <w:pPr>
        <w:spacing w:after="0" w:line="1" w:lineRule="exact"/>
        <w:rPr>
          <w:sz w:val="20"/>
          <w:szCs w:val="20"/>
          <w:color w:val="auto"/>
        </w:rPr>
      </w:pPr>
    </w:p>
    <w:p>
      <w:pPr>
        <w:ind w:left="1280" w:hanging="68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referenced exhibit have been omitted pursuant to Item 601(b)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62" w:right="45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3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United Airlines Holdings, Inc.</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100"/>
        <w:spacing w:after="0"/>
        <w:tabs>
          <w:tab w:leader="none" w:pos="660" w:val="left"/>
          <w:tab w:leader="none" w:pos="4200" w:val="left"/>
          <w:tab w:leader="none" w:pos="4680" w:val="left"/>
        </w:tabs>
        <w:rPr>
          <w:sz w:val="20"/>
          <w:szCs w:val="20"/>
          <w:color w:val="auto"/>
        </w:rPr>
      </w:pPr>
      <w:r>
        <w:rPr>
          <w:rFonts w:ascii="Times New Roman" w:cs="Times New Roman" w:eastAsia="Times New Roman" w:hAnsi="Times New Roman"/>
          <w:sz w:val="18"/>
          <w:szCs w:val="18"/>
          <w:color w:val="auto"/>
        </w:rPr>
        <w:t>Date:</w:t>
        <w:tab/>
        <w:t>July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Brigitte Bokemeier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230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Brigitte Bokemeier</w:t>
      </w:r>
    </w:p>
    <w:p>
      <w:pPr>
        <w:ind w:left="4700"/>
        <w:spacing w:after="0" w:line="219" w:lineRule="auto"/>
        <w:rPr>
          <w:sz w:val="20"/>
          <w:szCs w:val="20"/>
          <w:color w:val="auto"/>
        </w:rPr>
      </w:pPr>
      <w:r>
        <w:rPr>
          <w:rFonts w:ascii="Times New Roman" w:cs="Times New Roman" w:eastAsia="Times New Roman" w:hAnsi="Times New Roman"/>
          <w:sz w:val="18"/>
          <w:szCs w:val="18"/>
          <w:color w:val="auto"/>
        </w:rPr>
        <w:t>Vice President and Controller</w:t>
      </w:r>
    </w:p>
    <w:p>
      <w:pPr>
        <w:ind w:left="4700"/>
        <w:spacing w:after="0"/>
        <w:rPr>
          <w:sz w:val="20"/>
          <w:szCs w:val="20"/>
          <w:color w:val="auto"/>
        </w:rPr>
      </w:pPr>
      <w:r>
        <w:rPr>
          <w:rFonts w:ascii="Times New Roman" w:cs="Times New Roman" w:eastAsia="Times New Roman" w:hAnsi="Times New Roman"/>
          <w:sz w:val="18"/>
          <w:szCs w:val="18"/>
          <w:color w:val="auto"/>
        </w:rPr>
        <w:t>(Duly Authorized Officer and Principal Accounting Officer)</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United Airlines, Inc.</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100"/>
        <w:spacing w:after="0"/>
        <w:tabs>
          <w:tab w:leader="none" w:pos="660" w:val="left"/>
          <w:tab w:leader="none" w:pos="4200" w:val="left"/>
          <w:tab w:leader="none" w:pos="4680" w:val="left"/>
        </w:tabs>
        <w:rPr>
          <w:sz w:val="20"/>
          <w:szCs w:val="20"/>
          <w:color w:val="auto"/>
        </w:rPr>
      </w:pPr>
      <w:r>
        <w:rPr>
          <w:rFonts w:ascii="Times New Roman" w:cs="Times New Roman" w:eastAsia="Times New Roman" w:hAnsi="Times New Roman"/>
          <w:sz w:val="18"/>
          <w:szCs w:val="18"/>
          <w:color w:val="auto"/>
        </w:rPr>
        <w:t>Date:</w:t>
        <w:tab/>
        <w:t>July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Brigitte Bokemeier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230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Brigitte Bokemeier</w:t>
      </w:r>
    </w:p>
    <w:p>
      <w:pPr>
        <w:ind w:left="4700"/>
        <w:spacing w:after="0" w:line="219" w:lineRule="auto"/>
        <w:rPr>
          <w:sz w:val="20"/>
          <w:szCs w:val="20"/>
          <w:color w:val="auto"/>
        </w:rPr>
      </w:pPr>
      <w:r>
        <w:rPr>
          <w:rFonts w:ascii="Times New Roman" w:cs="Times New Roman" w:eastAsia="Times New Roman" w:hAnsi="Times New Roman"/>
          <w:sz w:val="18"/>
          <w:szCs w:val="18"/>
          <w:color w:val="auto"/>
        </w:rPr>
        <w:t>Vice President and Controller</w:t>
      </w:r>
    </w:p>
    <w:p>
      <w:pPr>
        <w:ind w:left="4700"/>
        <w:spacing w:after="0"/>
        <w:rPr>
          <w:sz w:val="20"/>
          <w:szCs w:val="20"/>
          <w:color w:val="auto"/>
        </w:rPr>
      </w:pPr>
      <w:r>
        <w:rPr>
          <w:rFonts w:ascii="Times New Roman" w:cs="Times New Roman" w:eastAsia="Times New Roman" w:hAnsi="Times New Roman"/>
          <w:sz w:val="18"/>
          <w:szCs w:val="18"/>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400"/>
          </w:cols>
          <w:pgMar w:left="320" w:top="162" w:right="11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 UNIT AWARD NOTICE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[20__]</w:t>
      </w:r>
    </w:p>
    <w:p>
      <w:pPr>
        <w:spacing w:after="0" w:line="23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This Share Unit Award Notice (the “Award Notice”) under the United Airlines Holdings, Inc. 2006 Director Equity Incentive Plan, as amended and/or restated from time to time (the “Plan”), dated as of the date of grant as reflected in your Fidelity account (the “Grant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sets forth the terms and conditions of an award of share units (the “Award”) that is subject to the terms and conditions specified herein (“Share Units”) and that is granted to you by United Airlines Holdings, Inc., a Delaware corporation (the “Company”).</w:t>
      </w:r>
    </w:p>
    <w:p>
      <w:pPr>
        <w:spacing w:after="0" w:line="17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This Award constitutes an unfunded and unsecured promise of the Company to deliver (or cause to be delivered to you), subject to the terms of this Award Notice, a cash payment and / or Shares for each Share Unit as set forth in Section 3 below.</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The Plan; Number of Share Units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Award is made pursuant to the Plan, all the terms of which are hereby incorporated in this Award Notice. In the event of any conflict between the terms of the Plan and the terms of this Award Notice, the terms of the Plan shall govern.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 Units granted pursuant to this Award and subject to this Award Notice is reflected in your Fidelity account.</w:t>
      </w:r>
    </w:p>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in this Award Notice that are not defined in this Award Notice have the meanings as used or defined in the Plan.</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Vesting and Settlement of Share Units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Your rights to the Share Units vest in accordance with the terms established by the Board on the Grant Date. Except as otherwise provided herein, this Award vests on [insert vesting date or schedule] (the “Anniversary Date”); provided, that you have remained continuously in service with the Company or an Affiliate from the Grant Date until the Anniversary Date. Notwithstanding the foregoing, if you experience a Separation from Service by reason due to your death, Disability or any reason other than for Cause prior to the Anniversary Date, this Award shall vest in full immediately following such Separation from Service. Unless the Committee determines otherwise, if you experience a Separation from Service prior to the Vesting Date other than by reason of your death, Disability or termination of service for any reason other than for Cause, 100% of your rights with respect to such Share Units shall immediately be forfeited and be terminated upon your Separation from Service, and you will be entitled to no further payments or benefits with respect thereto. The date that the Share Units vest in accordance with the preceding sentences shall be referred to herein as the “Vesting Date.”</w:t>
      </w:r>
    </w:p>
    <w:p>
      <w:pPr>
        <w:spacing w:after="0" w:line="20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Share Units shall be settled [settlement terms to be established on the Grant Date] [in cash. On the Vesting Date, you shall receive a lump sum cash payment equal to the Market Price of a Share on the Vesting Date multiplied by the number of Share Units (including any fraction thereof) that vest on such Vesting Date. Upon settlement, the Share Units shall be extinguished and such number of Share Units will no longer be considered to be held by you for any purpose.] OR [in Shares. Within 60 days after the Vesting Date, you shall receive unrestricted Shares. Upon settlement, the Share Units shall be extinguished and such number of Share Units will no longer be considered to be held by you for any purpose.] OR [(A) % in cash and (B) % in Shares, provided that any odd or fractional Share Unit resulting from such allocation shall be rounded toward the Share Units settled in cash pursuant to clause (A). With respect to the Share Units settled in cash pursuant to clause (A), within 60 days after the Vesting Date, you shall receive a lump sum cash payment equal to the Market Price of a Share on the Vesting Date multiplied by such number of Share Units that vest on such Vesting Date and are allocable under clause (A), subject to your ability, under the terms of the Plan to elect to receive such cash portion of the Share Units in unrestricted Shares by providing notice to the Company prior to the Vesting Date. With respect to the Share Units settled in Shares pursuant to clause (B), within 60 days after the Vesting Date, you shall receive unrestricted Shares. Upon settlement of the Share Units, the Share Units shall be extinguished and such number of Share Units will no longer be considered to be held by you for any purpose.]</w:t>
      </w:r>
    </w:p>
    <w:p>
      <w:pPr>
        <w:sectPr>
          <w:pgSz w:w="11900" w:h="16838" w:orient="portrait"/>
          <w:cols w:equalWidth="0" w:num="1">
            <w:col w:w="11240"/>
          </w:cols>
          <w:pgMar w:left="320" w:top="801" w:right="339" w:bottom="1440" w:gutter="0" w:footer="0" w:header="0"/>
        </w:sectPr>
      </w:pPr>
    </w:p>
    <w:bookmarkStart w:id="36" w:name="page37"/>
    <w:bookmarkEnd w:id="36"/>
    <w:p>
      <w:pPr>
        <w:spacing w:after="0" w:line="153"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provisions of this Section 3 are subject to and superseded by the terms of any Deferral and Distribution Election Form timely delivered and executed by you and which is effective with respect to this Award.</w:t>
      </w:r>
    </w:p>
    <w:p>
      <w:pPr>
        <w:spacing w:after="0" w:line="162"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Rights; Dividends</w:t>
      </w:r>
      <w:r>
        <w:rPr>
          <w:rFonts w:ascii="Times New Roman" w:cs="Times New Roman" w:eastAsia="Times New Roman" w:hAnsi="Times New Roman"/>
          <w:sz w:val="18"/>
          <w:szCs w:val="18"/>
          <w:color w:val="auto"/>
        </w:rPr>
        <w:t>. You do not have any of the rights of a stockholder with respect to the Share Units granted to you pursuant to this Award Notice until Shares with respect to such Share Units are delivered to you upon settlement in accordance with Section 3. Further, you do not have the right to vote or right to receive any dividends or any dividend equivalents relating to such dividends declared or paid on the Shares with respect to the Share Units granted to you pursuant to this Award Notice until Shares with respect to such Share Units are delivered to you upon settlement in accordance with Section 3.  Your Share Account will be credited with additional Share Units as of the date on which dividends, if any, are paid, in accordance with Section 6(d)(ii) of the Plan. No such dividends or dividend equivalents will be paid to you with respect to any Share Units that are cancelled or forfeited prior to the Vesting Date. Any Share Units credited to your Share Account for dividends in accordance with Section 6(d)(ii) of the Plan shall be settled in cash.</w:t>
      </w:r>
    </w:p>
    <w:p>
      <w:pPr>
        <w:spacing w:after="0" w:line="17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Non-Transferability of Share Units</w:t>
      </w:r>
      <w:r>
        <w:rPr>
          <w:rFonts w:ascii="Times New Roman" w:cs="Times New Roman" w:eastAsia="Times New Roman" w:hAnsi="Times New Roman"/>
          <w:sz w:val="18"/>
          <w:szCs w:val="18"/>
          <w:color w:val="auto"/>
        </w:rPr>
        <w:t>. Unless otherwise provided by the Committee in its discretion, prior to the date that they become vested, Share Units may not be sold, assigned, alienated, transferred, pledged, attached or otherwise encumbered by you, other than by will or by the laws of descent and distribution, and any such purported assignment, alienation, pledge, attachment, sale, transfer or encumbrance shall be void and unenforceable against the Company, provided that the designation of a beneficiary shall not constitute an assignment, alienation, pledge, attachment, sale, transfer or encumbrance.</w:t>
      </w:r>
    </w:p>
    <w:p>
      <w:pPr>
        <w:spacing w:after="0" w:line="17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Successors and Assigns of the Company</w:t>
      </w:r>
      <w:r>
        <w:rPr>
          <w:rFonts w:ascii="Times New Roman" w:cs="Times New Roman" w:eastAsia="Times New Roman" w:hAnsi="Times New Roman"/>
          <w:sz w:val="18"/>
          <w:szCs w:val="18"/>
          <w:color w:val="auto"/>
        </w:rPr>
        <w:t>. The terms and conditions of this Award Notice shall be binding upon and shall inure to the benefit of the Company and its successors and assigns.</w:t>
      </w:r>
    </w:p>
    <w:p>
      <w:pPr>
        <w:spacing w:after="0" w:line="14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Committee Discretion</w:t>
      </w:r>
      <w:r>
        <w:rPr>
          <w:rFonts w:ascii="Times New Roman" w:cs="Times New Roman" w:eastAsia="Times New Roman" w:hAnsi="Times New Roman"/>
          <w:sz w:val="18"/>
          <w:szCs w:val="18"/>
          <w:color w:val="auto"/>
        </w:rPr>
        <w:t>. The Committee shall have full and plenary discretion with respect to any actions to be taken or determinations to be made in connection with the Plan and this Award Notice, and its determinations shall be final, binding and conclusive.</w:t>
      </w:r>
    </w:p>
    <w:p>
      <w:pPr>
        <w:spacing w:after="0" w:line="16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 of this Award Notice</w:t>
      </w:r>
      <w:r>
        <w:rPr>
          <w:rFonts w:ascii="Times New Roman" w:cs="Times New Roman" w:eastAsia="Times New Roman" w:hAnsi="Times New Roman"/>
          <w:sz w:val="18"/>
          <w:szCs w:val="18"/>
          <w:color w:val="auto"/>
        </w:rPr>
        <w:t xml:space="preserve">. The Committee may waive any conditions or rights under, amend any terms of, or alter, suspend, discontinue, cancel or terminate this Award Notice prospectively or retroactively;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set forth in Section 15 of the Plan, any such waiver, amendment, alteration, suspension, discontinuance, cancelation or termination that would materially and adversely impair your rights under this Award Notice shall not to that extent be effective without your consent (it being understood, notwithstanding the foregoing proviso, that this Award Notice and the Share Units shall be subject to the provisions of Section 3(c) of the Plan relating to the adjustment of Awards upon certain specified events set forth in Section 3(c) of the Plan).</w:t>
      </w:r>
    </w:p>
    <w:p>
      <w:pPr>
        <w:spacing w:after="0" w:line="17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 Priority of Interpretation</w:t>
      </w:r>
      <w:r>
        <w:rPr>
          <w:rFonts w:ascii="Times New Roman" w:cs="Times New Roman" w:eastAsia="Times New Roman" w:hAnsi="Times New Roman"/>
          <w:sz w:val="18"/>
          <w:szCs w:val="18"/>
          <w:color w:val="auto"/>
        </w:rPr>
        <w:t>. To the extent permitted by the Plan, in the event of any conflict between the terms of this Award Notice and the terms of any plan, program, agreement or arrangement of the Company or any of its affiliates or subsidiaries applicable to you, the terms of such plan, program, agreement or arrangement shall govern.</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120" w:firstLine="1304"/>
        <w:spacing w:after="0" w:line="259" w:lineRule="auto"/>
        <w:tabs>
          <w:tab w:leader="none" w:pos="19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Delivery</w:t>
      </w:r>
      <w:r>
        <w:rPr>
          <w:rFonts w:ascii="Times New Roman" w:cs="Times New Roman" w:eastAsia="Times New Roman" w:hAnsi="Times New Roman"/>
          <w:sz w:val="18"/>
          <w:szCs w:val="18"/>
          <w:color w:val="auto"/>
        </w:rPr>
        <w:t>. The Company may, in its sole discretion, deliver any documents related to the Award by electronic 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hereby consent to receive such documents by electronic delivery and agree to participate in the Plan through an on-line or electronic system established and maintained by the Company or a third party-designated by the Company. </w:t>
      </w:r>
    </w:p>
    <w:p>
      <w:pPr>
        <w:spacing w:after="0" w:line="166" w:lineRule="exact"/>
        <w:rPr>
          <w:rFonts w:ascii="Times New Roman" w:cs="Times New Roman" w:eastAsia="Times New Roman" w:hAnsi="Times New Roman"/>
          <w:sz w:val="18"/>
          <w:szCs w:val="18"/>
          <w:color w:val="auto"/>
        </w:rPr>
      </w:pPr>
    </w:p>
    <w:p>
      <w:pPr>
        <w:ind w:firstLine="1304"/>
        <w:spacing w:after="0" w:line="251" w:lineRule="auto"/>
        <w:tabs>
          <w:tab w:leader="none" w:pos="19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This Award is intended to be exempt from, or to the extent subject thereto, to comply with Section 409A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Code, and, accordingly, to the maximum extent permitted, this Award Notice shall be interpreted in accordance therewith. The payments to you pursuant to this Award Notice are intended to be exempt from Section 409A of the Code to the maximum extent possible as short-term deferrals pursuant to Treasury regulation §1.409A-1(b)(4), and for such purposes, each payment under this Award Notice shall be</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5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considered a separate payment. In the event the terms of this Award Notice would subject you to taxes or penalties under Section 409A of the Code (“409A Penalties”), the Company and you shall cooperate diligently to amend the terms of this Award Notice to avoid such 409A Penalties, to the extent possible; provided that in no event shall the Company be responsible for any 409A Penalties that arise in connection with any amounts payable under this Award Notice. To the extent any amounts under this Award Notice are payable by reference to your Separation from Service, such term shall be deemed to refer to your “separation from service,” within the meaning of Section 409A of the Code.</w:t>
      </w:r>
    </w:p>
    <w:p>
      <w:pPr>
        <w:spacing w:after="0" w:line="162" w:lineRule="exact"/>
        <w:rPr>
          <w:sz w:val="20"/>
          <w:szCs w:val="20"/>
          <w:color w:val="auto"/>
        </w:rPr>
      </w:pPr>
    </w:p>
    <w:p>
      <w:pPr>
        <w:ind w:right="40" w:firstLine="1304"/>
        <w:spacing w:after="0" w:line="243" w:lineRule="auto"/>
        <w:tabs>
          <w:tab w:leader="none" w:pos="19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 of Law</w:t>
      </w:r>
      <w:r>
        <w:rPr>
          <w:rFonts w:ascii="Times New Roman" w:cs="Times New Roman" w:eastAsia="Times New Roman" w:hAnsi="Times New Roman"/>
          <w:sz w:val="18"/>
          <w:szCs w:val="18"/>
          <w:color w:val="auto"/>
        </w:rPr>
        <w:t>. The grant of Share Units under the Plan, and the issuance of Shares upon the vesting of the Shares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subject to, and conditioned upon, satisfaction of all applicable laws, rules, and regulations, and to such approvals by any governmental agencies or national securities exchanges as may be required. </w:t>
      </w:r>
    </w:p>
    <w:p>
      <w:pPr>
        <w:spacing w:after="0" w:line="181" w:lineRule="exact"/>
        <w:rPr>
          <w:rFonts w:ascii="Times New Roman" w:cs="Times New Roman" w:eastAsia="Times New Roman" w:hAnsi="Times New Roman"/>
          <w:sz w:val="18"/>
          <w:szCs w:val="18"/>
          <w:color w:val="auto"/>
        </w:rPr>
      </w:pPr>
    </w:p>
    <w:p>
      <w:pPr>
        <w:ind w:right="60" w:firstLine="1304"/>
        <w:spacing w:after="0"/>
        <w:tabs>
          <w:tab w:leader="none" w:pos="19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Continuation of Service; Not a Contract of Service; No Acquired Rights. </w:t>
      </w:r>
      <w:r>
        <w:rPr>
          <w:rFonts w:ascii="Times New Roman" w:cs="Times New Roman" w:eastAsia="Times New Roman" w:hAnsi="Times New Roman"/>
          <w:sz w:val="18"/>
          <w:szCs w:val="18"/>
          <w:color w:val="auto"/>
        </w:rPr>
        <w:t>This Award Notice shall not confer upon you any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continuation of service by the Company, its Affiliates and/or its subsidiaries, nor shall this Award Notice interfere in any way with the Company’s, its Affiliates’ and/or its subsidiaries’ right to terminate your service at any time, except to the extent expressly provided otherwise in a written agreement between you and the Company, its Affiliate or Subsidiary or as prohibited by law.</w:t>
      </w:r>
    </w:p>
    <w:p>
      <w:pPr>
        <w:spacing w:after="0" w:line="184" w:lineRule="exact"/>
        <w:rPr>
          <w:rFonts w:ascii="Times New Roman" w:cs="Times New Roman" w:eastAsia="Times New Roman" w:hAnsi="Times New Roman"/>
          <w:sz w:val="18"/>
          <w:szCs w:val="18"/>
          <w:color w:val="auto"/>
        </w:rPr>
      </w:pPr>
    </w:p>
    <w:p>
      <w:pPr>
        <w:ind w:firstLine="1304"/>
        <w:spacing w:after="0" w:line="243" w:lineRule="auto"/>
        <w:tabs>
          <w:tab w:leader="none" w:pos="19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All questions concerning the construction, validity and interpretation of this Award Notice and the Plan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governed and construed according to the laws of the State of Delaware, without regard to the application of the conflicts of laws provisions thereof. Any disputes regarding this Award or the Plan shall be brought only in the state or federal courts of the State of Delaware.</w:t>
      </w:r>
    </w:p>
    <w:p>
      <w:pPr>
        <w:spacing w:after="0" w:line="181" w:lineRule="exact"/>
        <w:rPr>
          <w:rFonts w:ascii="Times New Roman" w:cs="Times New Roman" w:eastAsia="Times New Roman" w:hAnsi="Times New Roman"/>
          <w:sz w:val="18"/>
          <w:szCs w:val="18"/>
          <w:color w:val="auto"/>
        </w:rPr>
      </w:pPr>
    </w:p>
    <w:p>
      <w:pPr>
        <w:ind w:right="260" w:firstLine="1304"/>
        <w:spacing w:after="0"/>
        <w:tabs>
          <w:tab w:leader="none" w:pos="19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Requirements</w:t>
      </w:r>
      <w:r>
        <w:rPr>
          <w:rFonts w:ascii="Times New Roman" w:cs="Times New Roman" w:eastAsia="Times New Roman" w:hAnsi="Times New Roman"/>
          <w:sz w:val="18"/>
          <w:szCs w:val="18"/>
          <w:color w:val="auto"/>
        </w:rPr>
        <w:t>. The Company reserves the right to impose other requirements on the Share Units, and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 in the Plan, to the extent the Company determines, in its sole discretion, that such other requirements are necessary or advisable in order to comply with local laws, rules and regulations, or to facilitate the administration of the Award and the Plan. Such requirements may include (but are not limited to) requiring you to sign any agreements or undertakings that may be necessary to accomplish the foregoing.</w:t>
      </w:r>
    </w:p>
    <w:p>
      <w:pPr>
        <w:spacing w:after="0" w:line="169" w:lineRule="exact"/>
        <w:rPr>
          <w:rFonts w:ascii="Times New Roman" w:cs="Times New Roman" w:eastAsia="Times New Roman" w:hAnsi="Times New Roman"/>
          <w:sz w:val="18"/>
          <w:szCs w:val="18"/>
          <w:color w:val="auto"/>
        </w:rPr>
      </w:pPr>
    </w:p>
    <w:p>
      <w:pPr>
        <w:ind w:right="20" w:firstLine="1304"/>
        <w:spacing w:after="0" w:line="271" w:lineRule="auto"/>
        <w:tabs>
          <w:tab w:leader="none" w:pos="19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If you have any questions regarding this Award Notice, please contact </w:t>
      </w:r>
      <w:r>
        <w:rPr>
          <w:rFonts w:ascii="Times New Roman" w:cs="Times New Roman" w:eastAsia="Times New Roman" w:hAnsi="Times New Roman"/>
          <w:sz w:val="18"/>
          <w:szCs w:val="18"/>
          <w:b w:val="1"/>
          <w:bCs w:val="1"/>
          <w:color w:val="auto"/>
        </w:rPr>
        <w:t>[CONTACT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your HR Partner. If you wish to obtain a copy of the Plan please contact </w:t>
      </w:r>
      <w:r>
        <w:rPr>
          <w:rFonts w:ascii="Times New Roman" w:cs="Times New Roman" w:eastAsia="Times New Roman" w:hAnsi="Times New Roman"/>
          <w:sz w:val="18"/>
          <w:szCs w:val="18"/>
          <w:b w:val="1"/>
          <w:bCs w:val="1"/>
          <w:color w:val="auto"/>
        </w:rPr>
        <w:t>[CONTACT INFORMATION]</w:t>
      </w:r>
      <w:r>
        <w:rPr>
          <w:rFonts w:ascii="Times New Roman" w:cs="Times New Roman" w:eastAsia="Times New Roman" w:hAnsi="Times New Roman"/>
          <w:sz w:val="18"/>
          <w:szCs w:val="18"/>
          <w:color w:val="auto"/>
        </w:rPr>
        <w:t>.</w:t>
      </w:r>
    </w:p>
    <w:p>
      <w:pPr>
        <w:sectPr>
          <w:pgSz w:w="11900" w:h="16838" w:orient="portrait"/>
          <w:cols w:equalWidth="0" w:num="1">
            <w:col w:w="11200"/>
          </w:cols>
          <w:pgMar w:left="320" w:top="1440" w:right="379" w:bottom="1440" w:gutter="0" w:footer="0" w:header="0"/>
        </w:sectPr>
      </w:pPr>
    </w:p>
    <w:bookmarkStart w:id="38" w:name="page39"/>
    <w:bookmarkEnd w:id="38"/>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31" w:lineRule="exact"/>
        <w:rPr>
          <w:sz w:val="20"/>
          <w:szCs w:val="20"/>
          <w:color w:val="auto"/>
        </w:rPr>
      </w:pPr>
    </w:p>
    <w:p>
      <w:pPr>
        <w:ind w:right="380"/>
        <w:spacing w:after="0" w:line="227"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THE EXHIBIT BECAUSE IT IS BOTH NOT MATERIAL AND IS THE TYPE THAT THE REGISTRANT TREATS AS PRIVATE OR CONFIDENTIAL. OMITTED INFORMATION HAS BEEN REPLACED WITH ASTERISKS.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THE AMENDED AND RESTATED A350-900 PURCHASE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September 1, 2017</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between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AIRBUS S.A.S.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Amendment No. 7 to the Amended and Restated A350-900 Purchase Agreement between Airbus S.A.S. and United Airlines, Inc. (hereinafter referred to as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is entered into as of June 30, 2025 by and between AIRBUS S.A.S., a </w:t>
      </w:r>
      <w:r>
        <w:rPr>
          <w:rFonts w:ascii="Times New Roman" w:cs="Times New Roman" w:eastAsia="Times New Roman" w:hAnsi="Times New Roman"/>
          <w:sz w:val="22"/>
          <w:szCs w:val="22"/>
          <w:i w:val="1"/>
          <w:iCs w:val="1"/>
          <w:color w:val="auto"/>
        </w:rPr>
        <w:t>société par actions simplifiée</w:t>
      </w:r>
      <w:r>
        <w:rPr>
          <w:rFonts w:ascii="Times New Roman" w:cs="Times New Roman" w:eastAsia="Times New Roman" w:hAnsi="Times New Roman"/>
          <w:sz w:val="22"/>
          <w:szCs w:val="22"/>
          <w:color w:val="auto"/>
        </w:rPr>
        <w:t>, organized and existing under the laws of the Republic of France, having its registered office located at 2, Rond Point Emile Dewoitine, 31700 Blagnac, France (hereinafter referred to as the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and UNITED AIRLINES, INC., a corporation organized and existing under the laws of the State of Delaware, United States of America, having its principal corporate offices located at 233 South Wacker Drive, Chicago, Illinois 60606, U.S.A. (hereinafter referred to as the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WITNESSETH:</w:t>
      </w: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WHEREAS, the Buyer and the Seller entered into the Amended and Restated A350-900 Purchase Agreement, dated as of September 1, 2017 which, together with all Exhibits, Appendices and Letter Agreements attached thereto and as amended, modified or supplemented from time to time is hereinafter called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Buyer and the Seller are ***, and ***, and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Buyer and the Seller have agreed to amend certain terms of the Agreement as set forth herein.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IT IS AGREED AS FOLLOWS:</w:t>
      </w:r>
    </w:p>
    <w:p>
      <w:pPr>
        <w:spacing w:after="0" w:line="26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46" w:lineRule="exact"/>
        <w:rPr>
          <w:rFonts w:ascii="Times New Roman" w:cs="Times New Roman" w:eastAsia="Times New Roman" w:hAnsi="Times New Roman"/>
          <w:sz w:val="22"/>
          <w:szCs w:val="22"/>
          <w:color w:val="auto"/>
        </w:rPr>
      </w:pPr>
    </w:p>
    <w:p>
      <w:pPr>
        <w:jc w:val="both"/>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herein and not otherwise expressly defined in this Amendment shall have the meanings assigned thereto in the Agreement. The terms “herein”, “hereof”, and “hereunder” and words of similar import refer to this Amendment.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36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Amendment No. 7 – Execution Version AM6-1 AIRBUS S.A.S. &amp; UNITED AIRLINES, INC. – PROPRIETARY AND CONFIDENTIAL</w:t>
      </w:r>
    </w:p>
    <w:p>
      <w:pPr>
        <w:sectPr>
          <w:pgSz w:w="11900" w:h="16838" w:orient="portrait"/>
          <w:cols w:equalWidth="0" w:num="1">
            <w:col w:w="11240"/>
          </w:cols>
          <w:pgMar w:left="320" w:top="122" w:right="339" w:bottom="1440" w:gutter="0" w:footer="0" w:header="0"/>
        </w:sectPr>
      </w:pPr>
    </w:p>
    <w:bookmarkStart w:id="39" w:name="page40"/>
    <w:bookmarkEnd w:id="39"/>
    <w:p>
      <w:pPr>
        <w:spacing w:after="0" w:line="200" w:lineRule="exact"/>
        <w:rPr>
          <w:sz w:val="20"/>
          <w:szCs w:val="20"/>
          <w:color w:val="auto"/>
        </w:rPr>
      </w:pPr>
    </w:p>
    <w:p>
      <w:pPr>
        <w:spacing w:after="0" w:line="376" w:lineRule="exact"/>
        <w:rPr>
          <w:sz w:val="20"/>
          <w:szCs w:val="20"/>
          <w:color w:val="auto"/>
        </w:rPr>
      </w:pPr>
    </w:p>
    <w:p>
      <w:pPr>
        <w:ind w:left="2280" w:right="8280" w:hanging="2272"/>
        <w:spacing w:after="0" w:line="266" w:lineRule="auto"/>
        <w:tabs>
          <w:tab w:leader="none" w:pos="6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AGREEMENTS 3</w:t>
      </w:r>
    </w:p>
    <w:p>
      <w:pPr>
        <w:spacing w:after="0" w:line="2" w:lineRule="exact"/>
        <w:rPr>
          <w:sz w:val="20"/>
          <w:szCs w:val="20"/>
          <w:color w:val="auto"/>
        </w:rPr>
      </w:pPr>
    </w:p>
    <w:p>
      <w:pPr>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Letter Agreement No.2 to the Agreement dated as of September 1, 2017 and as amended from time to time, is hereby deleted and replaced with the Amended and Restated Letter Agreement No. 2 dated as of even date herewith.</w:t>
      </w:r>
    </w:p>
    <w:p>
      <w:pPr>
        <w:spacing w:after="0" w:line="223" w:lineRule="exact"/>
        <w:rPr>
          <w:sz w:val="20"/>
          <w:szCs w:val="20"/>
          <w:color w:val="auto"/>
        </w:rPr>
      </w:pPr>
    </w:p>
    <w:p>
      <w:pPr>
        <w:ind w:left="540" w:hanging="647"/>
        <w:spacing w:after="0" w:line="254" w:lineRule="auto"/>
        <w:tabs>
          <w:tab w:leader="none" w:pos="520" w:val="left"/>
        </w:tabs>
        <w:rPr>
          <w:sz w:val="20"/>
          <w:szCs w:val="20"/>
          <w:color w:val="auto"/>
        </w:rPr>
      </w:pPr>
      <w:r>
        <w:rPr>
          <w:rFonts w:ascii="Times New Roman" w:cs="Times New Roman" w:eastAsia="Times New Roman" w:hAnsi="Times New Roman"/>
          <w:sz w:val="22"/>
          <w:szCs w:val="22"/>
          <w:color w:val="auto"/>
        </w:rPr>
        <w:t>2.2</w:t>
        <w:tab/>
        <w:t>Amended and Restated Letter Agreement No. 14 to the Agreement dated as of December 26, 2024 is hereby deleted and replaced with the Amended and Restated Letter Agreement No. 14 dated as of even date herewith.</w:t>
      </w:r>
    </w:p>
    <w:p>
      <w:pPr>
        <w:ind w:left="1620"/>
        <w:spacing w:after="0" w:line="219" w:lineRule="auto"/>
        <w:rPr>
          <w:sz w:val="20"/>
          <w:szCs w:val="20"/>
          <w:color w:val="auto"/>
        </w:rPr>
      </w:pPr>
      <w:r>
        <w:rPr>
          <w:rFonts w:ascii="Times New Roman" w:cs="Times New Roman" w:eastAsia="Times New Roman" w:hAnsi="Times New Roman"/>
          <w:sz w:val="22"/>
          <w:szCs w:val="22"/>
          <w:u w:val="single" w:color="auto"/>
          <w:color w:val="auto"/>
        </w:rPr>
        <w:t>4</w:t>
      </w:r>
    </w:p>
    <w:p>
      <w:pPr>
        <w:ind w:left="3300" w:hanging="376"/>
        <w:spacing w:after="0"/>
        <w:tabs>
          <w:tab w:leader="none" w:pos="3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EFFECT OF THE AMENDMENT</w:t>
      </w:r>
    </w:p>
    <w:p>
      <w:pPr>
        <w:spacing w:after="0" w:line="20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The Agreement shall be deemed amended to the extent herein provided, and, except as specifically amended hereby, shall continue in full force and effect in accordance with its original terms. This Amendment supersedes any previous understandings, commitments, or representations whatsoever, whether oral or written, related to the subject matter of this Amendment.</w:t>
      </w:r>
    </w:p>
    <w:p>
      <w:pPr>
        <w:spacing w:after="0" w:line="20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Both parties agree that this Amendment shall constitute an integral, non-severable part of the Agreement, that the provisions of the Agreement are hereby incorporated herein by reference, and that this Amendment shall be governed by the provisions of the Agreement, except that if the Agreement and this Amendment have specific provisions that are inconsistent, the specific provisions contained in this Amendment shall govern.</w:t>
      </w:r>
    </w:p>
    <w:p>
      <w:pPr>
        <w:spacing w:after="0" w:line="176" w:lineRule="exact"/>
        <w:rPr>
          <w:sz w:val="20"/>
          <w:szCs w:val="20"/>
          <w:color w:val="auto"/>
        </w:rPr>
      </w:pPr>
    </w:p>
    <w:p>
      <w:pPr>
        <w:ind w:left="1360" w:hanging="380"/>
        <w:spacing w:after="0"/>
        <w:tabs>
          <w:tab w:leader="none" w:pos="13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4 </w:t>
      </w:r>
      <w:r>
        <w:rPr>
          <w:rFonts w:ascii="Times New Roman" w:cs="Times New Roman" w:eastAsia="Times New Roman" w:hAnsi="Times New Roman"/>
          <w:sz w:val="22"/>
          <w:szCs w:val="22"/>
          <w:u w:val="single" w:color="auto"/>
          <w:color w:val="auto"/>
        </w:rPr>
        <w:t>ASSIGNMENT</w:t>
      </w:r>
    </w:p>
    <w:p>
      <w:pPr>
        <w:spacing w:after="0" w:line="233"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This Amendment and the rights and obligations of the parties shall be subject to the provisions of Clause 21 of the Agreement.</w:t>
      </w:r>
    </w:p>
    <w:p>
      <w:pPr>
        <w:spacing w:after="0" w:line="158" w:lineRule="exact"/>
        <w:rPr>
          <w:sz w:val="20"/>
          <w:szCs w:val="20"/>
          <w:color w:val="auto"/>
        </w:rPr>
      </w:pPr>
    </w:p>
    <w:p>
      <w:pPr>
        <w:ind w:left="1360" w:hanging="380"/>
        <w:spacing w:after="0"/>
        <w:tabs>
          <w:tab w:leader="none" w:pos="13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5 </w:t>
      </w:r>
      <w:r>
        <w:rPr>
          <w:rFonts w:ascii="Times New Roman" w:cs="Times New Roman" w:eastAsia="Times New Roman" w:hAnsi="Times New Roman"/>
          <w:sz w:val="22"/>
          <w:szCs w:val="22"/>
          <w:u w:val="single" w:color="auto"/>
          <w:color w:val="auto"/>
        </w:rPr>
        <w:t>CONFIDENTIALITY</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This Amendment is subject to the terms and conditions of Clause 22.10 of the Agreement.</w:t>
      </w:r>
    </w:p>
    <w:p>
      <w:pPr>
        <w:spacing w:after="0" w:line="220" w:lineRule="exact"/>
        <w:rPr>
          <w:sz w:val="20"/>
          <w:szCs w:val="20"/>
          <w:color w:val="auto"/>
        </w:rPr>
      </w:pPr>
    </w:p>
    <w:p>
      <w:pPr>
        <w:ind w:left="1360" w:hanging="380"/>
        <w:spacing w:after="0"/>
        <w:tabs>
          <w:tab w:leader="none" w:pos="13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 </w:t>
      </w:r>
      <w:r>
        <w:rPr>
          <w:rFonts w:ascii="Times New Roman" w:cs="Times New Roman" w:eastAsia="Times New Roman" w:hAnsi="Times New Roman"/>
          <w:sz w:val="22"/>
          <w:szCs w:val="22"/>
          <w:u w:val="single" w:color="auto"/>
          <w:color w:val="auto"/>
        </w:rPr>
        <w:t>GOVERNING LAW</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governing law shall be as set forth in Clause 22.6 of the Agreement.</w:t>
      </w:r>
    </w:p>
    <w:p>
      <w:pPr>
        <w:spacing w:after="0" w:line="220" w:lineRule="exact"/>
        <w:rPr>
          <w:sz w:val="20"/>
          <w:szCs w:val="20"/>
          <w:color w:val="auto"/>
        </w:rPr>
      </w:pPr>
    </w:p>
    <w:p>
      <w:pPr>
        <w:ind w:left="1360" w:hanging="380"/>
        <w:spacing w:after="0"/>
        <w:tabs>
          <w:tab w:leader="none" w:pos="13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 </w:t>
      </w:r>
      <w:r>
        <w:rPr>
          <w:rFonts w:ascii="Times New Roman" w:cs="Times New Roman" w:eastAsia="Times New Roman" w:hAnsi="Times New Roman"/>
          <w:sz w:val="22"/>
          <w:szCs w:val="22"/>
          <w:u w:val="single" w:color="auto"/>
          <w:color w:val="auto"/>
        </w:rPr>
        <w:t>COUNTERPARTS</w:t>
      </w:r>
    </w:p>
    <w:p>
      <w:pPr>
        <w:spacing w:after="0" w:line="233"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22"/>
          <w:szCs w:val="22"/>
          <w:color w:val="auto"/>
        </w:rPr>
        <w:t>This Amendment may be executed by the parties hereto in separate counterparts, each of which when so executed and delivered will be an original, but all such counterparts will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360"/>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Amendment No. 7 – Execution Version AM6-2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IN WITNESS WHEREOF, this Amendment was entered into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00" w:lineRule="exact"/>
        <w:rPr>
          <w:sz w:val="20"/>
          <w:szCs w:val="20"/>
          <w:color w:val="auto"/>
        </w:rPr>
      </w:pPr>
    </w:p>
    <w:p>
      <w:pPr>
        <w:spacing w:after="0" w:line="2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John Gebo</w:t>
      </w:r>
    </w:p>
    <w:p>
      <w:pPr>
        <w:spacing w:after="0" w:line="24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SVP Treasury, Fleet &amp; Fuel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AIRBUS S.A.S.</w:t>
      </w:r>
    </w:p>
    <w:p>
      <w:pPr>
        <w:spacing w:after="0" w:line="200" w:lineRule="exact"/>
        <w:rPr>
          <w:sz w:val="20"/>
          <w:szCs w:val="20"/>
          <w:color w:val="auto"/>
        </w:rPr>
      </w:pPr>
    </w:p>
    <w:p>
      <w:pPr>
        <w:spacing w:after="0" w:line="2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Paul Meijers</w:t>
      </w:r>
    </w:p>
    <w:p>
      <w:pPr>
        <w:spacing w:after="0" w:line="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Commercial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899"/>
        <w:spacing w:after="0" w:line="280"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Amendment No. 7 – Execution Version AIRBUS S.A.S. &amp; UNITED AIRLINES, INC. – PROPRIETARY AND CONFIDENTIAL</w:t>
      </w:r>
    </w:p>
    <w:p>
      <w:pPr>
        <w:sectPr>
          <w:pgSz w:w="11900" w:h="16838" w:orient="portrait"/>
          <w:cols w:equalWidth="0" w:num="1">
            <w:col w:w="10139"/>
          </w:cols>
          <w:pgMar w:left="320" w:top="1416" w:right="1440" w:bottom="1440" w:gutter="0" w:footer="0" w:header="0"/>
        </w:sectPr>
      </w:pPr>
    </w:p>
    <w:bookmarkStart w:id="41" w:name="page42"/>
    <w:bookmarkEnd w:id="41"/>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LETTER AGREEMENT NO. 2</w:t>
      </w:r>
    </w:p>
    <w:p>
      <w:pPr>
        <w:spacing w:after="0" w:line="24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TO THE AMENDED AND RESTATED</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A350-900 PURCHASE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 of 30 June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Ladies and Gentlemen,</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UNITED AIRLINES, INC. (the “Buyer”), and AIRBUS S.A.S. (the “Seller”), have entered into an Amended and Restated A350-900 Purchase Agreement dated as of September 1, 2017 (the “Agreement”), which covers, among other things, the sale by the Seller and the purchase by the Buyer of certain Aircraft, under the terms and conditions set forth in said Agreement. The Buyer and the Seller have agreed to set forth in this Amended and Restated Letter Agreement No. 2 (this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certain additional terms and conditions regarding the sale of the Aircraft. Amended and Restated Letter Agreement No. 2 dated as of March 31, 2025 to the Agreement (as amended from time to time), is hereby amended and restated in its entirety to read as set forth herein.</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Capitalized terms used herein and not otherwise defined in this Letter Agreement will have the meanings assigned thereto in the Agreement. The terms “herein,” “hereof” and “hereunder” and words of similar import refer to this Letter Agreement.</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620"/>
        <w:spacing w:after="0" w:line="282" w:lineRule="auto"/>
        <w:rPr>
          <w:sz w:val="20"/>
          <w:szCs w:val="20"/>
          <w:color w:val="auto"/>
        </w:rPr>
      </w:pPr>
      <w:r>
        <w:rPr>
          <w:rFonts w:ascii="Times New Roman" w:cs="Times New Roman" w:eastAsia="Times New Roman" w:hAnsi="Times New Roman"/>
          <w:sz w:val="18"/>
          <w:szCs w:val="18"/>
          <w:color w:val="auto"/>
        </w:rPr>
        <w:t>CT1706024 – Amended and Restated A350-900 Purchase Agreement – Execution Version A&amp;R LA2-1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25"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Clause 5 of the Agreement is deleted in its entirety and replaced with the following quoted text:</w:t>
      </w: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QUOTE</w:t>
      </w:r>
    </w:p>
    <w:p>
      <w:pPr>
        <w:spacing w:after="0" w:line="247"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22"/>
          <w:szCs w:val="22"/>
          <w:color w:val="auto"/>
        </w:rPr>
        <w:t>5 -</w:t>
      </w:r>
      <w:r>
        <w:rPr>
          <w:sz w:val="20"/>
          <w:szCs w:val="20"/>
          <w:color w:val="auto"/>
        </w:rPr>
        <w:tab/>
      </w:r>
      <w:r>
        <w:rPr>
          <w:rFonts w:ascii="Times New Roman" w:cs="Times New Roman" w:eastAsia="Times New Roman" w:hAnsi="Times New Roman"/>
          <w:sz w:val="21"/>
          <w:szCs w:val="21"/>
          <w:color w:val="auto"/>
        </w:rPr>
        <w:t>PAYMENT TERMS</w:t>
      </w:r>
    </w:p>
    <w:p>
      <w:pPr>
        <w:spacing w:after="0" w:line="247"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Seller’s Account</w:t>
      </w:r>
    </w:p>
    <w:p>
      <w:pPr>
        <w:spacing w:after="0" w:line="247" w:lineRule="exact"/>
        <w:rPr>
          <w:sz w:val="20"/>
          <w:szCs w:val="20"/>
          <w:color w:val="auto"/>
        </w:rPr>
      </w:pPr>
    </w:p>
    <w:p>
      <w:pPr>
        <w:jc w:val="both"/>
        <w:ind w:left="1960" w:hanging="716"/>
        <w:spacing w:after="0" w:line="263" w:lineRule="auto"/>
        <w:rPr>
          <w:sz w:val="20"/>
          <w:szCs w:val="20"/>
          <w:color w:val="auto"/>
        </w:rPr>
      </w:pPr>
      <w:r>
        <w:rPr>
          <w:rFonts w:ascii="Times New Roman" w:cs="Times New Roman" w:eastAsia="Times New Roman" w:hAnsi="Times New Roman"/>
          <w:sz w:val="22"/>
          <w:szCs w:val="22"/>
          <w:color w:val="auto"/>
        </w:rPr>
        <w:t>The Buyer will pay the ***, the Balance of the Final Price of the Aircraft and any other amount due hereunder in immediately available funds in United States dollars to: ***, or to such other account as may be designated by the Seller in writing to the Buyer.</w:t>
      </w:r>
    </w:p>
    <w:p>
      <w:pPr>
        <w:spacing w:after="0" w:line="194"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u w:val="single" w:color="auto"/>
          <w:color w:val="auto"/>
        </w:rPr>
        <w:t>***</w:t>
      </w:r>
    </w:p>
    <w:p>
      <w:pPr>
        <w:spacing w:after="0" w:line="24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5.2.1</w:t>
        <w:tab/>
        <w:t>***</w:t>
      </w:r>
    </w:p>
    <w:p>
      <w:pPr>
        <w:spacing w:after="0" w:line="260" w:lineRule="exact"/>
        <w:rPr>
          <w:sz w:val="20"/>
          <w:szCs w:val="20"/>
          <w:color w:val="auto"/>
        </w:rPr>
      </w:pPr>
    </w:p>
    <w:p>
      <w:pPr>
        <w:ind w:left="1720" w:hanging="971"/>
        <w:spacing w:after="0" w:line="271" w:lineRule="auto"/>
        <w:tabs>
          <w:tab w:leader="none" w:pos="1700" w:val="left"/>
        </w:tabs>
        <w:rPr>
          <w:sz w:val="20"/>
          <w:szCs w:val="20"/>
          <w:color w:val="auto"/>
        </w:rPr>
      </w:pPr>
      <w:r>
        <w:rPr>
          <w:rFonts w:ascii="Times New Roman" w:cs="Times New Roman" w:eastAsia="Times New Roman" w:hAnsi="Times New Roman"/>
          <w:sz w:val="22"/>
          <w:szCs w:val="22"/>
          <w:color w:val="auto"/>
        </w:rPr>
        <w:t>5.2.2</w:t>
        <w:tab/>
        <w:t>The *** for an Aircraft to be delivered in calendar year T is determined in accordance with the following formula:</w:t>
      </w:r>
    </w:p>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5.2.3</w:t>
      </w:r>
      <w:r>
        <w:rPr>
          <w:sz w:val="20"/>
          <w:szCs w:val="20"/>
          <w:color w:val="auto"/>
        </w:rPr>
        <w:tab/>
      </w:r>
      <w:r>
        <w:rPr>
          <w:rFonts w:ascii="Times New Roman" w:cs="Times New Roman" w:eastAsia="Times New Roman" w:hAnsi="Times New Roman"/>
          <w:sz w:val="21"/>
          <w:szCs w:val="21"/>
          <w:color w:val="auto"/>
        </w:rPr>
        <w:t>*** will be paid according to the following schedules.</w:t>
      </w:r>
    </w:p>
    <w:p>
      <w:pPr>
        <w:spacing w:after="0" w:line="2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980"/>
        <w:spacing w:after="0"/>
        <w:tabs>
          <w:tab w:leader="none" w:pos="1780" w:val="left"/>
        </w:tabs>
        <w:rPr>
          <w:sz w:val="20"/>
          <w:szCs w:val="20"/>
          <w:color w:val="auto"/>
        </w:rPr>
      </w:pPr>
      <w:r>
        <w:rPr>
          <w:rFonts w:ascii="Times New Roman" w:cs="Times New Roman" w:eastAsia="Times New Roman" w:hAnsi="Times New Roman"/>
          <w:sz w:val="22"/>
          <w:szCs w:val="22"/>
          <w:color w:val="auto"/>
        </w:rPr>
        <w:t>5.2.3.1</w:t>
      </w:r>
      <w:r>
        <w:rPr>
          <w:sz w:val="20"/>
          <w:szCs w:val="20"/>
          <w:color w:val="auto"/>
        </w:rPr>
        <w:tab/>
      </w:r>
      <w:r>
        <w:rPr>
          <w:rFonts w:ascii="Times New Roman" w:cs="Times New Roman" w:eastAsia="Times New Roman" w:hAnsi="Times New Roman"/>
          <w:sz w:val="21"/>
          <w:szCs w:val="21"/>
          <w:color w:val="auto"/>
        </w:rPr>
        <w:t>For the ***:</w:t>
      </w:r>
    </w:p>
    <w:p>
      <w:pPr>
        <w:spacing w:after="0" w:line="267" w:lineRule="exact"/>
        <w:rPr>
          <w:sz w:val="20"/>
          <w:szCs w:val="20"/>
          <w:color w:val="auto"/>
        </w:rPr>
      </w:pPr>
    </w:p>
    <w:tbl>
      <w:tblPr>
        <w:tblLayout w:type="fixed"/>
        <w:tblInd w:w="2070" w:type="dxa"/>
        <w:tblCellMar>
          <w:top w:w="0" w:type="dxa"/>
          <w:left w:w="0" w:type="dxa"/>
          <w:bottom w:w="0" w:type="dxa"/>
          <w:right w:w="0" w:type="dxa"/>
        </w:tblCellMar>
      </w:tblPr>
      <w:tr>
        <w:trPr>
          <w:trHeight w:val="284"/>
        </w:trPr>
        <w:tc>
          <w:tcPr>
            <w:tcW w:w="1420" w:type="dxa"/>
            <w:vAlign w:val="bottom"/>
            <w:tcBorders>
              <w:top w:val="single" w:sz="8" w:color="auto"/>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3700" w:type="dxa"/>
            <w:vAlign w:val="bottom"/>
            <w:tcBorders>
              <w:top w:val="single" w:sz="8" w:color="auto"/>
              <w:bottom w:val="single" w:sz="8" w:color="auto"/>
              <w:right w:val="single" w:sz="8" w:color="auto"/>
            </w:tcBorders>
          </w:tcPr>
          <w:p>
            <w:pPr>
              <w:spacing w:after="0"/>
              <w:rPr>
                <w:sz w:val="24"/>
                <w:szCs w:val="24"/>
                <w:color w:val="auto"/>
              </w:rPr>
            </w:pPr>
          </w:p>
        </w:tc>
        <w:tc>
          <w:tcPr>
            <w:tcW w:w="1980" w:type="dxa"/>
            <w:vAlign w:val="bottom"/>
            <w:tcBorders>
              <w:top w:val="single" w:sz="8" w:color="auto"/>
              <w:bottom w:val="single" w:sz="8" w:color="auto"/>
              <w:right w:val="single" w:sz="8" w:color="auto"/>
            </w:tcBorders>
          </w:tcPr>
          <w:p>
            <w:pPr>
              <w:jc w:val="right"/>
              <w:ind w:right="1472"/>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3700" w:type="dxa"/>
            <w:vAlign w:val="bottom"/>
            <w:tcBorders>
              <w:bottom w:val="single" w:sz="8" w:color="auto"/>
              <w:right w:val="single" w:sz="8" w:color="auto"/>
            </w:tcBorders>
          </w:tcPr>
          <w:p>
            <w:pPr>
              <w:jc w:val="right"/>
              <w:ind w:right="3192"/>
              <w:spacing w:after="0"/>
              <w:rPr>
                <w:sz w:val="20"/>
                <w:szCs w:val="20"/>
                <w:color w:val="auto"/>
              </w:rPr>
            </w:pPr>
            <w:r>
              <w:rPr>
                <w:rFonts w:ascii="Times New Roman" w:cs="Times New Roman" w:eastAsia="Times New Roman" w:hAnsi="Times New Roman"/>
                <w:sz w:val="22"/>
                <w:szCs w:val="22"/>
                <w:color w:val="auto"/>
              </w:rPr>
              <w:t>***</w:t>
            </w:r>
          </w:p>
        </w:tc>
        <w:tc>
          <w:tcPr>
            <w:tcW w:w="1980" w:type="dxa"/>
            <w:vAlign w:val="bottom"/>
            <w:tcBorders>
              <w:bottom w:val="single" w:sz="8" w:color="auto"/>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512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 DELIVERY</w:t>
            </w:r>
          </w:p>
        </w:tc>
        <w:tc>
          <w:tcPr>
            <w:tcW w:w="1980" w:type="dxa"/>
            <w:vAlign w:val="bottom"/>
            <w:tcBorders>
              <w:bottom w:val="single" w:sz="8" w:color="auto"/>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w:t>
            </w:r>
          </w:p>
        </w:tc>
      </w:tr>
    </w:tbl>
    <w:p>
      <w:pPr>
        <w:spacing w:after="0" w:line="3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Notwithstanding the above, it is agreed that with respect to Aircraft ***.</w:t>
      </w:r>
    </w:p>
    <w:p>
      <w:pPr>
        <w:spacing w:after="0" w:line="247" w:lineRule="exact"/>
        <w:rPr>
          <w:sz w:val="20"/>
          <w:szCs w:val="20"/>
          <w:color w:val="auto"/>
        </w:rPr>
      </w:pPr>
    </w:p>
    <w:tbl>
      <w:tblPr>
        <w:tblLayout w:type="fixed"/>
        <w:tblInd w:w="980" w:type="dxa"/>
        <w:tblCellMar>
          <w:top w:w="0" w:type="dxa"/>
          <w:left w:w="0" w:type="dxa"/>
          <w:bottom w:w="0" w:type="dxa"/>
          <w:right w:w="0" w:type="dxa"/>
        </w:tblCellMar>
      </w:tblPr>
      <w:tr>
        <w:trPr>
          <w:trHeight w:val="282"/>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5"/>
              </w:rPr>
              <w:t>5.2.3.2</w:t>
            </w: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31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8"/>
        </w:trPr>
        <w:tc>
          <w:tcPr>
            <w:tcW w:w="1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r>
      <w:tr>
        <w:trPr>
          <w:trHeight w:val="263"/>
        </w:trPr>
        <w:tc>
          <w:tcPr>
            <w:tcW w:w="120" w:type="dxa"/>
            <w:vAlign w:val="bottom"/>
            <w:tcBorders>
              <w:right w:val="single" w:sz="8" w:color="auto"/>
            </w:tcBorders>
          </w:tcPr>
          <w:p>
            <w:pPr>
              <w:spacing w:after="0"/>
              <w:rPr>
                <w:sz w:val="22"/>
                <w:szCs w:val="22"/>
                <w:color w:val="auto"/>
              </w:rPr>
            </w:pP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tcBorders>
          </w:tcPr>
          <w:p>
            <w:pPr>
              <w:spacing w:after="0"/>
              <w:rPr>
                <w:sz w:val="22"/>
                <w:szCs w:val="22"/>
                <w:color w:val="auto"/>
              </w:rPr>
            </w:pPr>
          </w:p>
        </w:tc>
        <w:tc>
          <w:tcPr>
            <w:tcW w:w="318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jc w:val="right"/>
              <w:ind w:right="1792"/>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120" w:type="dxa"/>
            <w:vAlign w:val="bottom"/>
            <w:tcBorders>
              <w:right w:val="single" w:sz="8" w:color="auto"/>
            </w:tcBorders>
          </w:tcPr>
          <w:p>
            <w:pPr>
              <w:spacing w:after="0"/>
              <w:rPr>
                <w:sz w:val="22"/>
                <w:szCs w:val="22"/>
                <w:color w:val="auto"/>
              </w:rPr>
            </w:pP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right w:val="single" w:sz="8" w:color="auto"/>
            </w:tcBorders>
          </w:tcPr>
          <w:p>
            <w:pPr>
              <w:jc w:val="right"/>
              <w:ind w:right="2672"/>
              <w:spacing w:after="0"/>
              <w:rPr>
                <w:sz w:val="20"/>
                <w:szCs w:val="20"/>
                <w:color w:val="auto"/>
              </w:rPr>
            </w:pPr>
            <w:r>
              <w:rPr>
                <w:rFonts w:ascii="Times New Roman" w:cs="Times New Roman" w:eastAsia="Times New Roman" w:hAnsi="Times New Roman"/>
                <w:sz w:val="22"/>
                <w:szCs w:val="22"/>
                <w:color w:val="auto"/>
              </w:rPr>
              <w:t>***</w:t>
            </w:r>
          </w:p>
        </w:tc>
        <w:tc>
          <w:tcPr>
            <w:tcW w:w="2300" w:type="dxa"/>
            <w:vAlign w:val="bottom"/>
            <w:tcBorders>
              <w:bottom w:val="single" w:sz="8" w:color="auto"/>
              <w:right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600"/>
        <w:spacing w:after="0" w:line="282" w:lineRule="auto"/>
        <w:rPr>
          <w:sz w:val="20"/>
          <w:szCs w:val="20"/>
          <w:color w:val="auto"/>
        </w:rPr>
      </w:pPr>
      <w:r>
        <w:rPr>
          <w:rFonts w:ascii="Times New Roman" w:cs="Times New Roman" w:eastAsia="Times New Roman" w:hAnsi="Times New Roman"/>
          <w:sz w:val="18"/>
          <w:szCs w:val="18"/>
          <w:color w:val="auto"/>
        </w:rPr>
        <w:t>CT1706024 – Amended and Restated A350-900 Purchase Agreement – Execution Version A&amp;R LA2-2 AIRBUS S.A.S. &amp; UNITED AIRLINES, INC. – PROPRIETARY AND CONFIDENTIAL</w:t>
      </w:r>
    </w:p>
    <w:p>
      <w:pPr>
        <w:sectPr>
          <w:pgSz w:w="11900" w:h="16838" w:orient="portrait"/>
          <w:cols w:equalWidth="0" w:num="1">
            <w:col w:w="11220"/>
          </w:cols>
          <w:pgMar w:left="320" w:top="1440" w:right="359" w:bottom="1440" w:gutter="0" w:footer="0" w:header="0"/>
        </w:sectPr>
      </w:pPr>
    </w:p>
    <w:bookmarkStart w:id="43" w:name="page44"/>
    <w:bookmarkEnd w:id="43"/>
    <w:p>
      <w:pPr>
        <w:spacing w:after="0" w:line="246" w:lineRule="exact"/>
        <w:rPr>
          <w:sz w:val="20"/>
          <w:szCs w:val="20"/>
          <w:color w:val="auto"/>
        </w:rPr>
      </w:pPr>
    </w:p>
    <w:tbl>
      <w:tblPr>
        <w:tblLayout w:type="fixed"/>
        <w:tblInd w:w="980" w:type="dxa"/>
        <w:tblCellMar>
          <w:top w:w="0" w:type="dxa"/>
          <w:left w:w="0" w:type="dxa"/>
          <w:bottom w:w="0" w:type="dxa"/>
          <w:right w:w="0" w:type="dxa"/>
        </w:tblCellMar>
      </w:tblPr>
      <w:tr>
        <w:trPr>
          <w:trHeight w:val="284"/>
        </w:trPr>
        <w:tc>
          <w:tcPr>
            <w:tcW w:w="120" w:type="dxa"/>
            <w:vAlign w:val="bottom"/>
            <w:tcBorders>
              <w:right w:val="single" w:sz="8" w:color="auto"/>
            </w:tcBorders>
          </w:tcPr>
          <w:p>
            <w:pPr>
              <w:spacing w:after="0"/>
              <w:rPr>
                <w:sz w:val="24"/>
                <w:szCs w:val="24"/>
                <w:color w:val="auto"/>
              </w:rPr>
            </w:pPr>
          </w:p>
        </w:tc>
        <w:tc>
          <w:tcPr>
            <w:tcW w:w="25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 DELIVERY</w:t>
            </w:r>
          </w:p>
        </w:tc>
        <w:tc>
          <w:tcPr>
            <w:tcW w:w="2200" w:type="dxa"/>
            <w:vAlign w:val="bottom"/>
            <w:tcBorders>
              <w:top w:val="single" w:sz="8" w:color="auto"/>
              <w:bottom w:val="single" w:sz="8" w:color="auto"/>
              <w:right w:val="single" w:sz="8" w:color="auto"/>
            </w:tcBorders>
          </w:tcPr>
          <w:p>
            <w:pPr>
              <w:spacing w:after="0"/>
              <w:rPr>
                <w:sz w:val="24"/>
                <w:szCs w:val="24"/>
                <w:color w:val="auto"/>
              </w:rPr>
            </w:pPr>
          </w:p>
        </w:tc>
        <w:tc>
          <w:tcPr>
            <w:tcW w:w="2300" w:type="dxa"/>
            <w:vAlign w:val="bottom"/>
            <w:tcBorders>
              <w:top w:val="single" w:sz="8" w:color="auto"/>
              <w:bottom w:val="single" w:sz="8" w:color="auto"/>
              <w:right w:val="single" w:sz="8" w:color="auto"/>
            </w:tcBorders>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spacing w:after="0"/>
              <w:rPr>
                <w:sz w:val="24"/>
                <w:szCs w:val="24"/>
                <w:color w:val="auto"/>
              </w:rPr>
            </w:pPr>
          </w:p>
        </w:tc>
      </w:tr>
      <w:tr>
        <w:trPr>
          <w:trHeight w:val="505"/>
        </w:trPr>
        <w:tc>
          <w:tcPr>
            <w:tcW w:w="26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5.2.3.3  For *** Aircraft:</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8"/>
        </w:trPr>
        <w:tc>
          <w:tcPr>
            <w:tcW w:w="1100" w:type="dxa"/>
            <w:vAlign w:val="bottom"/>
            <w:gridSpan w:val="2"/>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bottom w:val="single" w:sz="8" w:color="auto"/>
              <w:right w:val="single" w:sz="8" w:color="auto"/>
            </w:tcBorders>
          </w:tcPr>
          <w:p>
            <w:pPr>
              <w:spacing w:after="0"/>
              <w:rPr>
                <w:sz w:val="22"/>
                <w:szCs w:val="22"/>
                <w:color w:val="auto"/>
              </w:rPr>
            </w:pPr>
          </w:p>
        </w:tc>
      </w:tr>
      <w:tr>
        <w:trPr>
          <w:trHeight w:val="264"/>
        </w:trPr>
        <w:tc>
          <w:tcPr>
            <w:tcW w:w="1100" w:type="dxa"/>
            <w:vAlign w:val="bottom"/>
            <w:tcBorders>
              <w:right w:val="single" w:sz="8" w:color="auto"/>
            </w:tcBorders>
            <w:gridSpan w:val="2"/>
          </w:tcPr>
          <w:p>
            <w:pPr>
              <w:spacing w:after="0"/>
              <w:rPr>
                <w:sz w:val="22"/>
                <w:szCs w:val="22"/>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bottom w:val="single" w:sz="8" w:color="auto"/>
            </w:tcBorders>
          </w:tcPr>
          <w:p>
            <w:pPr>
              <w:jc w:val="right"/>
              <w:ind w:right="169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20" w:type="dxa"/>
            <w:vAlign w:val="bottom"/>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w w:val="98"/>
              </w:rPr>
              <w:t>*** DELIVERY</w:t>
            </w:r>
          </w:p>
        </w:tc>
        <w:tc>
          <w:tcPr>
            <w:tcW w:w="220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22"/>
                <w:szCs w:val="22"/>
                <w:color w:val="auto"/>
              </w:rPr>
              <w:t>***</w:t>
            </w:r>
          </w:p>
        </w:tc>
      </w:tr>
    </w:tbl>
    <w:p>
      <w:pPr>
        <w:spacing w:after="0" w:line="3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Notwithstanding the above, it is agreed that with respect to Aircraft ***.</w:t>
      </w:r>
    </w:p>
    <w:p>
      <w:pPr>
        <w:spacing w:after="0" w:line="24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5.2.4</w:t>
        <w:tab/>
        <w:t>***</w:t>
      </w:r>
    </w:p>
    <w:p>
      <w:pPr>
        <w:spacing w:after="0" w:line="24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5.2.5</w:t>
        <w:tab/>
        <w:t>***</w:t>
      </w:r>
    </w:p>
    <w:p>
      <w:pPr>
        <w:spacing w:after="0" w:line="260"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u w:val="single" w:color="auto"/>
          <w:color w:val="auto"/>
        </w:rPr>
        <w:t>***</w:t>
      </w:r>
    </w:p>
    <w:p>
      <w:pPr>
        <w:spacing w:after="0" w:line="2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u w:val="single" w:color="auto"/>
          <w:color w:val="auto"/>
        </w:rPr>
        <w:t>***</w:t>
      </w:r>
    </w:p>
    <w:p>
      <w:pPr>
        <w:spacing w:after="0" w:line="24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5.4.1</w:t>
        <w:tab/>
        <w:t>***</w:t>
      </w:r>
    </w:p>
    <w:p>
      <w:pPr>
        <w:spacing w:after="0" w:line="247"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Payment of Balance of the Final Price of the Aircraft</w:t>
      </w:r>
    </w:p>
    <w:p>
      <w:pPr>
        <w:spacing w:after="0" w:line="2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24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5.6.1</w:t>
        <w:tab/>
        <w:t>***</w:t>
      </w:r>
    </w:p>
    <w:p>
      <w:pPr>
        <w:spacing w:after="0" w:line="24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5.6.2</w:t>
        <w:tab/>
        <w:t>***</w:t>
      </w:r>
    </w:p>
    <w:p>
      <w:pPr>
        <w:spacing w:after="0" w:line="24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5.6.3</w:t>
        <w:tab/>
        <w:t>***</w:t>
      </w:r>
    </w:p>
    <w:p>
      <w:pPr>
        <w:spacing w:after="0" w:line="24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5.6.4</w:t>
        <w:tab/>
        <w:t>***</w:t>
      </w:r>
    </w:p>
    <w:p>
      <w:pPr>
        <w:spacing w:after="0" w:line="256" w:lineRule="exact"/>
        <w:rPr>
          <w:sz w:val="20"/>
          <w:szCs w:val="20"/>
          <w:color w:val="auto"/>
        </w:rPr>
      </w:pPr>
    </w:p>
    <w:p>
      <w:pPr>
        <w:jc w:val="both"/>
        <w:ind w:left="1960" w:hanging="72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any present or future tax, stamp or other taxes, levies, imposts, duties, charges, fees, deductions or withholdings, now or hereafter imposed, levied, collected, withheld or assessed by any governmental authority or any political subdivision or taxing authority thereof or therein.</w:t>
      </w:r>
    </w:p>
    <w:p>
      <w:pPr>
        <w:spacing w:after="0" w:line="197"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Application of Payments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620"/>
        <w:spacing w:after="0" w:line="282" w:lineRule="auto"/>
        <w:rPr>
          <w:sz w:val="20"/>
          <w:szCs w:val="20"/>
          <w:color w:val="auto"/>
        </w:rPr>
      </w:pPr>
      <w:r>
        <w:rPr>
          <w:rFonts w:ascii="Times New Roman" w:cs="Times New Roman" w:eastAsia="Times New Roman" w:hAnsi="Times New Roman"/>
          <w:sz w:val="18"/>
          <w:szCs w:val="18"/>
          <w:color w:val="auto"/>
        </w:rPr>
        <w:t>CT1706024 – Amended and Restated A350-900 Purchase Agreement – Execution Version A&amp;R LA2-3 AIRBUS S.A.S. &amp; UNITED AIRLINES, INC. – PROPRIETARY AND CONFIDENTIAL</w:t>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225" w:lineRule="exact"/>
        <w:rPr>
          <w:sz w:val="20"/>
          <w:szCs w:val="20"/>
          <w:color w:val="auto"/>
        </w:rPr>
      </w:pPr>
    </w:p>
    <w:p>
      <w:pPr>
        <w:jc w:val="both"/>
        <w:ind w:left="1960" w:hanging="701"/>
        <w:spacing w:after="0" w:line="256" w:lineRule="auto"/>
        <w:rPr>
          <w:sz w:val="20"/>
          <w:szCs w:val="20"/>
          <w:color w:val="auto"/>
        </w:rPr>
      </w:pPr>
      <w:r>
        <w:rPr>
          <w:rFonts w:ascii="Times New Roman" w:cs="Times New Roman" w:eastAsia="Times New Roman" w:hAnsi="Times New Roman"/>
          <w:sz w:val="22"/>
          <w:szCs w:val="22"/>
          <w:color w:val="auto"/>
        </w:rPr>
        <w:t>Notwithstanding any other rights the Seller may have at contract or at law, the Buyer and the Seller hereby agree that should any amount (whether under this Agreement or under any other agreement between the Buyer or a direct or indirect subsidiary of the Buyer on the one hand and the Seller or any of the Seller’s Affiliates on the other hand) become due and payable by the Buyer or an Affiliate of the Buyer, ***.</w:t>
      </w:r>
    </w:p>
    <w:p>
      <w:pPr>
        <w:spacing w:after="0" w:line="20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2"/>
          <w:szCs w:val="22"/>
          <w:u w:val="single" w:color="auto"/>
          <w:color w:val="auto"/>
        </w:rPr>
        <w:t>***</w:t>
      </w:r>
    </w:p>
    <w:p>
      <w:pPr>
        <w:spacing w:after="0" w:line="2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1"/>
          <w:szCs w:val="21"/>
          <w:u w:val="single" w:color="auto"/>
          <w:color w:val="auto"/>
        </w:rPr>
        <w:t>Overdue ***</w:t>
      </w:r>
    </w:p>
    <w:p>
      <w:pPr>
        <w:spacing w:after="0" w:line="260" w:lineRule="exact"/>
        <w:rPr>
          <w:sz w:val="20"/>
          <w:szCs w:val="20"/>
          <w:color w:val="auto"/>
        </w:rPr>
      </w:pPr>
    </w:p>
    <w:p>
      <w:pPr>
        <w:jc w:val="both"/>
        <w:ind w:left="1960" w:hanging="751"/>
        <w:spacing w:after="0" w:line="252" w:lineRule="auto"/>
        <w:rPr>
          <w:sz w:val="20"/>
          <w:szCs w:val="20"/>
          <w:color w:val="auto"/>
        </w:rPr>
      </w:pPr>
      <w:r>
        <w:rPr>
          <w:rFonts w:ascii="Times New Roman" w:cs="Times New Roman" w:eastAsia="Times New Roman" w:hAnsi="Times New Roman"/>
          <w:sz w:val="22"/>
          <w:szCs w:val="22"/>
          <w:color w:val="auto"/>
        </w:rPr>
        <w:t>If any *** due to the Seller is not received by the Seller on the date or dates agreed upon between the Buyer and the Seller, the Seller will have the right to claim from the Buyer and the Buyer will promptly pay to the Seller upon receipt of such claim, interest at the rate of ***. The Seller's right to receive such interest will be in addition to any other rights of the Seller hereunder or at law. ***.</w:t>
      </w:r>
    </w:p>
    <w:p>
      <w:pPr>
        <w:spacing w:after="0" w:line="206"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5.10</w:t>
      </w:r>
      <w:r>
        <w:rPr>
          <w:sz w:val="20"/>
          <w:szCs w:val="20"/>
          <w:color w:val="auto"/>
        </w:rPr>
        <w:tab/>
      </w:r>
      <w:r>
        <w:rPr>
          <w:rFonts w:ascii="Times New Roman" w:cs="Times New Roman" w:eastAsia="Times New Roman" w:hAnsi="Times New Roman"/>
          <w:sz w:val="21"/>
          <w:szCs w:val="21"/>
          <w:u w:val="single" w:color="auto"/>
          <w:color w:val="auto"/>
        </w:rPr>
        <w:t>Proprietary Interest</w:t>
      </w:r>
    </w:p>
    <w:p>
      <w:pPr>
        <w:spacing w:after="0" w:line="247" w:lineRule="exact"/>
        <w:rPr>
          <w:sz w:val="20"/>
          <w:szCs w:val="20"/>
          <w:color w:val="auto"/>
        </w:rPr>
      </w:pPr>
    </w:p>
    <w:p>
      <w:pPr>
        <w:jc w:val="both"/>
        <w:ind w:left="1960" w:hanging="686"/>
        <w:spacing w:after="0" w:line="253" w:lineRule="auto"/>
        <w:rPr>
          <w:sz w:val="20"/>
          <w:szCs w:val="20"/>
          <w:color w:val="auto"/>
        </w:rPr>
      </w:pPr>
      <w:r>
        <w:rPr>
          <w:rFonts w:ascii="Times New Roman" w:cs="Times New Roman" w:eastAsia="Times New Roman" w:hAnsi="Times New Roman"/>
          <w:sz w:val="22"/>
          <w:szCs w:val="22"/>
          <w:color w:val="auto"/>
        </w:rPr>
        <w:t>Notwithstanding any provision of law to the contrary, the Buyer will not, by virtue of anything contained in this Agreement (including, without limitation, any *** or *** hereunder, or any designation or identification by the Seller of a particular aircraft as an Aircraft to which any of the provisions of this Agreement refers) acquire any proprietary, insurable or other interest whatsoever in any Aircraft before Delivery of and payment for such Aircraft, as provided in this Agreement.</w:t>
      </w:r>
    </w:p>
    <w:p>
      <w:pPr>
        <w:spacing w:after="0" w:line="206" w:lineRule="exact"/>
        <w:rPr>
          <w:sz w:val="20"/>
          <w:szCs w:val="20"/>
          <w:color w:val="auto"/>
        </w:rPr>
      </w:pPr>
    </w:p>
    <w:p>
      <w:pPr>
        <w:ind w:left="980"/>
        <w:spacing w:after="0"/>
        <w:tabs>
          <w:tab w:leader="none" w:pos="1540" w:val="left"/>
        </w:tabs>
        <w:rPr>
          <w:sz w:val="20"/>
          <w:szCs w:val="20"/>
          <w:color w:val="auto"/>
        </w:rPr>
      </w:pPr>
      <w:r>
        <w:rPr>
          <w:rFonts w:ascii="Times New Roman" w:cs="Times New Roman" w:eastAsia="Times New Roman" w:hAnsi="Times New Roman"/>
          <w:sz w:val="22"/>
          <w:szCs w:val="22"/>
          <w:color w:val="auto"/>
        </w:rPr>
        <w:t>5.11</w:t>
      </w:r>
      <w:r>
        <w:rPr>
          <w:sz w:val="20"/>
          <w:szCs w:val="20"/>
          <w:color w:val="auto"/>
        </w:rPr>
        <w:tab/>
      </w:r>
      <w:r>
        <w:rPr>
          <w:rFonts w:ascii="Times New Roman" w:cs="Times New Roman" w:eastAsia="Times New Roman" w:hAnsi="Times New Roman"/>
          <w:sz w:val="21"/>
          <w:szCs w:val="21"/>
          <w:u w:val="single" w:color="auto"/>
          <w:color w:val="auto"/>
        </w:rPr>
        <w:t>Payment in Full</w:t>
      </w:r>
    </w:p>
    <w:p>
      <w:pPr>
        <w:spacing w:after="0" w:line="2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5.12</w:t>
      </w:r>
      <w:r>
        <w:rPr>
          <w:sz w:val="20"/>
          <w:szCs w:val="20"/>
          <w:color w:val="auto"/>
        </w:rPr>
        <w:tab/>
      </w:r>
      <w:r>
        <w:rPr>
          <w:rFonts w:ascii="Times New Roman" w:cs="Times New Roman" w:eastAsia="Times New Roman" w:hAnsi="Times New Roman"/>
          <w:sz w:val="21"/>
          <w:szCs w:val="21"/>
          <w:u w:val="single" w:color="auto"/>
          <w:color w:val="auto"/>
        </w:rPr>
        <w:t>Other Charges</w:t>
      </w:r>
    </w:p>
    <w:p>
      <w:pPr>
        <w:spacing w:after="0" w:line="2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UNQUOTE</w:t>
      </w:r>
    </w:p>
    <w:p>
      <w:pPr>
        <w:spacing w:after="0" w:line="24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p>
    <w:p>
      <w:pPr>
        <w:spacing w:after="0" w:line="260" w:lineRule="exact"/>
        <w:rPr>
          <w:sz w:val="20"/>
          <w:szCs w:val="20"/>
          <w:color w:val="auto"/>
        </w:rPr>
      </w:pPr>
    </w:p>
    <w:p>
      <w:pPr>
        <w:ind w:left="980" w:hanging="638"/>
        <w:spacing w:after="0" w:line="271" w:lineRule="auto"/>
        <w:rPr>
          <w:sz w:val="20"/>
          <w:szCs w:val="20"/>
          <w:color w:val="auto"/>
        </w:rPr>
      </w:pPr>
      <w:r>
        <w:rPr>
          <w:rFonts w:ascii="Times New Roman" w:cs="Times New Roman" w:eastAsia="Times New Roman" w:hAnsi="Times New Roman"/>
          <w:sz w:val="22"/>
          <w:szCs w:val="22"/>
          <w:color w:val="auto"/>
        </w:rPr>
        <w:t>This Letter Agreement and the rights and obligations of the parties will be subject to the provisions of Clause 21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620"/>
        <w:spacing w:after="0" w:line="282" w:lineRule="auto"/>
        <w:rPr>
          <w:sz w:val="20"/>
          <w:szCs w:val="20"/>
          <w:color w:val="auto"/>
        </w:rPr>
      </w:pPr>
      <w:r>
        <w:rPr>
          <w:rFonts w:ascii="Times New Roman" w:cs="Times New Roman" w:eastAsia="Times New Roman" w:hAnsi="Times New Roman"/>
          <w:sz w:val="18"/>
          <w:szCs w:val="18"/>
          <w:color w:val="auto"/>
        </w:rPr>
        <w:t>CT1706024 – Amended and Restated A350-900 Purchase Agreement – Execution Version A&amp;R LA2-4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68"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This Letter Agreement is subject to the terms and conditions of Clause 22.10 of the Agreement.</w:t>
      </w:r>
    </w:p>
    <w:p>
      <w:pPr>
        <w:spacing w:after="0" w:line="260"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47" w:lineRule="exact"/>
        <w:rPr>
          <w:sz w:val="20"/>
          <w:szCs w:val="20"/>
          <w:color w:val="auto"/>
        </w:rPr>
      </w:pPr>
    </w:p>
    <w:p>
      <w:pPr>
        <w:jc w:val="center"/>
        <w:ind w:left="600"/>
        <w:spacing w:after="0" w:line="271" w:lineRule="auto"/>
        <w:rPr>
          <w:sz w:val="20"/>
          <w:szCs w:val="20"/>
          <w:color w:val="auto"/>
        </w:rPr>
      </w:pPr>
      <w:r>
        <w:rPr>
          <w:rFonts w:ascii="Times New Roman" w:cs="Times New Roman" w:eastAsia="Times New Roman" w:hAnsi="Times New Roman"/>
          <w:sz w:val="22"/>
          <w:szCs w:val="22"/>
          <w:color w:val="auto"/>
        </w:rPr>
        <w:t>This Letter Agreement may be executed by the parties hereto in separate counterparts, each of which when so executed and delivered will be an original, but all such counterparts will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620"/>
        <w:spacing w:after="0" w:line="282" w:lineRule="auto"/>
        <w:rPr>
          <w:sz w:val="20"/>
          <w:szCs w:val="20"/>
          <w:color w:val="auto"/>
        </w:rPr>
      </w:pPr>
      <w:r>
        <w:rPr>
          <w:rFonts w:ascii="Times New Roman" w:cs="Times New Roman" w:eastAsia="Times New Roman" w:hAnsi="Times New Roman"/>
          <w:sz w:val="18"/>
          <w:szCs w:val="18"/>
          <w:color w:val="auto"/>
        </w:rPr>
        <w:t>CT1706024 – Amended and Restated A350-900 Purchase Agreement – Execution Version A&amp;R LA2-5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the foregoing correctly sets forth your understanding, please execute the original and one (1) copy hereof in the space provided below and return a copy to the Seller.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AIRBUS S.A.S.</w:t>
      </w:r>
    </w:p>
    <w:p>
      <w:pPr>
        <w:spacing w:after="0" w:line="200" w:lineRule="exact"/>
        <w:rPr>
          <w:sz w:val="20"/>
          <w:szCs w:val="20"/>
          <w:color w:val="auto"/>
        </w:rPr>
      </w:pPr>
    </w:p>
    <w:p>
      <w:pPr>
        <w:spacing w:after="0" w:line="290" w:lineRule="exact"/>
        <w:rPr>
          <w:sz w:val="20"/>
          <w:szCs w:val="20"/>
          <w:color w:val="auto"/>
        </w:rPr>
      </w:pPr>
    </w:p>
    <w:p>
      <w:pPr>
        <w:ind w:left="552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Paul Meijers</w:t>
      </w:r>
    </w:p>
    <w:p>
      <w:pPr>
        <w:spacing w:after="0" w:line="247" w:lineRule="exact"/>
        <w:rPr>
          <w:sz w:val="20"/>
          <w:szCs w:val="20"/>
          <w:color w:val="auto"/>
        </w:rPr>
      </w:pPr>
    </w:p>
    <w:p>
      <w:pPr>
        <w:jc w:val="center"/>
        <w:ind w:left="2440"/>
        <w:spacing w:after="0"/>
        <w:tabs>
          <w:tab w:leader="none" w:pos="1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28"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22"/>
          <w:szCs w:val="22"/>
          <w:color w:val="auto"/>
        </w:rPr>
        <w:t>Commercial Transactions</w:t>
      </w:r>
    </w:p>
    <w:p>
      <w:pPr>
        <w:spacing w:after="0" w:line="200" w:lineRule="exact"/>
        <w:rPr>
          <w:sz w:val="20"/>
          <w:szCs w:val="20"/>
          <w:color w:val="auto"/>
        </w:rPr>
      </w:pP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00" w:lineRule="exact"/>
        <w:rPr>
          <w:sz w:val="20"/>
          <w:szCs w:val="20"/>
          <w:color w:val="auto"/>
        </w:rPr>
      </w:pPr>
    </w:p>
    <w:p>
      <w:pPr>
        <w:spacing w:after="0" w:line="2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00" w:lineRule="exact"/>
        <w:rPr>
          <w:sz w:val="20"/>
          <w:szCs w:val="20"/>
          <w:color w:val="auto"/>
        </w:rPr>
      </w:pPr>
    </w:p>
    <w:p>
      <w:pPr>
        <w:spacing w:after="0" w:line="290"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John Gebo</w:t>
      </w:r>
    </w:p>
    <w:p>
      <w:pPr>
        <w:spacing w:after="0" w:line="247"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SVP Treasury, Fleet &amp; Fuel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40"/>
        <w:spacing w:after="0" w:line="282" w:lineRule="auto"/>
        <w:rPr>
          <w:sz w:val="20"/>
          <w:szCs w:val="20"/>
          <w:color w:val="auto"/>
        </w:rPr>
      </w:pPr>
      <w:r>
        <w:rPr>
          <w:rFonts w:ascii="Times New Roman" w:cs="Times New Roman" w:eastAsia="Times New Roman" w:hAnsi="Times New Roman"/>
          <w:sz w:val="18"/>
          <w:szCs w:val="18"/>
          <w:color w:val="auto"/>
        </w:rPr>
        <w:t>CT1706024 – Amended and Restated A350-900 Purchase Agreement – Execution Version LA2-6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 AGREEMENT NO. 14</w:t>
      </w:r>
    </w:p>
    <w:p>
      <w:pPr>
        <w:spacing w:after="0" w:line="23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TO THE AMENDED AND RESTATED</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A350-900 PURCHASE AGREEMENT</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 of June 30,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AIRCRAFT ORDER MATTERS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Ladies and Gentlemen,</w:t>
      </w:r>
    </w:p>
    <w:p>
      <w:pPr>
        <w:spacing w:after="0" w:line="2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UNITED AIRLINES, INC. (the “</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and AIRBUS S.A.S. (the “</w:t>
      </w: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 have entered into an Amended and Restated A350-900 Purchase Agreement dated as of September 1, 2017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which covers, among other things, the sale by the Seller and the purchase by the Buyer of certain Aircraft, under the terms and conditions set forth in said Agreement. The Buyer and the Seller have agreed to set forth in this Amended and Restated Letter Agreement No. 14 (this “</w:t>
      </w:r>
      <w:r>
        <w:rPr>
          <w:rFonts w:ascii="Times New Roman" w:cs="Times New Roman" w:eastAsia="Times New Roman" w:hAnsi="Times New Roman"/>
          <w:sz w:val="21"/>
          <w:szCs w:val="21"/>
          <w:b w:val="1"/>
          <w:bCs w:val="1"/>
          <w:color w:val="auto"/>
        </w:rPr>
        <w:t>Letter Agreement</w:t>
      </w:r>
      <w:r>
        <w:rPr>
          <w:rFonts w:ascii="Times New Roman" w:cs="Times New Roman" w:eastAsia="Times New Roman" w:hAnsi="Times New Roman"/>
          <w:sz w:val="21"/>
          <w:szCs w:val="21"/>
          <w:color w:val="auto"/>
        </w:rPr>
        <w:t>”) certain additional terms and conditions regarding the sale of the Aircraft. Amended and Restated Letter Agreement No. 14 dated as of March 31, 2025 to the Agreement is hereby amended and restated in its entirety to read as set forth herein. Capitalized terms used herein and not otherwise defined in this Letter Agreement will have the meanings assigned thereto in the Agreement. The terms “herein,” “hereof” and “hereunder” and words of similar import refer to this Letter Agreement.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30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Execution Version A&amp;R LA14-1 AIRBUS S.A.S. &amp; UNITED AIRLINES, INC. – PROPRIETARY AND CONFIDENTIAL</w:t>
      </w:r>
    </w:p>
    <w:p>
      <w:pPr>
        <w:sectPr>
          <w:pgSz w:w="11900" w:h="16838" w:orient="portrait"/>
          <w:cols w:equalWidth="0" w:num="1">
            <w:col w:w="11240"/>
          </w:cols>
          <w:pgMar w:left="320" w:top="1440" w:right="339" w:bottom="1440" w:gutter="0" w:footer="0" w:header="0"/>
        </w:sectPr>
      </w:pPr>
    </w:p>
    <w:bookmarkStart w:id="48" w:name="page49"/>
    <w:bookmarkEnd w:id="48"/>
    <w:p>
      <w:pPr>
        <w:ind w:left="660" w:hanging="652"/>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02" w:lineRule="exact"/>
        <w:rPr>
          <w:sz w:val="20"/>
          <w:szCs w:val="20"/>
          <w:color w:val="auto"/>
        </w:rPr>
      </w:pPr>
    </w:p>
    <w:p>
      <w:pPr>
        <w:ind w:left="660" w:right="2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The Seller offers the Buyer the *** certain Aircraft under the Agreement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subject to the following terms and conditions:</w:t>
      </w:r>
    </w:p>
    <w:p>
      <w:pPr>
        <w:spacing w:after="0" w:line="204" w:lineRule="exact"/>
        <w:rPr>
          <w:sz w:val="20"/>
          <w:szCs w:val="20"/>
          <w:color w:val="auto"/>
        </w:rPr>
      </w:pPr>
    </w:p>
    <w:p>
      <w:pPr>
        <w:ind w:left="1300" w:hanging="644"/>
        <w:spacing w:after="0" w:line="271" w:lineRule="auto"/>
        <w:tabs>
          <w:tab w:leader="none" w:pos="128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is only granted to the Buyer for *** of the following Aircraft which are included in the Buyer’s *** order of *** Aircraft, as follows (each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62" w:lineRule="exact"/>
        <w:rPr>
          <w:sz w:val="20"/>
          <w:szCs w:val="20"/>
          <w:color w:val="auto"/>
        </w:rPr>
      </w:pPr>
    </w:p>
    <w:tbl>
      <w:tblPr>
        <w:tblLayout w:type="fixed"/>
        <w:tblInd w:w="1320" w:type="dxa"/>
        <w:tblCellMar>
          <w:top w:w="0" w:type="dxa"/>
          <w:left w:w="0" w:type="dxa"/>
          <w:bottom w:w="0" w:type="dxa"/>
          <w:right w:w="0" w:type="dxa"/>
        </w:tblCellMar>
      </w:tblPr>
      <w:tr>
        <w:trPr>
          <w:trHeight w:val="253"/>
        </w:trPr>
        <w:tc>
          <w:tcPr>
            <w:tcW w:w="32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Aircraft number  Aircraft type</w:t>
            </w:r>
          </w:p>
        </w:tc>
        <w:tc>
          <w:tcPr>
            <w:tcW w:w="160" w:type="dxa"/>
            <w:vAlign w:val="bottom"/>
          </w:tcPr>
          <w:p>
            <w:pPr>
              <w:spacing w:after="0"/>
              <w:rPr>
                <w:sz w:val="22"/>
                <w:szCs w:val="22"/>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w w:val="97"/>
              </w:rPr>
              <w:t>Scheduled Delivery</w:t>
            </w:r>
          </w:p>
        </w:tc>
      </w:tr>
      <w:tr>
        <w:trPr>
          <w:trHeight w:val="250"/>
        </w:trPr>
        <w:tc>
          <w:tcPr>
            <w:tcW w:w="8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2"/>
          </w:tcPr>
          <w:p>
            <w:pPr>
              <w:jc w:val="right"/>
              <w:ind w:right="80"/>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2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506"/>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w:t>
            </w:r>
          </w:p>
        </w:tc>
      </w:tr>
      <w:tr>
        <w:trPr>
          <w:trHeight w:val="256"/>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 w:type="dxa"/>
            <w:vAlign w:val="bottom"/>
          </w:tcPr>
          <w:p>
            <w:pPr>
              <w:spacing w:after="0"/>
              <w:rPr>
                <w:sz w:val="23"/>
                <w:szCs w:val="23"/>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 w:type="dxa"/>
            <w:vAlign w:val="bottom"/>
          </w:tcPr>
          <w:p>
            <w:pPr>
              <w:spacing w:after="0"/>
              <w:rPr>
                <w:sz w:val="22"/>
                <w:szCs w:val="22"/>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r>
      <w:tr>
        <w:trPr>
          <w:trHeight w:val="256"/>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 w:type="dxa"/>
            <w:vAlign w:val="bottom"/>
          </w:tcPr>
          <w:p>
            <w:pPr>
              <w:spacing w:after="0"/>
              <w:rPr>
                <w:sz w:val="22"/>
                <w:szCs w:val="22"/>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w:t>
            </w:r>
          </w:p>
        </w:tc>
        <w:tc>
          <w:tcPr>
            <w:tcW w:w="200" w:type="dxa"/>
            <w:vAlign w:val="bottom"/>
          </w:tcPr>
          <w:p>
            <w:pPr>
              <w:spacing w:after="0"/>
              <w:rPr>
                <w:sz w:val="24"/>
                <w:szCs w:val="2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A350-900 Aircraft</w:t>
            </w:r>
          </w:p>
        </w:tc>
        <w:tc>
          <w:tcPr>
            <w:tcW w:w="18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hanging="644"/>
        <w:spacing w:after="0" w:line="275" w:lineRule="auto"/>
        <w:tabs>
          <w:tab w:leader="none" w:pos="12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will give the *** a one-time written notice of *** on a date falling between *** and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Such notice shall identify all of the *** with respect to which the Buyer ***.</w:t>
      </w:r>
    </w:p>
    <w:p>
      <w:pPr>
        <w:spacing w:after="0" w:line="176" w:lineRule="exact"/>
        <w:rPr>
          <w:rFonts w:ascii="Times New Roman" w:cs="Times New Roman" w:eastAsia="Times New Roman" w:hAnsi="Times New Roman"/>
          <w:sz w:val="22"/>
          <w:szCs w:val="22"/>
          <w:color w:val="auto"/>
        </w:rPr>
      </w:pPr>
    </w:p>
    <w:p>
      <w:pPr>
        <w:ind w:left="1300" w:hanging="644"/>
        <w:spacing w:after="0" w:line="299" w:lineRule="auto"/>
        <w:tabs>
          <w:tab w:leader="none" w:pos="130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 for which the (x) *** or (y) *** under the conditions set out in this Clause 1 shall be referred to as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and the order for such particular Aircraft will be deemed ***, and the terms of this Clause 1 hereof shall apply.</w:t>
      </w:r>
    </w:p>
    <w:p>
      <w:pPr>
        <w:spacing w:after="0" w:line="158" w:lineRule="exact"/>
        <w:rPr>
          <w:rFonts w:ascii="Times New Roman" w:cs="Times New Roman" w:eastAsia="Times New Roman" w:hAnsi="Times New Roman"/>
          <w:sz w:val="21"/>
          <w:szCs w:val="21"/>
          <w:color w:val="auto"/>
        </w:rPr>
      </w:pPr>
    </w:p>
    <w:p>
      <w:pPr>
        <w:ind w:left="1300" w:right="20" w:hanging="644"/>
        <w:spacing w:after="0" w:line="284"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 for which the Buyer has *** under the conditions set out in this Clause 1 shall remain an Aircraft under the Agreement, and the Buyer’s *** with respect to such Aircraft shall lapse.</w:t>
      </w:r>
    </w:p>
    <w:p>
      <w:pPr>
        <w:spacing w:after="0" w:line="170"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Buyer not *** its *** pursuant to this Clause, the Buyer’s *** will lapse with respect to all ***, and the Buyer and ***.</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 set out in this Clause 1.1, the Buyer grants the *** a *** to *** the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300" w:hanging="644"/>
        <w:spacing w:after="0" w:line="287" w:lineRule="auto"/>
        <w:tabs>
          <w:tab w:leader="none" w:pos="12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will give *** a one-time written notice of its desire *** on a date falling not later than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Such notice shall identify all of the *** with respect to which the *** wishes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30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Execution Version A&amp;R LA14-2 AIRBUS S.A.S. &amp; UNITED AIRLINES, INC. – PROPRIETARY AND CONFIDENTIAL</w:t>
      </w:r>
    </w:p>
    <w:p>
      <w:pPr>
        <w:sectPr>
          <w:pgSz w:w="11900" w:h="16838" w:orient="portrait"/>
          <w:cols w:equalWidth="0" w:num="1">
            <w:col w:w="11240"/>
          </w:cols>
          <w:pgMar w:left="320" w:top="1395" w:right="339" w:bottom="1440" w:gutter="0" w:footer="0" w:header="0"/>
        </w:sectPr>
      </w:pPr>
    </w:p>
    <w:bookmarkStart w:id="49" w:name="page50"/>
    <w:bookmarkEnd w:id="49"/>
    <w:p>
      <w:pPr>
        <w:jc w:val="both"/>
        <w:ind w:left="1300" w:right="20" w:hanging="644"/>
        <w:spacing w:after="0" w:line="234" w:lineRule="auto"/>
        <w:tabs>
          <w:tab w:leader="none" w:pos="1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Seller *** its *** pursuant to this Clause, the *** in respect of the *** shall be considered void and of no effect. The *** defined under Clause 1.1(i) a. to f. shall be understood to be revised by *** and the *** shall be reduced accordingly.</w:t>
      </w:r>
    </w:p>
    <w:p>
      <w:pPr>
        <w:spacing w:after="0" w:line="16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Seller not *** its Seller’s *** pursuant to this Clause, the Seller’s *** will lapse with respect to all</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Should the Buyer or the Seller *** the *** or the ***, respectively, with respect to ***, which shall in such case be</w:t>
      </w:r>
    </w:p>
    <w:p>
      <w:pPr>
        <w:ind w:left="660"/>
        <w:spacing w:after="0"/>
        <w:rPr>
          <w:sz w:val="20"/>
          <w:szCs w:val="20"/>
          <w:color w:val="auto"/>
        </w:rPr>
      </w:pPr>
      <w:r>
        <w:rPr>
          <w:rFonts w:ascii="Times New Roman" w:cs="Times New Roman" w:eastAsia="Times New Roman" w:hAnsi="Times New Roman"/>
          <w:sz w:val="22"/>
          <w:szCs w:val="22"/>
          <w:color w:val="auto"/>
        </w:rPr>
        <w:t>Aircraft ***, then:</w:t>
      </w:r>
    </w:p>
    <w:p>
      <w:pPr>
        <w:spacing w:after="0" w:line="196"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made by the Buyer with respect to such *** and shall apply such ***, without the ***. Upon *** of the</w:t>
      </w:r>
    </w:p>
    <w:p>
      <w:pPr>
        <w:spacing w:after="0" w:line="14"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 will *** under this Agreement with respect to any such ***, and</w:t>
      </w:r>
    </w:p>
    <w:p>
      <w:pPr>
        <w:spacing w:after="0" w:line="20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advanced under the *** of even date hereof at the *** (as such terms are defined in such ***) shall ***.</w:t>
      </w:r>
    </w:p>
    <w:p>
      <w:pPr>
        <w:spacing w:after="0" w:line="206" w:lineRule="exact"/>
        <w:rPr>
          <w:sz w:val="20"/>
          <w:szCs w:val="20"/>
          <w:color w:val="auto"/>
        </w:rPr>
      </w:pPr>
    </w:p>
    <w:p>
      <w:pPr>
        <w:jc w:val="right"/>
        <w:spacing w:after="0" w:line="216" w:lineRule="auto"/>
        <w:rPr>
          <w:sz w:val="20"/>
          <w:szCs w:val="20"/>
          <w:color w:val="auto"/>
        </w:rPr>
      </w:pPr>
      <w:r>
        <w:rPr>
          <w:rFonts w:ascii="Times New Roman" w:cs="Times New Roman" w:eastAsia="Times New Roman" w:hAnsi="Times New Roman"/>
          <w:sz w:val="22"/>
          <w:szCs w:val="22"/>
          <w:color w:val="auto"/>
        </w:rPr>
        <w:t>1.3    Should the Buyer or the Seller *** the ***, respectively, with respect to ***, then *** with respect to any such *** and shall apply *** scheduled under ***. Upon *** of the *** or *** will *** under this Agreement with respect to any such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For the avoidance of doubt, any *** for *** which have become *** shall not be used to *** of the Agreement.</w:t>
      </w:r>
    </w:p>
    <w:p>
      <w:pPr>
        <w:spacing w:after="0" w:line="182" w:lineRule="exact"/>
        <w:rPr>
          <w:sz w:val="20"/>
          <w:szCs w:val="20"/>
          <w:color w:val="auto"/>
        </w:rPr>
      </w:pPr>
    </w:p>
    <w:p>
      <w:pPr>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The exercise of the *** or *** shall not in any way be deemed *** of this Agreement or any other agreement involving Buyer or Seller. Nor shall such exercise *** in this Clause 1.</w:t>
      </w:r>
    </w:p>
    <w:p>
      <w:pPr>
        <w:spacing w:after="0" w:line="17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LEFT BLANK</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LEFT BLANK</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19" w:lineRule="exact"/>
        <w:rPr>
          <w:rFonts w:ascii="Times New Roman" w:cs="Times New Roman" w:eastAsia="Times New Roman" w:hAnsi="Times New Roman"/>
          <w:sz w:val="22"/>
          <w:szCs w:val="22"/>
          <w:color w:val="auto"/>
        </w:rPr>
      </w:pPr>
    </w:p>
    <w:p>
      <w:pPr>
        <w:jc w:val="both"/>
        <w:ind w:left="66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Buyer or the Seller *** the *** or the ***, respectively, with respect to any of the *** in accordance with this Letter Agreement, then all *** based on a fleet size of *** A350-900 Aircraft ***, in a methodologically consistent manner.</w:t>
      </w:r>
    </w:p>
    <w:p>
      <w:pPr>
        <w:spacing w:after="0" w:line="19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p>
    <w:p>
      <w:pPr>
        <w:spacing w:after="0" w:line="233"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and the rights and obligations of the parties will be subject to the provisions of Clause 21 of the Agreement.</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p>
    <w:p>
      <w:pPr>
        <w:spacing w:after="0" w:line="23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is subject to the terms and conditions of Clause 22.10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30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Execution Version A&amp;R LA14-3 AIRBUS S.A.S. &amp; UNITED AIRLINES, INC. – PROPRIETARY AND CONFIDENTIAL</w:t>
      </w:r>
    </w:p>
    <w:p>
      <w:pPr>
        <w:sectPr>
          <w:pgSz w:w="11900" w:h="16838" w:orient="portrait"/>
          <w:cols w:equalWidth="0" w:num="1">
            <w:col w:w="11240"/>
          </w:cols>
          <w:pgMar w:left="320" w:top="1395" w:right="339" w:bottom="1440" w:gutter="0" w:footer="0" w:header="0"/>
        </w:sectPr>
      </w:pPr>
    </w:p>
    <w:bookmarkStart w:id="50" w:name="page51"/>
    <w:bookmarkEnd w:id="50"/>
    <w:p>
      <w:pPr>
        <w:ind w:left="660" w:hanging="652"/>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46"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may be executed by the parties hereto in separate counterparts, each of which when so executed and delivered will be an original, but all such counterparts will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300"/>
        <w:spacing w:after="0" w:line="298" w:lineRule="auto"/>
        <w:rPr>
          <w:sz w:val="20"/>
          <w:szCs w:val="20"/>
          <w:color w:val="auto"/>
        </w:rPr>
      </w:pPr>
      <w:r>
        <w:rPr>
          <w:rFonts w:ascii="Times New Roman" w:cs="Times New Roman" w:eastAsia="Times New Roman" w:hAnsi="Times New Roman"/>
          <w:sz w:val="16"/>
          <w:szCs w:val="16"/>
          <w:color w:val="auto"/>
        </w:rPr>
        <w:t>CT1706024 – Amended and Restated A350-900 Purchase Agreement – Execution Version A&amp;R LA14-4 AIRBUS S.A.S. &amp; UNITED AIRLINES, INC. – PROPRIETARY AND CONFIDENTIAL</w:t>
      </w:r>
    </w:p>
    <w:p>
      <w:pPr>
        <w:sectPr>
          <w:pgSz w:w="11900" w:h="16838" w:orient="portrait"/>
          <w:cols w:equalWidth="0" w:num="1">
            <w:col w:w="11240"/>
          </w:cols>
          <w:pgMar w:left="320" w:top="1422" w:right="339" w:bottom="1440" w:gutter="0" w:footer="0" w:header="0"/>
        </w:sectPr>
      </w:pPr>
    </w:p>
    <w:bookmarkStart w:id="51" w:name="page52"/>
    <w:bookmarkEnd w:id="51"/>
    <w:p>
      <w:pPr>
        <w:spacing w:after="0" w:line="271" w:lineRule="auto"/>
        <w:rPr>
          <w:sz w:val="20"/>
          <w:szCs w:val="20"/>
          <w:color w:val="auto"/>
        </w:rPr>
      </w:pPr>
      <w:r>
        <w:rPr>
          <w:rFonts w:ascii="Times New Roman" w:cs="Times New Roman" w:eastAsia="Times New Roman" w:hAnsi="Times New Roman"/>
          <w:sz w:val="22"/>
          <w:szCs w:val="22"/>
          <w:color w:val="auto"/>
        </w:rPr>
        <w:t>If the foregoing correctly sets forth your understanding, please execute the original and one (1) copy hereof in the space provided below and return a copy to the Seller.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AIRBUS S.A.S.</w:t>
      </w:r>
    </w:p>
    <w:p>
      <w:pPr>
        <w:spacing w:after="0" w:line="200" w:lineRule="exact"/>
        <w:rPr>
          <w:sz w:val="20"/>
          <w:szCs w:val="20"/>
          <w:color w:val="auto"/>
        </w:rPr>
      </w:pPr>
    </w:p>
    <w:p>
      <w:pPr>
        <w:spacing w:after="0" w:line="303" w:lineRule="exact"/>
        <w:rPr>
          <w:sz w:val="20"/>
          <w:szCs w:val="20"/>
          <w:color w:val="auto"/>
        </w:rPr>
      </w:pPr>
    </w:p>
    <w:p>
      <w:pPr>
        <w:ind w:left="552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Paul Meijers</w:t>
      </w:r>
    </w:p>
    <w:p>
      <w:pPr>
        <w:spacing w:after="0" w:line="247" w:lineRule="exact"/>
        <w:rPr>
          <w:sz w:val="20"/>
          <w:szCs w:val="20"/>
          <w:color w:val="auto"/>
        </w:rPr>
      </w:pPr>
    </w:p>
    <w:p>
      <w:pPr>
        <w:jc w:val="center"/>
        <w:ind w:left="2440"/>
        <w:spacing w:after="0"/>
        <w:tabs>
          <w:tab w:leader="none" w:pos="1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28"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22"/>
          <w:szCs w:val="22"/>
          <w:color w:val="auto"/>
        </w:rPr>
        <w:t>Commercial Transactions</w:t>
      </w:r>
    </w:p>
    <w:p>
      <w:pPr>
        <w:spacing w:after="0" w:line="200" w:lineRule="exact"/>
        <w:rPr>
          <w:sz w:val="20"/>
          <w:szCs w:val="20"/>
          <w:color w:val="auto"/>
        </w:rPr>
      </w:pPr>
    </w:p>
    <w:p>
      <w:pPr>
        <w:spacing w:after="0" w:line="2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00" w:lineRule="exact"/>
        <w:rPr>
          <w:sz w:val="20"/>
          <w:szCs w:val="20"/>
          <w:color w:val="auto"/>
        </w:rPr>
      </w:pPr>
    </w:p>
    <w:p>
      <w:pPr>
        <w:spacing w:after="0" w:line="2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00" w:lineRule="exact"/>
        <w:rPr>
          <w:sz w:val="20"/>
          <w:szCs w:val="20"/>
          <w:color w:val="auto"/>
        </w:rPr>
      </w:pPr>
    </w:p>
    <w:p>
      <w:pPr>
        <w:spacing w:after="0" w:line="303"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John Gebo</w:t>
      </w:r>
    </w:p>
    <w:p>
      <w:pPr>
        <w:spacing w:after="0" w:line="24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SVP Treasury, Fleet &amp; Fuel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CT1706024 – Amended and Restated A350-900 Purchase Agreement – Execution Version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AIRBUS S.A.S. &amp; UNITED AIRLINES, INC. – PROPRIETARY AND CONFIDENTIAL</w:t>
      </w:r>
    </w:p>
    <w:p>
      <w:pPr>
        <w:sectPr>
          <w:pgSz w:w="11900" w:h="16838" w:orient="portrait"/>
          <w:cols w:equalWidth="0" w:num="1">
            <w:col w:w="11240"/>
          </w:cols>
          <w:pgMar w:left="320" w:top="1152"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Scott Kirby, certify that:</w:t>
      </w:r>
    </w:p>
    <w:p>
      <w:pPr>
        <w:spacing w:after="0" w:line="77" w:lineRule="exact"/>
        <w:rPr>
          <w:sz w:val="20"/>
          <w:szCs w:val="20"/>
          <w:color w:val="auto"/>
        </w:rPr>
      </w:pPr>
    </w:p>
    <w:p>
      <w:pPr>
        <w:ind w:left="900" w:right="740" w:hanging="487"/>
        <w:spacing w:after="0" w:line="282" w:lineRule="auto"/>
        <w:tabs>
          <w:tab w:leader="none" w:pos="8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United Airlines Holdings, Inc. (the "Company");</w:t>
      </w:r>
    </w:p>
    <w:p>
      <w:pPr>
        <w:spacing w:after="0" w:line="26" w:lineRule="exact"/>
        <w:rPr>
          <w:rFonts w:ascii="Times New Roman" w:cs="Times New Roman" w:eastAsia="Times New Roman" w:hAnsi="Times New Roman"/>
          <w:sz w:val="18"/>
          <w:szCs w:val="18"/>
          <w:color w:val="auto"/>
        </w:rPr>
      </w:pPr>
    </w:p>
    <w:p>
      <w:pPr>
        <w:ind w:left="900" w:right="160" w:hanging="487"/>
        <w:spacing w:after="0" w:line="266" w:lineRule="auto"/>
        <w:tabs>
          <w:tab w:leader="none" w:pos="8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900" w:right="200" w:hanging="487"/>
        <w:spacing w:after="0" w:line="282" w:lineRule="auto"/>
        <w:tabs>
          <w:tab w:leader="none" w:pos="8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900" w:right="160" w:hanging="487"/>
        <w:spacing w:after="0" w:line="276" w:lineRule="auto"/>
        <w:tabs>
          <w:tab w:leader="none" w:pos="8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71" w:lineRule="exact"/>
        <w:rPr>
          <w:rFonts w:ascii="Times New Roman" w:cs="Times New Roman" w:eastAsia="Times New Roman" w:hAnsi="Times New Roman"/>
          <w:sz w:val="17"/>
          <w:szCs w:val="17"/>
          <w:color w:val="auto"/>
        </w:rPr>
      </w:pPr>
    </w:p>
    <w:p>
      <w:pPr>
        <w:ind w:left="1380" w:right="40" w:hanging="481"/>
        <w:spacing w:after="0" w:line="266" w:lineRule="auto"/>
        <w:tabs>
          <w:tab w:leader="none" w:pos="12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380" w:right="140" w:hanging="481"/>
        <w:spacing w:after="0" w:line="266" w:lineRule="auto"/>
        <w:tabs>
          <w:tab w:leader="none" w:pos="12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1380" w:right="140" w:hanging="481"/>
        <w:spacing w:after="0" w:line="312" w:lineRule="auto"/>
        <w:tabs>
          <w:tab w:leader="none" w:pos="127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80" w:right="220" w:hanging="481"/>
        <w:spacing w:after="0" w:line="266" w:lineRule="auto"/>
        <w:tabs>
          <w:tab w:leader="none" w:pos="12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900" w:right="120" w:hanging="487"/>
        <w:spacing w:after="0" w:line="282"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380" w:right="480" w:hanging="481"/>
        <w:spacing w:after="0" w:line="282" w:lineRule="auto"/>
        <w:tabs>
          <w:tab w:leader="none" w:pos="12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80" w:right="160" w:hanging="481"/>
        <w:spacing w:after="0" w:line="282" w:lineRule="auto"/>
        <w:tabs>
          <w:tab w:leader="none" w:pos="12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0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2025</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Leskinen, certify that:</w:t>
      </w:r>
    </w:p>
    <w:p>
      <w:pPr>
        <w:spacing w:after="0" w:line="90" w:lineRule="exact"/>
        <w:rPr>
          <w:sz w:val="20"/>
          <w:szCs w:val="20"/>
          <w:color w:val="auto"/>
        </w:rPr>
      </w:pPr>
    </w:p>
    <w:p>
      <w:pPr>
        <w:ind w:left="860" w:right="700" w:hanging="407"/>
        <w:spacing w:after="0" w:line="282" w:lineRule="auto"/>
        <w:tabs>
          <w:tab w:leader="none" w:pos="8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United Airlines Holdings, Inc. (the "Company");</w:t>
      </w:r>
    </w:p>
    <w:p>
      <w:pPr>
        <w:spacing w:after="0" w:line="13"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8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60" w:right="120" w:hanging="407"/>
        <w:spacing w:after="0" w:line="276" w:lineRule="auto"/>
        <w:tabs>
          <w:tab w:leader="none" w:pos="84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58" w:lineRule="exact"/>
        <w:rPr>
          <w:rFonts w:ascii="Times New Roman" w:cs="Times New Roman" w:eastAsia="Times New Roman" w:hAnsi="Times New Roman"/>
          <w:sz w:val="17"/>
          <w:szCs w:val="17"/>
          <w:color w:val="auto"/>
        </w:rPr>
      </w:pPr>
    </w:p>
    <w:p>
      <w:pPr>
        <w:ind w:left="1420" w:right="220" w:hanging="400"/>
        <w:spacing w:after="0" w:line="266" w:lineRule="auto"/>
        <w:tabs>
          <w:tab w:leader="none" w:pos="139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420" w:right="20" w:hanging="400"/>
        <w:spacing w:after="0" w:line="266" w:lineRule="auto"/>
        <w:tabs>
          <w:tab w:leader="none" w:pos="140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420" w:right="80" w:hanging="400"/>
        <w:spacing w:after="0" w:line="282" w:lineRule="auto"/>
        <w:tabs>
          <w:tab w:leader="none" w:pos="139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420" w:right="100" w:hanging="400"/>
        <w:spacing w:after="0" w:line="266" w:lineRule="auto"/>
        <w:tabs>
          <w:tab w:leader="none" w:pos="140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860" w:right="80" w:hanging="407"/>
        <w:spacing w:after="0" w:line="282" w:lineRule="auto"/>
        <w:tabs>
          <w:tab w:leader="none" w:pos="84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40" w:hanging="481"/>
        <w:spacing w:after="0" w:line="282" w:lineRule="auto"/>
        <w:tabs>
          <w:tab w:leader="none" w:pos="13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420" w:right="120" w:hanging="481"/>
        <w:spacing w:after="0" w:line="282" w:lineRule="auto"/>
        <w:tabs>
          <w:tab w:leader="none" w:pos="131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2025</w:t>
      </w:r>
    </w:p>
    <w:p>
      <w:pPr>
        <w:sectPr>
          <w:pgSz w:w="11900" w:h="16838" w:orient="portrait"/>
          <w:cols w:equalWidth="0" w:num="1">
            <w:col w:w="11240"/>
          </w:cols>
          <w:pgMar w:left="320" w:top="111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Scott Kirby, certify that:</w:t>
      </w:r>
    </w:p>
    <w:p>
      <w:pPr>
        <w:spacing w:after="0" w:line="77" w:lineRule="exact"/>
        <w:rPr>
          <w:sz w:val="20"/>
          <w:szCs w:val="20"/>
          <w:color w:val="auto"/>
        </w:rPr>
      </w:pPr>
    </w:p>
    <w:p>
      <w:pPr>
        <w:ind w:left="840" w:hanging="387"/>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United Airlines, Inc. (the "Company");</w:t>
      </w:r>
    </w:p>
    <w:p>
      <w:pPr>
        <w:spacing w:after="0" w:line="9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8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860" w:right="120" w:hanging="407"/>
        <w:spacing w:after="0" w:line="276" w:lineRule="auto"/>
        <w:tabs>
          <w:tab w:leader="none" w:pos="84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71" w:lineRule="exact"/>
        <w:rPr>
          <w:rFonts w:ascii="Times New Roman" w:cs="Times New Roman" w:eastAsia="Times New Roman" w:hAnsi="Times New Roman"/>
          <w:sz w:val="17"/>
          <w:szCs w:val="17"/>
          <w:color w:val="auto"/>
        </w:rPr>
      </w:pPr>
    </w:p>
    <w:p>
      <w:pPr>
        <w:ind w:left="1420" w:right="220" w:hanging="400"/>
        <w:spacing w:after="0" w:line="266" w:lineRule="auto"/>
        <w:tabs>
          <w:tab w:leader="none" w:pos="139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420" w:right="20" w:hanging="400"/>
        <w:spacing w:after="0" w:line="266" w:lineRule="auto"/>
        <w:tabs>
          <w:tab w:leader="none" w:pos="140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420" w:right="80" w:hanging="400"/>
        <w:spacing w:after="0" w:line="282" w:lineRule="auto"/>
        <w:tabs>
          <w:tab w:leader="none" w:pos="139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100" w:hanging="400"/>
        <w:spacing w:after="0" w:line="266" w:lineRule="auto"/>
        <w:tabs>
          <w:tab w:leader="none" w:pos="140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860" w:right="80" w:hanging="407"/>
        <w:spacing w:after="0" w:line="282" w:lineRule="auto"/>
        <w:tabs>
          <w:tab w:leader="none" w:pos="8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420" w:right="480" w:hanging="521"/>
        <w:spacing w:after="0" w:line="282" w:lineRule="auto"/>
        <w:tabs>
          <w:tab w:leader="none" w:pos="126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521"/>
        <w:spacing w:after="0" w:line="282" w:lineRule="auto"/>
        <w:tabs>
          <w:tab w:leader="none" w:pos="127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0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2025</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Leskinen, certify that:</w:t>
      </w:r>
    </w:p>
    <w:p>
      <w:pPr>
        <w:spacing w:after="0" w:line="77" w:lineRule="exact"/>
        <w:rPr>
          <w:sz w:val="20"/>
          <w:szCs w:val="20"/>
          <w:color w:val="auto"/>
        </w:rPr>
      </w:pPr>
    </w:p>
    <w:p>
      <w:pPr>
        <w:ind w:left="840" w:hanging="387"/>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United Airlines, Inc. (the "Company");</w:t>
      </w:r>
    </w:p>
    <w:p>
      <w:pPr>
        <w:spacing w:after="0" w:line="9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8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860" w:right="120" w:hanging="407"/>
        <w:spacing w:after="0" w:line="276" w:lineRule="auto"/>
        <w:tabs>
          <w:tab w:leader="none" w:pos="84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71" w:lineRule="exact"/>
        <w:rPr>
          <w:rFonts w:ascii="Times New Roman" w:cs="Times New Roman" w:eastAsia="Times New Roman" w:hAnsi="Times New Roman"/>
          <w:sz w:val="17"/>
          <w:szCs w:val="17"/>
          <w:color w:val="auto"/>
        </w:rPr>
      </w:pPr>
    </w:p>
    <w:p>
      <w:pPr>
        <w:ind w:left="1420" w:right="220" w:hanging="400"/>
        <w:spacing w:after="0" w:line="266" w:lineRule="auto"/>
        <w:tabs>
          <w:tab w:leader="none" w:pos="139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420" w:right="20" w:hanging="400"/>
        <w:spacing w:after="0" w:line="266" w:lineRule="auto"/>
        <w:tabs>
          <w:tab w:leader="none" w:pos="140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420" w:right="80" w:hanging="400"/>
        <w:spacing w:after="0" w:line="282" w:lineRule="auto"/>
        <w:tabs>
          <w:tab w:leader="none" w:pos="139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100" w:hanging="400"/>
        <w:spacing w:after="0" w:line="266" w:lineRule="auto"/>
        <w:tabs>
          <w:tab w:leader="none" w:pos="140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860" w:right="80" w:hanging="407"/>
        <w:spacing w:after="0" w:line="282" w:lineRule="auto"/>
        <w:tabs>
          <w:tab w:leader="none" w:pos="8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420" w:right="480" w:hanging="521"/>
        <w:spacing w:after="0" w:line="282" w:lineRule="auto"/>
        <w:tabs>
          <w:tab w:leader="none" w:pos="12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521"/>
        <w:spacing w:after="0" w:line="282" w:lineRule="auto"/>
        <w:tabs>
          <w:tab w:leader="none" w:pos="127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0943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2025</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United Airlines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96"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Each undersigned officer certifies that to the best of his knowledge based on a review of the quarterly report on Form 10-Q for the quarterly period ended June 30, 2025 of United Airlines Holdings, Inc. (the "Report"):</w:t>
      </w:r>
    </w:p>
    <w:p>
      <w:pPr>
        <w:spacing w:after="0" w:line="13" w:lineRule="exact"/>
        <w:rPr>
          <w:sz w:val="20"/>
          <w:szCs w:val="20"/>
          <w:color w:val="auto"/>
        </w:rPr>
      </w:pPr>
    </w:p>
    <w:p>
      <w:pPr>
        <w:ind w:left="840" w:hanging="387"/>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860" w:right="460" w:hanging="407"/>
        <w:spacing w:after="0" w:line="282" w:lineRule="auto"/>
        <w:tabs>
          <w:tab w:leader="none" w:pos="8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 Airlines Holdings,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United Airlines,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96"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Each undersigned officer certifies that to the best of his knowledge based on a review of the quarterly report on Form 10-Q for the quarterly period ended June 30, 2025 of United Airlines, Inc. (the "Report"):</w:t>
      </w:r>
    </w:p>
    <w:p>
      <w:pPr>
        <w:spacing w:after="0" w:line="13" w:lineRule="exact"/>
        <w:rPr>
          <w:sz w:val="20"/>
          <w:szCs w:val="20"/>
          <w:color w:val="auto"/>
        </w:rPr>
      </w:pPr>
    </w:p>
    <w:p>
      <w:pPr>
        <w:ind w:left="840" w:hanging="387"/>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860" w:right="460" w:hanging="407"/>
        <w:spacing w:after="0" w:line="282" w:lineRule="auto"/>
        <w:tabs>
          <w:tab w:leader="none" w:pos="8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 Airlines,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lowerRoman"/>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3"/>
    </w:lvl>
  </w:abstractNum>
  <w:abstractNum w:abstractNumId="15">
    <w:nsid w:val="71F32454"/>
    <w:multiLevelType w:val="hybridMultilevel"/>
    <w:lvl w:ilvl="0">
      <w:lvlJc w:val="left"/>
      <w:lvlText w:val="1"/>
      <w:numFmt w:val="bullet"/>
      <w:start w:val="1"/>
    </w:lvl>
  </w:abstractNum>
  <w:abstractNum w:abstractNumId="16">
    <w:nsid w:val="2CA88611"/>
    <w:multiLevelType w:val="hybridMultilevel"/>
    <w:lvl w:ilvl="0">
      <w:lvlJc w:val="left"/>
      <w:lvlText w:val="2"/>
      <w:numFmt w:val="bullet"/>
      <w:start w:val="1"/>
    </w:lvl>
  </w:abstractNum>
  <w:abstractNum w:abstractNumId="17">
    <w:nsid w:val="836C40E"/>
    <w:multiLevelType w:val="hybridMultilevel"/>
    <w:lvl w:ilvl="0">
      <w:lvlJc w:val="left"/>
      <w:lvlText w:val="5"/>
      <w:numFmt w:val="bullet"/>
      <w:start w:val="1"/>
    </w:lvl>
  </w:abstractNum>
  <w:abstractNum w:abstractNumId="18">
    <w:nsid w:val="2901D82"/>
    <w:multiLevelType w:val="hybridMultilevel"/>
    <w:lvl w:ilvl="0">
      <w:lvlJc w:val="left"/>
      <w:lvlText w:val="6"/>
      <w:numFmt w:val="bullet"/>
      <w:start w:val="1"/>
    </w:lvl>
  </w:abstractNum>
  <w:abstractNum w:abstractNumId="19">
    <w:nsid w:val="3A95F874"/>
    <w:multiLevelType w:val="hybridMultilevel"/>
    <w:lvl w:ilvl="0">
      <w:lvlJc w:val="left"/>
      <w:lvlText w:val="7"/>
      <w:numFmt w:val="bullet"/>
      <w:start w:val="1"/>
    </w:lvl>
  </w:abstractNum>
  <w:abstractNum w:abstractNumId="20">
    <w:nsid w:val="8138641"/>
    <w:multiLevelType w:val="hybridMultilevel"/>
    <w:lvl w:ilvl="0">
      <w:lvlJc w:val="left"/>
      <w:lvlText w:val="8"/>
      <w:numFmt w:val="bullet"/>
      <w:start w:val="1"/>
    </w:lvl>
  </w:abstractNum>
  <w:abstractNum w:abstractNumId="21">
    <w:nsid w:val="1E7FF521"/>
    <w:multiLevelType w:val="hybridMultilevel"/>
    <w:lvl w:ilvl="0">
      <w:lvlJc w:val="left"/>
      <w:lvlText w:val="9"/>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2"/>
    </w:lvl>
  </w:abstractNum>
  <w:abstractNum w:abstractNumId="24">
    <w:nsid w:val="6CEAF087"/>
    <w:multiLevelType w:val="hybridMultilevel"/>
    <w:lvl w:ilvl="0">
      <w:lvlJc w:val="left"/>
      <w:lvlText w:val="%1."/>
      <w:numFmt w:val="decimal"/>
      <w:start w:val="3"/>
    </w:lvl>
  </w:abstractNum>
  <w:abstractNum w:abstractNumId="25">
    <w:nsid w:val="22221A70"/>
    <w:multiLevelType w:val="hybridMultilevel"/>
    <w:lvl w:ilvl="0">
      <w:lvlJc w:val="left"/>
      <w:lvlText w:val="%1."/>
      <w:numFmt w:val="decimal"/>
      <w:start w:val="4"/>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lowerRoman"/>
      <w:start w:val="1"/>
    </w:lvl>
  </w:abstractNum>
  <w:abstractNum w:abstractNumId="28">
    <w:nsid w:val="614FD4A1"/>
    <w:multiLevelType w:val="hybridMultilevel"/>
    <w:lvl w:ilvl="0">
      <w:lvlJc w:val="left"/>
      <w:lvlText w:val="(%1)"/>
      <w:numFmt w:val="lowerRoman"/>
      <w:start w:val="2"/>
    </w:lvl>
  </w:abstractNum>
  <w:abstractNum w:abstractNumId="29">
    <w:nsid w:val="419AC241"/>
    <w:multiLevelType w:val="hybridMultilevel"/>
    <w:lvl w:ilvl="0">
      <w:lvlJc w:val="left"/>
      <w:lvlText w:val="(%1)"/>
      <w:numFmt w:val="lowerRoman"/>
      <w:start w:val="8"/>
    </w:lvl>
  </w:abstractNum>
  <w:abstractNum w:abstractNumId="30">
    <w:nsid w:val="5577F8E1"/>
    <w:multiLevelType w:val="hybridMultilevel"/>
    <w:lvl w:ilvl="0">
      <w:lvlJc w:val="left"/>
      <w:lvlText w:val="(%1)"/>
      <w:numFmt w:val="lowerRoman"/>
      <w:start w:val="1"/>
    </w:lvl>
    <w:lvl w:ilvl="1">
      <w:lvlJc w:val="left"/>
      <w:lvlText w:val="***"/>
      <w:numFmt w:val="bullet"/>
      <w:start w:val="1"/>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1."/>
      <w:numFmt w:val="decimal"/>
      <w:start w:val="7"/>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2025-07-17T15:17:12Z</dcterms:created>
  <dcterms:modified xsi:type="dcterms:W3CDTF">2025-07-17T15:17:12Z</dcterms:modified>
</cp:coreProperties>
</file>