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September 9, 2020</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AIRLINES HOLDINGS, INC.</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AIRLINES, INC.</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16"/>
        </w:trPr>
        <w:tc>
          <w:tcPr>
            <w:tcW w:w="38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001-06033</w:t>
            </w:r>
          </w:p>
        </w:tc>
        <w:tc>
          <w:tcPr>
            <w:tcW w:w="316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36-2675207</w:t>
            </w:r>
          </w:p>
        </w:tc>
      </w:tr>
      <w:tr>
        <w:trPr>
          <w:trHeight w:val="220"/>
        </w:trPr>
        <w:tc>
          <w:tcPr>
            <w:tcW w:w="3800" w:type="dxa"/>
            <w:vAlign w:val="bottom"/>
          </w:tcPr>
          <w:p>
            <w:pPr>
              <w:jc w:val="center"/>
              <w:ind w:right="181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b w:val="1"/>
                <w:bCs w:val="1"/>
                <w:color w:val="auto"/>
                <w:w w:val="99"/>
              </w:rPr>
              <w:t>001-10323</w:t>
            </w:r>
          </w:p>
        </w:tc>
        <w:tc>
          <w:tcPr>
            <w:tcW w:w="3160" w:type="dxa"/>
            <w:vAlign w:val="bottom"/>
          </w:tcPr>
          <w:p>
            <w:pPr>
              <w:jc w:val="center"/>
              <w:ind w:left="1390"/>
              <w:spacing w:after="0"/>
              <w:rPr>
                <w:sz w:val="20"/>
                <w:szCs w:val="20"/>
                <w:color w:val="auto"/>
              </w:rPr>
            </w:pPr>
            <w:r>
              <w:rPr>
                <w:rFonts w:ascii="Times New Roman" w:cs="Times New Roman" w:eastAsia="Times New Roman" w:hAnsi="Times New Roman"/>
                <w:sz w:val="18"/>
                <w:szCs w:val="18"/>
                <w:b w:val="1"/>
                <w:bCs w:val="1"/>
                <w:color w:val="auto"/>
              </w:rPr>
              <w:t>74-2099724</w:t>
            </w:r>
          </w:p>
        </w:tc>
      </w:tr>
      <w:tr>
        <w:trPr>
          <w:trHeight w:val="216"/>
        </w:trPr>
        <w:tc>
          <w:tcPr>
            <w:tcW w:w="38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24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(Commission</w:t>
            </w:r>
          </w:p>
        </w:tc>
        <w:tc>
          <w:tcPr>
            <w:tcW w:w="3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3800" w:type="dxa"/>
            <w:vAlign w:val="bottom"/>
          </w:tcPr>
          <w:p>
            <w:pPr>
              <w:jc w:val="center"/>
              <w:ind w:right="181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24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File Number)</w:t>
            </w:r>
          </w:p>
        </w:tc>
        <w:tc>
          <w:tcPr>
            <w:tcW w:w="3160" w:type="dxa"/>
            <w:vAlign w:val="bottom"/>
          </w:tcPr>
          <w:p>
            <w:pPr>
              <w:jc w:val="center"/>
              <w:ind w:left="14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410"/>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 Chicago, IL</w:t>
            </w:r>
          </w:p>
        </w:tc>
        <w:tc>
          <w:tcPr>
            <w:tcW w:w="2460" w:type="dxa"/>
            <w:vAlign w:val="bottom"/>
          </w:tcPr>
          <w:p>
            <w:pPr>
              <w:spacing w:after="0"/>
              <w:rPr>
                <w:sz w:val="24"/>
                <w:szCs w:val="24"/>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20"/>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233 S. Wacker Drive, Chicago, IL</w:t>
            </w:r>
          </w:p>
        </w:tc>
        <w:tc>
          <w:tcPr>
            <w:tcW w:w="2460" w:type="dxa"/>
            <w:vAlign w:val="bottom"/>
          </w:tcPr>
          <w:p>
            <w:pPr>
              <w:spacing w:after="0"/>
              <w:rPr>
                <w:sz w:val="19"/>
                <w:szCs w:val="19"/>
                <w:color w:val="auto"/>
              </w:rPr>
            </w:pPr>
          </w:p>
        </w:tc>
        <w:tc>
          <w:tcPr>
            <w:tcW w:w="3160" w:type="dxa"/>
            <w:vAlign w:val="bottom"/>
          </w:tcPr>
          <w:p>
            <w:pPr>
              <w:jc w:val="center"/>
              <w:ind w:right="330"/>
              <w:spacing w:after="0"/>
              <w:rPr>
                <w:sz w:val="20"/>
                <w:szCs w:val="20"/>
                <w:color w:val="auto"/>
              </w:rPr>
            </w:pPr>
            <w:r>
              <w:rPr>
                <w:rFonts w:ascii="Times New Roman" w:cs="Times New Roman" w:eastAsia="Times New Roman" w:hAnsi="Times New Roman"/>
                <w:sz w:val="18"/>
                <w:szCs w:val="18"/>
                <w:b w:val="1"/>
                <w:bCs w:val="1"/>
                <w:color w:val="auto"/>
              </w:rPr>
              <w:t>60606</w:t>
            </w:r>
          </w:p>
        </w:tc>
      </w:tr>
      <w:tr>
        <w:trPr>
          <w:trHeight w:val="234"/>
        </w:trPr>
        <w:tc>
          <w:tcPr>
            <w:tcW w:w="3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460" w:type="dxa"/>
            <w:vAlign w:val="bottom"/>
          </w:tcPr>
          <w:p>
            <w:pPr>
              <w:spacing w:after="0"/>
              <w:rPr>
                <w:sz w:val="20"/>
                <w:szCs w:val="20"/>
                <w:color w:val="auto"/>
              </w:rPr>
            </w:pPr>
          </w:p>
        </w:tc>
        <w:tc>
          <w:tcPr>
            <w:tcW w:w="316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94" w:lineRule="exact"/>
        <w:rPr>
          <w:sz w:val="24"/>
          <w:szCs w:val="24"/>
          <w:color w:val="auto"/>
        </w:rPr>
      </w:pPr>
    </w:p>
    <w:p>
      <w:pPr>
        <w:ind w:left="5500" w:hanging="438"/>
        <w:spacing w:after="0"/>
        <w:tabs>
          <w:tab w:leader="none" w:pos="550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31" w:lineRule="exact"/>
        <w:rPr>
          <w:rFonts w:ascii="Times New Roman" w:cs="Times New Roman" w:eastAsia="Times New Roman" w:hAnsi="Times New Roman"/>
          <w:sz w:val="18"/>
          <w:szCs w:val="18"/>
          <w:b w:val="1"/>
          <w:bCs w:val="1"/>
          <w:color w:val="auto"/>
        </w:rPr>
      </w:pPr>
    </w:p>
    <w:p>
      <w:pPr>
        <w:ind w:left="5500" w:hanging="438"/>
        <w:spacing w:after="0"/>
        <w:tabs>
          <w:tab w:leader="none" w:pos="550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825-4000</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jc w:val="both"/>
        <w:ind w:left="340" w:right="4420"/>
        <w:spacing w:after="0" w:line="530" w:lineRule="auto"/>
        <w:rPr>
          <w:sz w:val="24"/>
          <w:szCs w:val="24"/>
          <w:color w:val="auto"/>
        </w:rPr>
      </w:pPr>
      <w:r>
        <w:rPr>
          <w:rFonts w:ascii="Times New Roman" w:cs="Times New Roman" w:eastAsia="Times New Roman" w:hAnsi="Times New Roman"/>
          <w:sz w:val="17"/>
          <w:szCs w:val="17"/>
          <w:color w:val="auto"/>
        </w:rPr>
        <w:t>Written communications pursuant to Rule 425 under the Securities Act (17 CFR 230.425) Soliciting material pursuant to Rule 14a-12 under the Exchange Act (17 CFR 240.14a-12)</w:t>
      </w:r>
    </w:p>
    <w:p>
      <w:pPr>
        <w:spacing w:after="0"/>
        <w:rPr>
          <w:sz w:val="24"/>
          <w:szCs w:val="24"/>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sz w:val="24"/>
          <w:szCs w:val="24"/>
          <w:color w:val="auto"/>
        </w:rPr>
      </w:pPr>
    </w:p>
    <w:p>
      <w:pPr>
        <w:ind w:right="2860" w:firstLine="8"/>
        <w:spacing w:after="0" w:line="498" w:lineRule="auto"/>
        <w:tabs>
          <w:tab w:leader="none" w:pos="3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w:t>
            </w:r>
          </w:p>
        </w:tc>
      </w:tr>
      <w:tr>
        <w:trPr>
          <w:trHeight w:val="252"/>
        </w:trPr>
        <w:tc>
          <w:tcPr>
            <w:tcW w:w="2940" w:type="dxa"/>
            <w:vAlign w:val="bottom"/>
            <w:gridSpan w:val="2"/>
          </w:tcPr>
          <w:p>
            <w:pPr>
              <w:ind w:left="96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29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Symbol</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191"/>
        </w:trPr>
        <w:tc>
          <w:tcPr>
            <w:tcW w:w="27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United Airlines Holdings, Inc.</w:t>
            </w:r>
          </w:p>
        </w:tc>
        <w:tc>
          <w:tcPr>
            <w:tcW w:w="240" w:type="dxa"/>
            <w:vAlign w:val="bottom"/>
          </w:tcPr>
          <w:p>
            <w:pPr>
              <w:spacing w:after="0"/>
              <w:rPr>
                <w:sz w:val="16"/>
                <w:szCs w:val="16"/>
                <w:color w:val="auto"/>
              </w:rPr>
            </w:pPr>
          </w:p>
        </w:tc>
        <w:tc>
          <w:tcPr>
            <w:tcW w:w="27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Common Stock, $0.01 par value</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7"/>
              </w:rPr>
              <w:t>UAL</w:t>
            </w:r>
          </w:p>
        </w:tc>
        <w:tc>
          <w:tcPr>
            <w:tcW w:w="220" w:type="dxa"/>
            <w:vAlign w:val="bottom"/>
          </w:tcPr>
          <w:p>
            <w:pPr>
              <w:spacing w:after="0"/>
              <w:rPr>
                <w:sz w:val="16"/>
                <w:szCs w:val="16"/>
                <w:color w:val="auto"/>
              </w:rPr>
            </w:pPr>
          </w:p>
        </w:tc>
        <w:tc>
          <w:tcPr>
            <w:tcW w:w="258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United Airlines, Inc.</w:t>
            </w:r>
          </w:p>
        </w:tc>
        <w:tc>
          <w:tcPr>
            <w:tcW w:w="29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7"/>
              </w:rPr>
              <w:t>None</w:t>
            </w:r>
          </w:p>
        </w:tc>
        <w:tc>
          <w:tcPr>
            <w:tcW w:w="2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None</w:t>
            </w:r>
          </w:p>
        </w:tc>
        <w:tc>
          <w:tcPr>
            <w:tcW w:w="2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None</w:t>
            </w:r>
          </w:p>
        </w:tc>
      </w:tr>
    </w:tbl>
    <w:p>
      <w:pPr>
        <w:spacing w:after="0" w:line="198"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 Emerging growth company</w:t>
      </w:r>
    </w:p>
    <w:p>
      <w:pPr>
        <w:spacing w:after="0" w:line="16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165735</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54" w:right="339" w:bottom="1440" w:gutter="0" w:footer="0" w:header="0"/>
        </w:sectPr>
      </w:pPr>
    </w:p>
    <w:bookmarkStart w:id="1" w:name="page2"/>
    <w:bookmarkEnd w:id="1"/>
    <w:p>
      <w:pPr>
        <w:ind w:left="20"/>
        <w:spacing w:after="0"/>
        <w:tabs>
          <w:tab w:leader="none" w:pos="90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United Airlines, Inc. (“United”), a wholly-owned subsidiary of United Airlines Holdings, Inc. (“UAL” and, together with United, the “Company”), continues to see a significant impact in demand for air travel. In the last two weeks, ending September 7, 2020, there has been a moderate improvement in bookings for leisure travel in the domestic United States and certain short-haul destinations in Latin America and the Caribbean.</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Company does not currently expect the recovery from COVID-19 to follow a linear path. As such, the Company’s actual flown capacity may differ materially from its currently scheduled capacity. The Company’s scheduled capacity for the third quarter of 2020 is now expected to decrease approximately 70% year-over-year, as compared to the Company’s previous guidance of a decrease of approximately 65% year-over-year. Accordingly, the Company now expects passenger revenue to be down by approximately 85% in the third quarter of 2020 as compared to the third quarter of 2019, compared to the Company’s previous guidance of a decrease of approximately 83% year-over-year.</w:t>
      </w:r>
    </w:p>
    <w:p>
      <w:pPr>
        <w:spacing w:after="0" w:line="183"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The Company plans to continue to proactively evaluate and cancel flights on a rolling 60-day basis until it sees signs of a recovery in demand, and expects demand to remain suppressed and plateau at levels of around 50%, relative to 2019 levels, until a widely accepted treatment and/or vaccine for COVID-19 is widely available.</w:t>
      </w:r>
    </w:p>
    <w:p>
      <w:pPr>
        <w:spacing w:after="0" w:line="176"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7"/>
          <w:szCs w:val="17"/>
          <w:color w:val="auto"/>
        </w:rPr>
        <w:t>The Company continues to expect average daily cash burn during the third quarter of 2020 to be approximately $25 million per day. For this purpose, “cash burn” is defined as net cash from operations, less investing and financing activities. Proceeds from the issuance of new debt (including any borrowings</w:t>
      </w:r>
    </w:p>
    <w:p>
      <w:pPr>
        <w:spacing w:after="0" w:line="1" w:lineRule="exact"/>
        <w:rPr>
          <w:sz w:val="20"/>
          <w:szCs w:val="20"/>
          <w:color w:val="auto"/>
        </w:rPr>
      </w:pPr>
    </w:p>
    <w:p>
      <w:pPr>
        <w:ind w:right="220"/>
        <w:spacing w:after="0" w:line="231" w:lineRule="auto"/>
        <w:rPr>
          <w:sz w:val="20"/>
          <w:szCs w:val="20"/>
          <w:color w:val="auto"/>
        </w:rPr>
      </w:pPr>
      <w:r>
        <w:rPr>
          <w:rFonts w:ascii="Times New Roman" w:cs="Times New Roman" w:eastAsia="Times New Roman" w:hAnsi="Times New Roman"/>
          <w:sz w:val="18"/>
          <w:szCs w:val="18"/>
          <w:color w:val="auto"/>
        </w:rPr>
        <w:t>under the Coronavirus Aid, Relief, and Economic Security Act (the “CARES Act”)</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but excluding expected aircraft financing), government grants associated with the Payroll Support Program of the CARES Act, issuance of new UAL common stock, net proceeds from sale of short-term and other investments and changes in restricted cash balances are not included in this figure. The Company also continues to expect total available liquidity, which consists of cash and cash equivalents, the Company’s remaining capacity under its revolving credit facility, and funds available pursuant to the Loan Program under the CARES Act, to be over $18 billion at the end of the third quarter of 2020.</w:t>
      </w:r>
    </w:p>
    <w:p>
      <w:pPr>
        <w:spacing w:after="0" w:line="20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is being furnished and shall not be deemed to be “filed” for purposes of Section 18 of the Securities Exchange Act of 1934, as amended (the “Exchange Act”), or otherwise subject to the liabilities of that Section, and shall not be deemed incorporated by reference into any registration statement or other document filed pursuant to the Securities Act of 1933, as amended, except as shall be expressly set forth by specific reference in such filing.</w:t>
      </w:r>
    </w:p>
    <w:p>
      <w:pPr>
        <w:spacing w:after="0" w:line="220" w:lineRule="exact"/>
        <w:rPr>
          <w:sz w:val="20"/>
          <w:szCs w:val="20"/>
          <w:color w:val="auto"/>
        </w:rPr>
      </w:pPr>
    </w:p>
    <w:p>
      <w:pPr>
        <w:ind w:right="960" w:firstLine="8"/>
        <w:spacing w:after="0" w:line="372" w:lineRule="auto"/>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Cash burn does not include the borrowing or replacement of the $200 million short-term loan associated with the CARES Act Loan Program </w:t>
      </w:r>
      <w:r>
        <w:rPr>
          <w:rFonts w:ascii="Times New Roman" w:cs="Times New Roman" w:eastAsia="Times New Roman" w:hAnsi="Times New Roman"/>
          <w:sz w:val="18"/>
          <w:szCs w:val="18"/>
          <w:u w:val="single" w:color="auto"/>
          <w:color w:val="auto"/>
        </w:rPr>
        <w:t>Cautionary Statement Regarding Forward-Looking Statements:</w:t>
      </w:r>
    </w:p>
    <w:p>
      <w:pPr>
        <w:spacing w:after="0" w:line="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Certain statements in this Current Report on Form 8-K are forward-looking and thus reflect the Company’s current expectations and beliefs with respect to certain current and future events and anticipated financial and operating performance. Such forward-looking statements are and will be subject to many risks and uncertainties relating to the Company’s operations and business environment that may cause actual results to differ materially from any future results expressed or implied in such forward-looking statements. Words such as “expects,” “will,” “plans,” “anticipates,” “indicates,” “remains,” “believes,” “estimates,” “forecast,” “guidance,” “outlook,” “goals,” “targets” and similar expressions are intended to identify forward-looking statements. Additionally, forward-looking statements include statements that do not relate solely to historical facts, such as statements which identify uncertainties or trends, discuss the possible future effects of current known trends or uncertainties, or which indicate that the future effects of known trends or uncertainties cannot be predicted, guaranteed or assured. All forward-looking statements in this report are based upon information available to the Company on the date of this report. The Company undertakes no obligation to publicly update or revise any forward-looking statement, whether as a result of new information, future events, changed circumstances or otherwise, except as required by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spacing w:after="0" w:line="251" w:lineRule="auto"/>
        <w:rPr>
          <w:sz w:val="20"/>
          <w:szCs w:val="20"/>
          <w:color w:val="auto"/>
        </w:rPr>
      </w:pPr>
      <w:r>
        <w:rPr>
          <w:rFonts w:ascii="Times New Roman" w:cs="Times New Roman" w:eastAsia="Times New Roman" w:hAnsi="Times New Roman"/>
          <w:sz w:val="18"/>
          <w:szCs w:val="18"/>
          <w:color w:val="auto"/>
        </w:rPr>
        <w:t>The Company’s actual results could differ materially from these forward-looking statements due to numerous factors including, without limitation, the following: the duration and spread of the ongoing global COVID-19 pandemic and the outbreak of any other disease or similar public health threat and the impact on the business, results of operations and financial condition of the Company; the lenders’ ability to accelerate the MileagePlus indebtedness, foreclose upon the collateral securing the MileagePlus indebtedness or exercise other remedies if the Company is not able to comply with the covenants in the MileagePlus financing agreements; the final terms of borrowing pursuant to the Loan Program under the CARES Act, if any, and the effects of the grant and promissory note through the Payroll Support Program under the CARES Act; the costs and availability of financing; the Company’s significant amount of financial leverage from fixed obligations and ability to seek additional liquidity and maintain adequate liquidity; the Company’s ability to comply with the terms of its various financing arrangements; the Company’s ability to utilize its net operating losses to offset future taxable income; the material disruption of the Company’s strategic operating plan as a result of the COVID-19 pandemic and the Company’s ability to execute its strategic operating plans in the long term; general economic conditions (including interest rates, foreign currency exchange rates, investment or credit market conditions, crude oil prices, costs of aircraft fuel and energy refining capacity in relevant markets); risks of doing business globally, including instability and political developments that may impact its operations in certain countries; demand for travel and the impact that global economic and political conditions have on customer travel patterns; the Company’s capacity decisions and the capacity decisions of its competitors; competitive pressures on pricing and on demand; changes in aircraft fuel prices; disruptions in the Company’s supply of aircraft fuel; the Company’s ability to cost-effectively hedge against increases in the price of aircraft fuel, if it decides to do so; the effects of any technology failures, cybersecurity or significant data breaches; disruptions to services provided by third-party service providers; potential reputational or other impact from adverse events involving the Company’s aircraft or operations, the aircraft or operations of its regional carriers or its code share partners or the aircraft or operations of another airline; the Company’s ability to attract and retain customers; the effects of any terrorist attacks, international hostilities or other security events, or the fear of such events; the mandatory grounding of aircraft in the Company’s fleet; disruptions to the Company’s regional network as a result of the COVID-19 pandemic or otherwise; the impact of regulatory, investigative and legal proceedings and legal compliance risks; the success of the Company’s investments in other airlines, including in other parts of the world, which involve significant challenges and risks, particularly given the impact of the COVID-19 pandemic; industry consolidation or changes in airline alliances; the ability of other air carriers with whom the Company has alliances or partnerships to provide the services contemplated by the respective arrangements with such carriers; costs associated with any modification or termination of the Company’s aircraft orders; disruptions in the availability of aircraft, parts or support from its suppliers; the Company’s ability to maintain satisfactory labor relations and the results of any collective bargaining agreement process with its union groups; any disruptions to operations due to any potential actions by the Company’s labor groups; labor costs; the impact of any management changes; extended interruptions or disruptions in service at major airports where the Company operates; U.S. or foreign governmental legislation, regulation and other actions (including Open Skies agreements, environmental regulations and the United Kingdom’s withdrawal from the European Union); the seasonality of the airline industry; weather conditions; the costs and availability of aviation and other insurance; the Company’s ability to realize the full value of its intangible assets and long-lived assets; any impact to the Company’s reputation or brand image and other risks and uncertainties set forth under Part I, Item 1A., “Risk Factors,” of the Company’s Annual Report on Form 10-K for the fiscal year ended December 31, 2019, as updated by the Company’s Quarterly Report on Form 10-Q for the fiscal quarter ended June 30, 2020, as well as other risks and uncertainties set forth from time to time in the reports the Company files with the U.S.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276225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UNITED AIRLINES HOLDINGS, INC.</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UNITED AIRLINES, INC.</w:t>
      </w:r>
    </w:p>
    <w:p>
      <w:pPr>
        <w:spacing w:after="0" w:line="20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 Kenny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Chris Kenny</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Controller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9,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00"/>
      </w:cols>
      <w:pgMar w:left="320" w:top="90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872"/>
    </w:lvl>
  </w:abstractNum>
  <w:abstractNum w:abstractNumId="1">
    <w:nsid w:val="2AE8944A"/>
    <w:multiLevelType w:val="hybridMultilevel"/>
    <w:lvl w:ilvl="0">
      <w:lvlJc w:val="left"/>
      <w:lvlText w:val="(%1)"/>
      <w:numFmt w:val="decimal"/>
      <w:start w:val="872"/>
    </w:lvl>
  </w:abstractNum>
  <w:abstractNum w:abstractNumId="2">
    <w:nsid w:val="625558EC"/>
    <w:multiLevelType w:val="hybridMultilevel"/>
    <w:lvl w:ilvl="0">
      <w:lvlJc w:val="left"/>
      <w:lvlText w:val=" "/>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2020-09-09T06:02:31Z</dcterms:created>
  <dcterms:modified xsi:type="dcterms:W3CDTF">2020-09-09T06:02:31Z</dcterms:modified>
</cp:coreProperties>
</file>