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2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56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KIRBY J SCOTT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 O. BOX 66100 HDQLD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United Airlines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UAL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9" w:lineRule="exact"/>
        <w:rPr>
          <w:sz w:val="24"/>
          <w:szCs w:val="24"/>
          <w:color w:val="auto"/>
        </w:rPr>
      </w:pPr>
    </w:p>
    <w:p>
      <w:pPr>
        <w:sectPr>
          <w:pgSz w:w="11900" w:h="16838" w:orient="portrait"/>
          <w:cols w:equalWidth="0" w:num="3">
            <w:col w:w="3200" w:space="720"/>
            <w:col w:w="3240" w:space="575"/>
            <w:col w:w="3345"/>
          </w:cols>
          <w:pgMar w:left="460" w:top="219" w:right="359" w:bottom="566"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6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80" w:type="dxa"/>
            <w:vAlign w:val="bottom"/>
            <w:gridSpan w:val="8"/>
            <w:vMerge w:val="continue"/>
          </w:tcPr>
          <w:p>
            <w:pPr>
              <w:spacing w:after="0"/>
              <w:rPr>
                <w:sz w:val="10"/>
                <w:szCs w:val="10"/>
                <w:color w:val="auto"/>
              </w:rPr>
            </w:pPr>
          </w:p>
        </w:tc>
        <w:tc>
          <w:tcPr>
            <w:tcW w:w="376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2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IL</w:t>
            </w:r>
          </w:p>
        </w:tc>
        <w:tc>
          <w:tcPr>
            <w:tcW w:w="86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60666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80" w:type="dxa"/>
            <w:vAlign w:val="bottom"/>
            <w:gridSpan w:val="2"/>
            <w:vMerge w:val="restart"/>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8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3"/>
          </w:tcPr>
          <w:p>
            <w:pPr>
              <w:spacing w:after="0"/>
              <w:rPr>
                <w:sz w:val="10"/>
                <w:szCs w:val="10"/>
                <w:color w:val="auto"/>
              </w:rPr>
            </w:pPr>
          </w:p>
        </w:tc>
        <w:tc>
          <w:tcPr>
            <w:tcW w:w="2820" w:type="dxa"/>
            <w:vAlign w:val="bottom"/>
            <w:tcBorders>
              <w:bottom w:val="single" w:sz="8" w:color="2C2C2C"/>
            </w:tcBorders>
            <w:gridSpan w:val="7"/>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8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4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5"/>
                <w:szCs w:val="15"/>
                <w:color w:val="auto"/>
              </w:rPr>
            </w:pPr>
          </w:p>
        </w:tc>
        <w:tc>
          <w:tcPr>
            <w:tcW w:w="21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2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2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20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3"/>
                <w:szCs w:val="13"/>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(D)</w:t>
            </w: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ind w:left="540"/>
              <w:spacing w:after="0"/>
              <w:rPr>
                <w:sz w:val="20"/>
                <w:szCs w:val="20"/>
                <w:color w:val="auto"/>
              </w:rPr>
            </w:pPr>
            <w:r>
              <w:rPr>
                <w:rFonts w:ascii="Times New Roman" w:cs="Times New Roman" w:eastAsia="Times New Roman" w:hAnsi="Times New Roman"/>
                <w:sz w:val="17"/>
                <w:szCs w:val="17"/>
                <w:color w:val="0000FF"/>
              </w:rPr>
              <w:t>06/15/2026</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4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11"/>
              <w:spacing w:after="0"/>
              <w:rPr>
                <w:sz w:val="20"/>
                <w:szCs w:val="20"/>
                <w:color w:val="auto"/>
              </w:rPr>
            </w:pPr>
            <w:r>
              <w:rPr>
                <w:rFonts w:ascii="Times New Roman" w:cs="Times New Roman" w:eastAsia="Times New Roman" w:hAnsi="Times New Roman"/>
                <w:sz w:val="17"/>
                <w:szCs w:val="17"/>
                <w:color w:val="0000FF"/>
              </w:rPr>
              <w:t>48,303</w:t>
            </w:r>
            <w:r>
              <w:rPr>
                <w:rFonts w:ascii="Times New Roman" w:cs="Times New Roman" w:eastAsia="Times New Roman" w:hAnsi="Times New Roman"/>
                <w:sz w:val="22"/>
                <w:szCs w:val="22"/>
                <w:color w:val="008000"/>
                <w:vertAlign w:val="superscript"/>
              </w:rPr>
              <w:t>(1)</w:t>
            </w:r>
          </w:p>
        </w:tc>
        <w:tc>
          <w:tcPr>
            <w:tcW w:w="1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gridSpan w:val="4"/>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121.301</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798,929</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ind w:left="540"/>
              <w:spacing w:after="0"/>
              <w:rPr>
                <w:sz w:val="20"/>
                <w:szCs w:val="20"/>
                <w:color w:val="auto"/>
              </w:rPr>
            </w:pPr>
            <w:r>
              <w:rPr>
                <w:rFonts w:ascii="Times New Roman" w:cs="Times New Roman" w:eastAsia="Times New Roman" w:hAnsi="Times New Roman"/>
                <w:sz w:val="17"/>
                <w:szCs w:val="17"/>
                <w:color w:val="0000FF"/>
              </w:rPr>
              <w:t>06/16/2026</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4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rPr>
              <w:t>1,078</w:t>
            </w:r>
            <w:r>
              <w:rPr>
                <w:rFonts w:ascii="Times New Roman" w:cs="Times New Roman" w:eastAsia="Times New Roman" w:hAnsi="Times New Roman"/>
                <w:sz w:val="22"/>
                <w:szCs w:val="22"/>
                <w:color w:val="008000"/>
                <w:vertAlign w:val="superscript"/>
              </w:rPr>
              <w:t>(1)</w:t>
            </w:r>
          </w:p>
        </w:tc>
        <w:tc>
          <w:tcPr>
            <w:tcW w:w="1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gridSpan w:val="4"/>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120.737</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797,851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w w:val="99"/>
              </w:rPr>
              <w:t>5,000</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w w:val="99"/>
              </w:rPr>
              <w:t>8,000</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20" w:type="dxa"/>
            <w:vAlign w:val="bottom"/>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180" w:type="dxa"/>
            <w:vAlign w:val="bottom"/>
          </w:tcPr>
          <w:p>
            <w:pPr>
              <w:spacing w:after="0"/>
              <w:rPr>
                <w:sz w:val="14"/>
                <w:szCs w:val="14"/>
                <w:color w:val="auto"/>
              </w:rPr>
            </w:pPr>
          </w:p>
        </w:tc>
        <w:tc>
          <w:tcPr>
            <w:tcW w:w="500" w:type="dxa"/>
            <w:vAlign w:val="bottom"/>
            <w:gridSpan w:val="2"/>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made pursuant to a Rule 10b5-1 trading plan adopted by the reporting person on August 29, 2025.</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$120.00 to $124.43, inclusive, on June 15, 2026, and from $120.00 to $122.69, inclusive, on June 16, 2026. The reporting person undertakes to provide to United Airlines Holdings, Inc., any security holder of United Airlines Holdings, Inc. or the staff of the Securities and Exchange Commission, upon request, full information regarding the number of shares sold at each separate price within the ranges set forth in this Form 4.</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in a trust for the benefit of Mr. Kirby's children and other relatives in which Mr. Kirby serves as the trustee. The reporting person disclaims beneficial ownership of these securities except to the extent of his pecuniary interest therein, and the inclusion of these shares in this report is not an admission that the reporting person is the beneficial owner of all the reported shares for purposes of Section 16 or for any other purpose.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in a trust for the benefit of Mr. Kirby's children in which Mr. Kirby's brother serves as the trustee.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James Cotton for J. Scott</w:t>
            </w:r>
          </w:p>
        </w:tc>
        <w:tc>
          <w:tcPr>
            <w:tcW w:w="1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4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Kirby</w:t>
            </w:r>
          </w:p>
        </w:tc>
        <w:tc>
          <w:tcPr>
            <w:tcW w:w="166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20" w:type="dxa"/>
            <w:vAlign w:val="bottom"/>
            <w:tcBorders>
              <w:bottom w:val="single" w:sz="8" w:color="auto"/>
            </w:tcBorders>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56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49555" TargetMode="External"/><Relationship Id="rId14" Type="http://schemas.openxmlformats.org/officeDocument/2006/relationships/hyperlink" Target="http://www.sec.gov/cgi-bin/browse-edgar?action=getcompany&amp;CIK=00001005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2026-06-17T17:02:39Z</dcterms:created>
  <dcterms:modified xsi:type="dcterms:W3CDTF">2026-06-17T17:02:39Z</dcterms:modified>
</cp:coreProperties>
</file>