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33020</wp:posOffset>
            </wp:positionV>
            <wp:extent cx="5006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-172085</wp:posOffset>
            </wp:positionV>
            <wp:extent cx="5006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spacing w:after="0"/>
        <w:tabs>
          <w:tab w:leader="none" w:pos="2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-5080</wp:posOffset>
            </wp:positionV>
            <wp:extent cx="837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756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131445</wp:posOffset>
            </wp:positionV>
            <wp:extent cx="39433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7124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245"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tbl>
      <w:tblPr>
        <w:tblLayout w:type="fixed"/>
        <w:tblInd w:w="1740" w:type="dxa"/>
        <w:tblCellMar>
          <w:top w:w="0" w:type="dxa"/>
          <w:left w:w="0" w:type="dxa"/>
          <w:bottom w:w="0" w:type="dxa"/>
          <w:right w:w="0" w:type="dxa"/>
        </w:tblCellMar>
      </w:tblPr>
      <w:tr>
        <w:trPr>
          <w:trHeight w:val="14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Commission</w:t>
            </w:r>
          </w:p>
        </w:tc>
        <w:tc>
          <w:tcPr>
            <w:tcW w:w="3640" w:type="dxa"/>
            <w:vAlign w:val="bottom"/>
            <w:gridSpan w:val="3"/>
          </w:tcPr>
          <w:p>
            <w:pPr>
              <w:jc w:val="center"/>
              <w:ind w:left="617"/>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State of</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442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Principal Executive Office Address and Telephone Number</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
        </w:trPr>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0"/>
        </w:trPr>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001-06033</w:t>
            </w:r>
          </w:p>
        </w:tc>
        <w:tc>
          <w:tcPr>
            <w:tcW w:w="10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United Airlines Holdings, Inc.</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Delaware</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36-2675207</w:t>
            </w:r>
          </w:p>
        </w:tc>
      </w:tr>
      <w:tr>
        <w:trPr>
          <w:trHeight w:val="169"/>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233 South Wacker Drive,</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Chicago,</w:t>
            </w: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Illinois</w:t>
            </w: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60606</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1" w:lineRule="exact"/>
        <w:rPr>
          <w:sz w:val="24"/>
          <w:szCs w:val="24"/>
          <w:color w:val="auto"/>
        </w:rPr>
      </w:pPr>
    </w:p>
    <w:p>
      <w:pPr>
        <w:ind w:left="3520" w:hanging="673"/>
        <w:spacing w:after="0"/>
        <w:tabs>
          <w:tab w:leader="none" w:pos="35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825-4000</w:t>
      </w:r>
    </w:p>
    <w:p>
      <w:pPr>
        <w:spacing w:after="0" w:line="78" w:lineRule="exact"/>
        <w:rPr>
          <w:sz w:val="24"/>
          <w:szCs w:val="24"/>
          <w:color w:val="auto"/>
        </w:rPr>
      </w:pPr>
    </w:p>
    <w:tbl>
      <w:tblPr>
        <w:tblLayout w:type="fixed"/>
        <w:tblInd w:w="1960" w:type="dxa"/>
        <w:tblCellMar>
          <w:top w:w="0" w:type="dxa"/>
          <w:left w:w="0" w:type="dxa"/>
          <w:bottom w:w="0" w:type="dxa"/>
          <w:right w:w="0" w:type="dxa"/>
        </w:tblCellMar>
      </w:tblPr>
      <w:tr>
        <w:trPr>
          <w:trHeight w:val="166"/>
        </w:trPr>
        <w:tc>
          <w:tcPr>
            <w:tcW w:w="7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2"/>
              </w:rPr>
              <w:t>001-10323</w:t>
            </w: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United Airlines, Inc.</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6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Delaware</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74-2099724</w:t>
            </w:r>
          </w:p>
        </w:tc>
      </w:tr>
      <w:tr>
        <w:trPr>
          <w:trHeight w:val="176"/>
        </w:trPr>
        <w:tc>
          <w:tcPr>
            <w:tcW w:w="720" w:type="dxa"/>
            <w:vAlign w:val="bottom"/>
          </w:tcPr>
          <w:p>
            <w:pPr>
              <w:spacing w:after="0"/>
              <w:rPr>
                <w:sz w:val="15"/>
                <w:szCs w:val="15"/>
                <w:color w:val="auto"/>
              </w:rPr>
            </w:pPr>
          </w:p>
        </w:tc>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233 South Wacker Drive,</w:t>
            </w:r>
          </w:p>
        </w:tc>
        <w:tc>
          <w:tcPr>
            <w:tcW w:w="10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Chicago,</w:t>
            </w: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Illinois</w:t>
            </w:r>
          </w:p>
        </w:tc>
        <w:tc>
          <w:tcPr>
            <w:tcW w:w="1960" w:type="dxa"/>
            <w:vAlign w:val="bottom"/>
          </w:tcPr>
          <w:p>
            <w:pPr>
              <w:jc w:val="right"/>
              <w:ind w:right="1417"/>
              <w:spacing w:after="0"/>
              <w:rPr>
                <w:sz w:val="20"/>
                <w:szCs w:val="20"/>
                <w:color w:val="auto"/>
              </w:rPr>
            </w:pPr>
            <w:r>
              <w:rPr>
                <w:rFonts w:ascii="Times New Roman" w:cs="Times New Roman" w:eastAsia="Times New Roman" w:hAnsi="Times New Roman"/>
                <w:sz w:val="13"/>
                <w:szCs w:val="13"/>
                <w:color w:val="auto"/>
              </w:rPr>
              <w:t>60606</w:t>
            </w:r>
          </w:p>
        </w:tc>
        <w:tc>
          <w:tcPr>
            <w:tcW w:w="960" w:type="dxa"/>
            <w:vAlign w:val="bottom"/>
          </w:tcPr>
          <w:p>
            <w:pPr>
              <w:spacing w:after="0"/>
              <w:rPr>
                <w:sz w:val="15"/>
                <w:szCs w:val="15"/>
                <w:color w:val="auto"/>
              </w:rPr>
            </w:pPr>
          </w:p>
        </w:tc>
      </w:tr>
    </w:tbl>
    <w:p>
      <w:pPr>
        <w:spacing w:after="0" w:line="11" w:lineRule="exact"/>
        <w:rPr>
          <w:sz w:val="24"/>
          <w:szCs w:val="24"/>
          <w:color w:val="auto"/>
        </w:rPr>
      </w:pPr>
    </w:p>
    <w:p>
      <w:pPr>
        <w:ind w:left="3520" w:hanging="673"/>
        <w:spacing w:after="0"/>
        <w:tabs>
          <w:tab w:leader="none" w:pos="35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825-4000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1976755</wp:posOffset>
            </wp:positionH>
            <wp:positionV relativeFrom="paragraph">
              <wp:posOffset>130810</wp:posOffset>
            </wp:positionV>
            <wp:extent cx="3188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200" w:type="dxa"/>
        <w:tblCellMar>
          <w:top w:w="0" w:type="dxa"/>
          <w:left w:w="0" w:type="dxa"/>
          <w:bottom w:w="0" w:type="dxa"/>
          <w:right w:w="0" w:type="dxa"/>
        </w:tblCellMar>
      </w:tblPr>
      <w:tr>
        <w:trPr>
          <w:trHeight w:val="168"/>
        </w:trPr>
        <w:tc>
          <w:tcPr>
            <w:tcW w:w="3520" w:type="dxa"/>
            <w:vAlign w:val="bottom"/>
            <w:tcBorders>
              <w:top w:val="single" w:sz="8" w:color="auto"/>
            </w:tcBorders>
            <w:gridSpan w:val="2"/>
          </w:tcPr>
          <w:p>
            <w:pPr>
              <w:ind w:left="1360"/>
              <w:spacing w:after="0"/>
              <w:rPr>
                <w:sz w:val="20"/>
                <w:szCs w:val="20"/>
                <w:color w:val="auto"/>
              </w:rPr>
            </w:pPr>
            <w:r>
              <w:rPr>
                <w:rFonts w:ascii="Times New Roman" w:cs="Times New Roman" w:eastAsia="Times New Roman" w:hAnsi="Times New Roman"/>
                <w:sz w:val="13"/>
                <w:szCs w:val="13"/>
                <w:b w:val="1"/>
                <w:bCs w:val="1"/>
                <w:color w:val="auto"/>
              </w:rPr>
              <w:t>Registrant</w:t>
            </w:r>
          </w:p>
        </w:tc>
        <w:tc>
          <w:tcPr>
            <w:tcW w:w="2400" w:type="dxa"/>
            <w:vAlign w:val="bottom"/>
            <w:tcBorders>
              <w:top w:val="single" w:sz="8" w:color="auto"/>
            </w:tcBorders>
            <w:gridSpan w:val="2"/>
          </w:tcPr>
          <w:p>
            <w:pPr>
              <w:ind w:left="5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60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59"/>
        </w:trPr>
        <w:tc>
          <w:tcPr>
            <w:tcW w:w="3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20" w:type="dxa"/>
            <w:vAlign w:val="bottom"/>
          </w:tcPr>
          <w:p>
            <w:pPr>
              <w:spacing w:after="0"/>
              <w:rPr>
                <w:sz w:val="13"/>
                <w:szCs w:val="13"/>
                <w:color w:val="auto"/>
              </w:rPr>
            </w:pPr>
          </w:p>
        </w:tc>
        <w:tc>
          <w:tcPr>
            <w:tcW w:w="2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Common Stock, $0.01 par value</w:t>
            </w:r>
          </w:p>
        </w:tc>
        <w:tc>
          <w:tcPr>
            <w:tcW w:w="220" w:type="dxa"/>
            <w:vAlign w:val="bottom"/>
          </w:tcPr>
          <w:p>
            <w:pPr>
              <w:spacing w:after="0"/>
              <w:rPr>
                <w:sz w:val="13"/>
                <w:szCs w:val="13"/>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UAL</w:t>
            </w:r>
          </w:p>
        </w:tc>
        <w:tc>
          <w:tcPr>
            <w:tcW w:w="240" w:type="dxa"/>
            <w:vAlign w:val="bottom"/>
          </w:tcPr>
          <w:p>
            <w:pPr>
              <w:spacing w:after="0"/>
              <w:rPr>
                <w:sz w:val="13"/>
                <w:szCs w:val="13"/>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171"/>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 Stock Purchase Rights</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176"/>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Airlines, Inc.</w:t>
            </w:r>
          </w:p>
        </w:tc>
        <w:tc>
          <w:tcPr>
            <w:tcW w:w="240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None</w:t>
            </w: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9"/>
              </w:rPr>
              <w:t>None</w:t>
            </w:r>
          </w:p>
        </w:tc>
        <w:tc>
          <w:tcPr>
            <w:tcW w:w="33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None</w:t>
            </w:r>
          </w:p>
        </w:tc>
      </w:tr>
    </w:tbl>
    <w:p>
      <w:pPr>
        <w:spacing w:after="0" w:line="182" w:lineRule="exact"/>
        <w:rPr>
          <w:sz w:val="24"/>
          <w:szCs w:val="24"/>
          <w:color w:val="auto"/>
        </w:rPr>
      </w:pPr>
    </w:p>
    <w:p>
      <w:pPr>
        <w:jc w:val="both"/>
        <w:ind w:right="160"/>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
        <w:spacing w:after="0" w:line="150" w:lineRule="exact"/>
        <w:tabs>
          <w:tab w:leader="none" w:pos="3600" w:val="left"/>
          <w:tab w:leader="none" w:pos="4020" w:val="left"/>
          <w:tab w:leader="none" w:pos="4460" w:val="left"/>
          <w:tab w:leader="none" w:pos="4900" w:val="left"/>
          <w:tab w:leader="none" w:pos="5560" w:val="left"/>
          <w:tab w:leader="none" w:pos="9200" w:val="left"/>
          <w:tab w:leader="none" w:pos="9640" w:val="left"/>
          <w:tab w:leader="none" w:pos="10060" w:val="left"/>
          <w:tab w:leader="none" w:pos="105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26"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
        <w:spacing w:after="0" w:line="150" w:lineRule="exact"/>
        <w:tabs>
          <w:tab w:leader="none" w:pos="3600" w:val="left"/>
          <w:tab w:leader="none" w:pos="4020" w:val="left"/>
          <w:tab w:leader="none" w:pos="4460" w:val="left"/>
          <w:tab w:leader="none" w:pos="4900" w:val="left"/>
          <w:tab w:leader="none" w:pos="5560" w:val="left"/>
          <w:tab w:leader="none" w:pos="9200" w:val="left"/>
          <w:tab w:leader="none" w:pos="9640" w:val="left"/>
          <w:tab w:leader="none" w:pos="10060" w:val="left"/>
          <w:tab w:leader="none" w:pos="10500" w:val="left"/>
        </w:tabs>
        <w:rPr>
          <w:sz w:val="20"/>
          <w:szCs w:val="20"/>
          <w:color w:val="auto"/>
        </w:rPr>
      </w:pPr>
      <w:r>
        <w:rPr>
          <w:rFonts w:ascii="Times New Roman" w:cs="Times New Roman" w:eastAsia="Times New Roman" w:hAnsi="Times New Roman"/>
          <w:sz w:val="13"/>
          <w:szCs w:val="13"/>
          <w:color w:val="auto"/>
        </w:rPr>
        <w:t>United Airlines Holdings,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United Airlines, Inc.</w:t>
      </w:r>
      <w:r>
        <w:rPr>
          <w:sz w:val="20"/>
          <w:szCs w:val="20"/>
          <w:color w:val="auto"/>
        </w:rPr>
        <w:tab/>
      </w:r>
      <w:r>
        <w:rPr>
          <w:rFonts w:ascii="Times New Roman" w:cs="Times New Roman" w:eastAsia="Times New Roman" w:hAnsi="Times New Roman"/>
          <w:sz w:val="13"/>
          <w:szCs w:val="13"/>
          <w:color w:val="auto"/>
        </w:rPr>
        <w:t>Yes</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No</w:t>
      </w:r>
      <w:r>
        <w:rPr>
          <w:sz w:val="20"/>
          <w:szCs w:val="20"/>
          <w:color w:val="auto"/>
        </w:rPr>
        <w:tab/>
      </w:r>
      <w:r>
        <w:rPr>
          <w:rFonts w:ascii="MS PGothic" w:cs="MS PGothic" w:eastAsia="MS PGothic" w:hAnsi="MS PGothic"/>
          <w:sz w:val="10"/>
          <w:szCs w:val="10"/>
          <w:color w:val="auto"/>
        </w:rPr>
        <w:t>☐</w:t>
      </w:r>
    </w:p>
    <w:p>
      <w:pPr>
        <w:spacing w:after="0" w:line="212" w:lineRule="exact"/>
        <w:rPr>
          <w:sz w:val="24"/>
          <w:szCs w:val="24"/>
          <w:color w:val="auto"/>
        </w:rPr>
      </w:pPr>
    </w:p>
    <w:p>
      <w:pPr>
        <w:ind w:right="38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533" w:right="399" w:bottom="1440" w:gutter="0" w:footer="0" w:header="0"/>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350" w:lineRule="auto"/>
        <w:rPr>
          <w:sz w:val="20"/>
          <w:szCs w:val="20"/>
          <w:color w:val="auto"/>
        </w:rPr>
      </w:pPr>
      <w:r>
        <w:rPr>
          <w:rFonts w:ascii="Times New Roman" w:cs="Times New Roman" w:eastAsia="Times New Roman" w:hAnsi="Times New Roman"/>
          <w:sz w:val="12"/>
          <w:szCs w:val="12"/>
          <w:color w:val="auto"/>
        </w:rPr>
        <w:t>Large accelerated filer Large accelerated filer</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Accelerated filer Accelerated filer</w:t>
      </w:r>
    </w:p>
    <w:p>
      <w:pPr>
        <w:spacing w:after="0" w:line="20" w:lineRule="exact"/>
        <w:rPr>
          <w:sz w:val="24"/>
          <w:szCs w:val="24"/>
          <w:color w:val="auto"/>
        </w:rPr>
      </w:pPr>
      <w:r>
        <w:rPr>
          <w:sz w:val="24"/>
          <w:szCs w:val="24"/>
          <w:color w:val="auto"/>
        </w:rPr>
        <w:br w:type="column"/>
      </w:r>
    </w:p>
    <w:p>
      <w:pPr>
        <w:jc w:val="both"/>
        <w:spacing w:after="0" w:line="175"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Smaller reporting company Smaller reporting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both"/>
        <w:spacing w:after="0" w:line="350" w:lineRule="auto"/>
        <w:rPr>
          <w:sz w:val="20"/>
          <w:szCs w:val="20"/>
          <w:color w:val="auto"/>
        </w:rPr>
      </w:pPr>
      <w:r>
        <w:rPr>
          <w:rFonts w:ascii="Times New Roman" w:cs="Times New Roman" w:eastAsia="Times New Roman" w:hAnsi="Times New Roman"/>
          <w:sz w:val="12"/>
          <w:szCs w:val="12"/>
          <w:color w:val="auto"/>
        </w:rPr>
        <w:t>Emerging growth company Emerging growth company</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ectPr>
          <w:pgSz w:w="11900" w:h="16838" w:orient="portrait"/>
          <w:cols w:equalWidth="0" w:num="10">
            <w:col w:w="1560" w:space="660"/>
            <w:col w:w="1120" w:space="380"/>
            <w:col w:w="100" w:space="140"/>
            <w:col w:w="860" w:space="280"/>
            <w:col w:w="1340" w:space="340"/>
            <w:col w:w="120" w:space="180"/>
            <w:col w:w="1380" w:space="440"/>
            <w:col w:w="120" w:space="160"/>
            <w:col w:w="1380" w:space="400"/>
            <w:col w:w="220"/>
          </w:cols>
          <w:pgMar w:left="320" w:top="533" w:right="399" w:bottom="1440" w:gutter="0" w:footer="0" w:header="0"/>
          <w:type w:val="continuous"/>
        </w:sectPr>
      </w:pPr>
    </w:p>
    <w:p>
      <w:pPr>
        <w:ind w:right="500"/>
        <w:spacing w:after="0" w:line="273"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180"/>
          </w:cols>
          <w:pgMar w:left="320" w:top="533" w:right="39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82" w:lineRule="exact"/>
        <w:rPr>
          <w:sz w:val="20"/>
          <w:szCs w:val="20"/>
          <w:color w:val="auto"/>
        </w:rPr>
      </w:pPr>
      <w:r>
        <w:rPr>
          <w:rFonts w:ascii="MS PGothic" w:cs="MS PGothic" w:eastAsia="MS PGothic" w:hAnsi="MS PGothic"/>
          <w:sz w:val="10"/>
          <w:szCs w:val="10"/>
          <w:color w:val="auto"/>
        </w:rPr>
        <w:t>☐</w:t>
      </w:r>
    </w:p>
    <w:p>
      <w:pPr>
        <w:spacing w:after="0" w:line="113"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240" w:lineRule="exact"/>
        <w:rPr>
          <w:sz w:val="24"/>
          <w:szCs w:val="24"/>
          <w:color w:val="auto"/>
        </w:rPr>
      </w:pPr>
    </w:p>
    <w:p>
      <w:pPr>
        <w:sectPr>
          <w:pgSz w:w="11900" w:h="16838" w:orient="portrait"/>
          <w:cols w:equalWidth="0" w:num="2">
            <w:col w:w="2880" w:space="720"/>
            <w:col w:w="7580"/>
          </w:cols>
          <w:pgMar w:left="320" w:top="533" w:right="39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ectPr>
          <w:pgSz w:w="11900" w:h="16838" w:orient="portrait"/>
          <w:cols w:equalWidth="0" w:num="1">
            <w:col w:w="11180"/>
          </w:cols>
          <w:pgMar w:left="320" w:top="533" w:right="399" w:bottom="1440" w:gutter="0" w:footer="0" w:header="0"/>
          <w:type w:val="continuous"/>
        </w:sectPr>
      </w:pPr>
    </w:p>
    <w:p>
      <w:pPr>
        <w:spacing w:after="0" w:line="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United Airlines Holdings, Inc.</w:t>
      </w:r>
    </w:p>
    <w:p>
      <w:pPr>
        <w:spacing w:after="0" w:line="3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3"/>
          <w:szCs w:val="13"/>
          <w:color w:val="auto"/>
        </w:rPr>
        <w:t>United Airlines, Inc.</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Yes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both"/>
        <w:spacing w:after="0" w:line="194"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4">
            <w:col w:w="2840" w:space="720"/>
            <w:col w:w="180" w:space="260"/>
            <w:col w:w="420" w:space="160"/>
            <w:col w:w="6600"/>
          </w:cols>
          <w:pgMar w:left="320" w:top="533"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The number of shares outstanding of each of the issuer's classes of common stock as of July 11, 2024 is shown below:</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64"/>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Holdings, Inc.</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328,833,907</w:t>
            </w:r>
          </w:p>
        </w:tc>
        <w:tc>
          <w:tcPr>
            <w:tcW w:w="4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shares of common stock ($0.01 par value)</w:t>
            </w:r>
          </w:p>
        </w:tc>
      </w:tr>
      <w:tr>
        <w:trPr>
          <w:trHeight w:val="17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United Airlines, Inc.</w:t>
            </w:r>
          </w:p>
        </w:tc>
        <w:tc>
          <w:tcPr>
            <w:tcW w:w="1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464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6"/>
              </w:rPr>
              <w:t>shares of common stock ($0.01 par value) (100% owned by United Airlines Holdings, Inc.)</w:t>
            </w:r>
          </w:p>
        </w:tc>
      </w:tr>
    </w:tbl>
    <w:p>
      <w:pPr>
        <w:spacing w:after="0" w:line="1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OMISSION OF CERTAIN INFORMATION</w:t>
      </w:r>
    </w:p>
    <w:p>
      <w:pPr>
        <w:spacing w:after="0" w:line="102" w:lineRule="exact"/>
        <w:rPr>
          <w:sz w:val="24"/>
          <w:szCs w:val="24"/>
          <w:color w:val="auto"/>
        </w:rPr>
      </w:pPr>
    </w:p>
    <w:p>
      <w:pPr>
        <w:ind w:right="80"/>
        <w:spacing w:after="0" w:line="298" w:lineRule="auto"/>
        <w:rPr>
          <w:sz w:val="20"/>
          <w:szCs w:val="20"/>
          <w:color w:val="auto"/>
        </w:rPr>
      </w:pPr>
      <w:r>
        <w:rPr>
          <w:rFonts w:ascii="Times New Roman" w:cs="Times New Roman" w:eastAsia="Times New Roman" w:hAnsi="Times New Roman"/>
          <w:sz w:val="16"/>
          <w:szCs w:val="16"/>
          <w:color w:val="auto"/>
        </w:rPr>
        <w:t>This combined Quarterly Report on Form 10-Q is separately filed by United Airlines Holdings, Inc. and United Airlines, Inc. United Airlines, Inc. meets the conditions set forth in General Instruction H(1)(a) and (b) of Form 10-Q and is therefore filing this form with the reduced disclosure format allowed under that General Instruction.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3"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6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40" w:type="dxa"/>
            <w:vAlign w:val="bottom"/>
            <w:gridSpan w:val="5"/>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United Airlines, Inc.</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60" w:type="dxa"/>
            <w:vAlign w:val="bottom"/>
            <w:gridSpan w:val="7"/>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Quarterly Report on Form 10-Q</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56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June 30, 2024</w:t>
            </w: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40" w:type="dxa"/>
            <w:vAlign w:val="bottom"/>
            <w:gridSpan w:val="5"/>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30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6"/>
        </w:trPr>
        <w:tc>
          <w:tcPr>
            <w:tcW w:w="9940" w:type="dxa"/>
            <w:vAlign w:val="bottom"/>
            <w:gridSpan w:val="27"/>
          </w:tcPr>
          <w:p>
            <w:pPr>
              <w:ind w:left="40"/>
              <w:spacing w:after="0" w:line="176"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12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0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 Financial Statements</w:t>
            </w:r>
          </w:p>
        </w:tc>
        <w:tc>
          <w:tcPr>
            <w:tcW w:w="700" w:type="dxa"/>
            <w:vAlign w:val="bottom"/>
            <w:tcBorders>
              <w:top w:val="single" w:sz="8" w:color="0000FF"/>
            </w:tcBorders>
            <w:gridSpan w:val="5"/>
          </w:tcPr>
          <w:p>
            <w:pPr>
              <w:spacing w:after="0"/>
              <w:rPr>
                <w:sz w:val="22"/>
                <w:szCs w:val="22"/>
                <w:color w:val="auto"/>
              </w:rPr>
            </w:pPr>
          </w:p>
        </w:tc>
        <w:tc>
          <w:tcPr>
            <w:tcW w:w="7020" w:type="dxa"/>
            <w:vAlign w:val="bottom"/>
            <w:gridSpan w:val="10"/>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United Airlines Holdings, Inc.:</w:t>
            </w:r>
          </w:p>
        </w:tc>
        <w:tc>
          <w:tcPr>
            <w:tcW w:w="7340" w:type="dxa"/>
            <w:vAlign w:val="bottom"/>
            <w:gridSpan w:val="13"/>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Operations</w:t>
            </w:r>
          </w:p>
        </w:tc>
        <w:tc>
          <w:tcPr>
            <w:tcW w:w="6560" w:type="dxa"/>
            <w:vAlign w:val="bottom"/>
            <w:gridSpan w:val="9"/>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Statements of Consolidated Comprehensive Income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6"/>
          </w:tcPr>
          <w:p>
            <w:pPr>
              <w:spacing w:after="0"/>
              <w:rPr>
                <w:sz w:val="18"/>
                <w:szCs w:val="18"/>
                <w:color w:val="auto"/>
              </w:rPr>
            </w:pPr>
          </w:p>
        </w:tc>
        <w:tc>
          <w:tcPr>
            <w:tcW w:w="5140" w:type="dxa"/>
            <w:vAlign w:val="bottom"/>
            <w:gridSpan w:val="5"/>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Consolidated Cash Flows</w:t>
            </w:r>
          </w:p>
        </w:tc>
        <w:tc>
          <w:tcPr>
            <w:tcW w:w="5660" w:type="dxa"/>
            <w:vAlign w:val="bottom"/>
            <w:gridSpan w:val="7"/>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Statement of Consolidated Stockholders' Equity</w:t>
            </w:r>
          </w:p>
        </w:tc>
        <w:tc>
          <w:tcPr>
            <w:tcW w:w="5920" w:type="dxa"/>
            <w:vAlign w:val="bottom"/>
            <w:gridSpan w:val="8"/>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United Airlines, Inc.:</w:t>
            </w:r>
          </w:p>
        </w:tc>
        <w:tc>
          <w:tcPr>
            <w:tcW w:w="8040" w:type="dxa"/>
            <w:vAlign w:val="bottom"/>
            <w:gridSpan w:val="18"/>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Statements of Consolidated Operations</w:t>
            </w:r>
          </w:p>
        </w:tc>
        <w:tc>
          <w:tcPr>
            <w:tcW w:w="6560" w:type="dxa"/>
            <w:vAlign w:val="bottom"/>
            <w:gridSpan w:val="9"/>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Statements of Consolidated Comprehensive Income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140" w:type="dxa"/>
            <w:vAlign w:val="bottom"/>
            <w:tcBorders>
              <w:top w:val="single" w:sz="8" w:color="0000FF"/>
            </w:tcBorders>
            <w:gridSpan w:val="6"/>
          </w:tcPr>
          <w:p>
            <w:pPr>
              <w:spacing w:after="0"/>
              <w:rPr>
                <w:sz w:val="18"/>
                <w:szCs w:val="18"/>
                <w:color w:val="auto"/>
              </w:rPr>
            </w:pPr>
          </w:p>
        </w:tc>
        <w:tc>
          <w:tcPr>
            <w:tcW w:w="5140" w:type="dxa"/>
            <w:vAlign w:val="bottom"/>
            <w:gridSpan w:val="5"/>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Statements of Consolidated Cash Flows</w:t>
            </w:r>
          </w:p>
        </w:tc>
        <w:tc>
          <w:tcPr>
            <w:tcW w:w="5660" w:type="dxa"/>
            <w:vAlign w:val="bottom"/>
            <w:gridSpan w:val="7"/>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Statement of Consolidated Stockholder's Equity</w:t>
            </w:r>
          </w:p>
        </w:tc>
        <w:tc>
          <w:tcPr>
            <w:tcW w:w="5920" w:type="dxa"/>
            <w:vAlign w:val="bottom"/>
            <w:gridSpan w:val="8"/>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Combined Notes to Condensed Consolidated Financial Statements</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(United Airlines Holdings, Inc. and United Airlines, Inc.)</w:t>
            </w:r>
          </w:p>
        </w:tc>
        <w:tc>
          <w:tcPr>
            <w:tcW w:w="660" w:type="dxa"/>
            <w:vAlign w:val="bottom"/>
            <w:tcBorders>
              <w:top w:val="single" w:sz="8" w:color="0000FF"/>
            </w:tcBorders>
            <w:gridSpan w:val="4"/>
          </w:tcPr>
          <w:p>
            <w:pPr>
              <w:spacing w:after="0"/>
              <w:rPr>
                <w:sz w:val="13"/>
                <w:szCs w:val="13"/>
                <w:color w:val="auto"/>
              </w:rPr>
            </w:pPr>
          </w:p>
        </w:tc>
        <w:tc>
          <w:tcPr>
            <w:tcW w:w="20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4860" w:type="dxa"/>
            <w:vAlign w:val="bottom"/>
            <w:gridSpan w:val="3"/>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40" w:type="dxa"/>
            <w:vAlign w:val="bottom"/>
            <w:gridSpan w:val="8"/>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940" w:type="dxa"/>
            <w:vAlign w:val="bottom"/>
            <w:gridSpan w:val="27"/>
          </w:tcPr>
          <w:p>
            <w:pPr>
              <w:ind w:left="40"/>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24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320" w:type="dxa"/>
            <w:vAlign w:val="bottom"/>
            <w:gridSpan w:val="12"/>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280" w:type="dxa"/>
            <w:vAlign w:val="bottom"/>
            <w:tcBorders>
              <w:top w:val="single" w:sz="8" w:color="0000FF"/>
            </w:tcBorders>
            <w:gridSpan w:val="3"/>
          </w:tcPr>
          <w:p>
            <w:pPr>
              <w:spacing w:after="0"/>
              <w:rPr>
                <w:sz w:val="18"/>
                <w:szCs w:val="18"/>
                <w:color w:val="auto"/>
              </w:rPr>
            </w:pPr>
          </w:p>
        </w:tc>
        <w:tc>
          <w:tcPr>
            <w:tcW w:w="7900" w:type="dxa"/>
            <w:vAlign w:val="bottom"/>
            <w:gridSpan w:val="16"/>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0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4880" w:type="dxa"/>
            <w:vAlign w:val="bottom"/>
            <w:gridSpan w:val="4"/>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3"/>
          </w:tcPr>
          <w:p>
            <w:pPr>
              <w:spacing w:after="0"/>
              <w:rPr>
                <w:sz w:val="18"/>
                <w:szCs w:val="18"/>
                <w:color w:val="auto"/>
              </w:rPr>
            </w:pPr>
          </w:p>
        </w:tc>
        <w:tc>
          <w:tcPr>
            <w:tcW w:w="7920" w:type="dxa"/>
            <w:vAlign w:val="bottom"/>
            <w:gridSpan w:val="17"/>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800" w:type="dxa"/>
            <w:vAlign w:val="bottom"/>
            <w:gridSpan w:val="2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940" w:type="dxa"/>
            <w:vAlign w:val="bottom"/>
            <w:gridSpan w:val="27"/>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3"/>
        </w:trPr>
        <w:tc>
          <w:tcPr>
            <w:tcW w:w="4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 (UNAUDITED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Passenger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Cargo</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23"/>
        </w:trPr>
        <w:tc>
          <w:tcPr>
            <w:tcW w:w="5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r>
      <w:tr>
        <w:trPr>
          <w:trHeight w:val="250"/>
        </w:trPr>
        <w:tc>
          <w:tcPr>
            <w:tcW w:w="5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30"/>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r>
      <w:tr>
        <w:trPr>
          <w:trHeight w:val="223"/>
        </w:trPr>
        <w:tc>
          <w:tcPr>
            <w:tcW w:w="5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r>
      <w:tr>
        <w:trPr>
          <w:trHeight w:val="270"/>
        </w:trPr>
        <w:tc>
          <w:tcPr>
            <w:tcW w:w="5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30"/>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0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70"/>
        </w:trPr>
        <w:tc>
          <w:tcPr>
            <w:tcW w:w="5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53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1"/>
        </w:trPr>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8"/>
                <w:szCs w:val="18"/>
                <w:color w:val="auto"/>
              </w:rPr>
            </w:pPr>
          </w:p>
        </w:tc>
        <w:tc>
          <w:tcPr>
            <w:tcW w:w="1780" w:type="dxa"/>
            <w:vAlign w:val="bottom"/>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0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less allowance for credit losses (2024 — $20; 2023 — $18)</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176"/>
        </w:trPr>
        <w:tc>
          <w:tcPr>
            <w:tcW w:w="7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Aircraft fuel, spare parts and supplies, less obsolescence allowance (2024 — $754; 2023 —</w:t>
            </w:r>
          </w:p>
        </w:tc>
        <w:tc>
          <w:tcPr>
            <w:tcW w:w="3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property and equipment:</w:t>
            </w: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Flight equipment</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deposits for flight equipment</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3"/>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property and equipment</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property and equipment, net</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0" w:type="dxa"/>
            <w:vAlign w:val="bottom"/>
          </w:tcPr>
          <w:p>
            <w:pPr>
              <w:spacing w:after="0"/>
              <w:rPr>
                <w:sz w:val="1"/>
                <w:szCs w:val="1"/>
                <w:color w:val="auto"/>
              </w:rPr>
            </w:pPr>
          </w:p>
        </w:tc>
      </w:tr>
      <w:tr>
        <w:trPr>
          <w:trHeight w:val="250"/>
        </w:trPr>
        <w:tc>
          <w:tcPr>
            <w:tcW w:w="7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 less accumulated amortization (2024 — $1,347; 2023 — $1,495)</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w w:val="99"/>
              </w:rPr>
              <w:t>Investments in affiliates and other, less allowance for credit losses (2024 — $32; 2023 — $38)</w:t>
            </w: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 on next page)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36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ticket sales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other financial liabilities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25,855</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22,203</w:t>
            </w:r>
          </w:p>
        </w:tc>
        <w:tc>
          <w:tcPr>
            <w:tcW w:w="0" w:type="dxa"/>
            <w:vAlign w:val="bottom"/>
          </w:tcPr>
          <w:p>
            <w:pPr>
              <w:spacing w:after="0"/>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 under finance leases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56"/>
        </w:trPr>
        <w:tc>
          <w:tcPr>
            <w:tcW w:w="73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liability</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Postretirement benefit liability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liabilities and deferred credits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10,678</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Common stock at par, $0.01 par value; authorized 1,000,000,000 shares; outstanding 328,832,139</w:t>
            </w:r>
          </w:p>
        </w:tc>
        <w:tc>
          <w:tcPr>
            <w:tcW w:w="2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328,018,739 shares at June 30, 2024 and December 31, 2023, respectively</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held in treasury, at cost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3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6,941</w:t>
            </w:r>
          </w:p>
        </w:tc>
      </w:tr>
      <w:tr>
        <w:trPr>
          <w:trHeight w:val="256"/>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net of flight equipment purchase deposit returns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and other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short-term and other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37"/>
        </w:trPr>
        <w:tc>
          <w:tcPr>
            <w:tcW w:w="8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and other financing liabilities, net of discounts and fees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long-term debt, finance leases and other financing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9"/>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and Financing Activities Not Affecting Cash:</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through the issuance of debt, finance leases and other</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modifications and lease conversions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interests received in exchange for loans, goods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table provides a reconciliation of cash, cash equivalents and restricted cash to amounts reported within the consolidated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2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 Current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80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170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460" w:type="dxa"/>
            <w:vAlign w:val="bottom"/>
          </w:tcPr>
          <w:p>
            <w:pPr>
              <w:spacing w:after="0"/>
              <w:rPr>
                <w:sz w:val="14"/>
                <w:szCs w:val="14"/>
                <w:color w:val="auto"/>
              </w:rPr>
            </w:pPr>
          </w:p>
        </w:tc>
        <w:tc>
          <w:tcPr>
            <w:tcW w:w="170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Treasury</w:t>
            </w:r>
          </w:p>
        </w:tc>
        <w:tc>
          <w:tcPr>
            <w:tcW w:w="220" w:type="dxa"/>
            <w:vAlign w:val="bottom"/>
          </w:tcPr>
          <w:p>
            <w:pPr>
              <w:spacing w:after="0"/>
              <w:rPr>
                <w:sz w:val="12"/>
                <w:szCs w:val="12"/>
                <w:color w:val="auto"/>
              </w:rPr>
            </w:pPr>
          </w:p>
        </w:tc>
        <w:tc>
          <w:tcPr>
            <w:tcW w:w="11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2"/>
                <w:szCs w:val="12"/>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46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Invested</w:t>
            </w: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9,188</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29"/>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84"/>
        </w:trPr>
        <w:tc>
          <w:tcPr>
            <w:tcW w:w="34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6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0" w:type="dxa"/>
            <w:vAlign w:val="bottom"/>
          </w:tcPr>
          <w:p>
            <w:pPr>
              <w:spacing w:after="0"/>
              <w:rPr>
                <w:sz w:val="1"/>
                <w:szCs w:val="1"/>
                <w:color w:val="auto"/>
              </w:rPr>
            </w:pPr>
          </w:p>
        </w:tc>
      </w:tr>
      <w:tr>
        <w:trPr>
          <w:trHeight w:val="223"/>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84"/>
        </w:trPr>
        <w:tc>
          <w:tcPr>
            <w:tcW w:w="34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Stock issued for share-based awards, net of</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withheld for tax</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2580" w:type="dxa"/>
            <w:vAlign w:val="bottom"/>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Passenger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Cargo</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r>
      <w:tr>
        <w:trPr>
          <w:trHeight w:val="223"/>
        </w:trPr>
        <w:tc>
          <w:tcPr>
            <w:tcW w:w="5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r>
      <w:tr>
        <w:trPr>
          <w:trHeight w:val="237"/>
        </w:trPr>
        <w:tc>
          <w:tcPr>
            <w:tcW w:w="5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9"/>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23"/>
        </w:trPr>
        <w:tc>
          <w:tcPr>
            <w:tcW w:w="5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w:t>
            </w:r>
          </w:p>
        </w:tc>
      </w:tr>
      <w:tr>
        <w:trPr>
          <w:trHeight w:val="22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16"/>
        </w:trPr>
        <w:tc>
          <w:tcPr>
            <w:tcW w:w="5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9"/>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52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0"/>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08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3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1,324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70"/>
        </w:trPr>
        <w:tc>
          <w:tcPr>
            <w:tcW w:w="5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w:t>
            </w: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0"/>
        </w:trPr>
        <w:tc>
          <w:tcPr>
            <w:tcW w:w="53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w:t>
            </w: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1,308</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0"/>
        </w:trPr>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18"/>
                <w:szCs w:val="18"/>
                <w:color w:val="auto"/>
              </w:rPr>
            </w:pPr>
          </w:p>
        </w:tc>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06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less allowance for credit losses (2024 — $20; 2023 — $18)</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175"/>
        </w:trPr>
        <w:tc>
          <w:tcPr>
            <w:tcW w:w="7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Aircraft fuel, spare parts and supplies, less obsolescence allowance (2024 — $754; 2023 —</w:t>
            </w:r>
          </w:p>
        </w:tc>
        <w:tc>
          <w:tcPr>
            <w:tcW w:w="3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0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property and equipment:</w:t>
            </w: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Flight equipment</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48,448</w:t>
            </w:r>
          </w:p>
        </w:tc>
        <w:tc>
          <w:tcPr>
            <w:tcW w:w="0" w:type="dxa"/>
            <w:vAlign w:val="bottom"/>
          </w:tcPr>
          <w:p>
            <w:pPr>
              <w:spacing w:after="0"/>
              <w:rPr>
                <w:sz w:val="1"/>
                <w:szCs w:val="1"/>
                <w:color w:val="auto"/>
              </w:rPr>
            </w:pPr>
          </w:p>
        </w:tc>
      </w:tr>
      <w:tr>
        <w:trPr>
          <w:trHeight w:val="229"/>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deposits for flight equipment</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3"/>
        </w:trPr>
        <w:tc>
          <w:tcPr>
            <w:tcW w:w="7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property and equipment</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(22,710)</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property and equipment, net</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39,815</w:t>
            </w:r>
          </w:p>
        </w:tc>
        <w:tc>
          <w:tcPr>
            <w:tcW w:w="0" w:type="dxa"/>
            <w:vAlign w:val="bottom"/>
          </w:tcPr>
          <w:p>
            <w:pPr>
              <w:spacing w:after="0"/>
              <w:rPr>
                <w:sz w:val="1"/>
                <w:szCs w:val="1"/>
                <w:color w:val="auto"/>
              </w:rPr>
            </w:pPr>
          </w:p>
        </w:tc>
      </w:tr>
      <w:tr>
        <w:trPr>
          <w:trHeight w:val="250"/>
        </w:trPr>
        <w:tc>
          <w:tcPr>
            <w:tcW w:w="7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70"/>
        </w:trPr>
        <w:tc>
          <w:tcPr>
            <w:tcW w:w="7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30"/>
        </w:trPr>
        <w:tc>
          <w:tcPr>
            <w:tcW w:w="7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Intangibles, less accumulated amortization (2024 — $1,347; 2023 — $1,495)</w:t>
            </w:r>
          </w:p>
        </w:tc>
        <w:tc>
          <w:tcPr>
            <w:tcW w:w="3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30"/>
        </w:trPr>
        <w:tc>
          <w:tcPr>
            <w:tcW w:w="7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Investments in affiliates and other, less allowance for credit losses (2024 — $32; 2023 —$38)</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1"/>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 on next page)</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w:t>
      </w: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20" w:type="dxa"/>
            <w:vAlign w:val="bottom"/>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2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0" w:type="dxa"/>
            <w:vAlign w:val="bottom"/>
          </w:tcPr>
          <w:p>
            <w:pPr>
              <w:spacing w:after="0"/>
              <w:rPr>
                <w:sz w:val="1"/>
                <w:szCs w:val="1"/>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ticket sales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w:t>
            </w:r>
          </w:p>
        </w:tc>
        <w:tc>
          <w:tcPr>
            <w:tcW w:w="0" w:type="dxa"/>
            <w:vAlign w:val="bottom"/>
          </w:tcPr>
          <w:p>
            <w:pPr>
              <w:spacing w:after="0"/>
              <w:rPr>
                <w:sz w:val="1"/>
                <w:szCs w:val="1"/>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0" w:type="dxa"/>
            <w:vAlign w:val="bottom"/>
          </w:tcPr>
          <w:p>
            <w:pPr>
              <w:spacing w:after="0"/>
              <w:rPr>
                <w:sz w:val="1"/>
                <w:szCs w:val="1"/>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maturities of other financial liabilities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25,856</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22,205</w:t>
            </w:r>
          </w:p>
        </w:tc>
        <w:tc>
          <w:tcPr>
            <w:tcW w:w="0" w:type="dxa"/>
            <w:vAlign w:val="bottom"/>
          </w:tcPr>
          <w:p>
            <w:pPr>
              <w:spacing w:after="0"/>
              <w:rPr>
                <w:sz w:val="1"/>
                <w:szCs w:val="1"/>
                <w:color w:val="auto"/>
              </w:rPr>
            </w:pPr>
          </w:p>
        </w:tc>
      </w:tr>
      <w:tr>
        <w:trPr>
          <w:trHeight w:val="250"/>
        </w:trPr>
        <w:tc>
          <w:tcPr>
            <w:tcW w:w="7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obligations under operating leases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 under finance leases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0"/>
        </w:trPr>
        <w:tc>
          <w:tcPr>
            <w:tcW w:w="7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Frequent flyer deferred revenue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liability</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Postretirement benefit liability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30"/>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liabilities and deferred credits</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0" w:type="dxa"/>
            <w:vAlign w:val="bottom"/>
          </w:tcPr>
          <w:p>
            <w:pPr>
              <w:spacing w:after="0"/>
              <w:rPr>
                <w:sz w:val="1"/>
                <w:szCs w:val="1"/>
                <w:color w:val="auto"/>
              </w:rPr>
            </w:pPr>
          </w:p>
        </w:tc>
      </w:tr>
      <w:tr>
        <w:trPr>
          <w:trHeight w:val="21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at par, $0.01 par value; authorized 1,000 shares; issued and outstanding 1,000</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at both June 30, 2024 and December 31, 2023</w:t>
            </w:r>
          </w:p>
        </w:tc>
        <w:tc>
          <w:tcPr>
            <w:tcW w:w="260" w:type="dxa"/>
            <w:vAlign w:val="bottom"/>
          </w:tcPr>
          <w:p>
            <w:pPr>
              <w:spacing w:after="0"/>
              <w:rPr>
                <w:sz w:val="21"/>
                <w:szCs w:val="21"/>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capital invested</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Payable to parent</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73,254</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6" w:right="39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6"/>
        </w:trPr>
        <w:tc>
          <w:tcPr>
            <w:tcW w:w="8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w:t>
            </w:r>
          </w:p>
        </w:tc>
        <w:tc>
          <w:tcPr>
            <w:tcW w:w="2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57"/>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net of flight equipment purchase deposit returns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short-term and other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(6,876)</w:t>
            </w: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short-term and other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29"/>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w:t>
            </w:r>
          </w:p>
        </w:tc>
      </w:tr>
      <w:tr>
        <w:trPr>
          <w:trHeight w:val="257"/>
        </w:trPr>
        <w:tc>
          <w:tcPr>
            <w:tcW w:w="83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9"/>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 and other financing liabilities, net of discounts and fees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r>
      <w:tr>
        <w:trPr>
          <w:trHeight w:val="229"/>
        </w:trPr>
        <w:tc>
          <w:tcPr>
            <w:tcW w:w="8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of long-term debt, finance leases and other financing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(2,614)</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r>
      <w:tr>
        <w:trPr>
          <w:trHeight w:val="22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 (a)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and Financing Activities Not Affecting Cash:</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acquired through the issuance of debt, finance leases and other</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30"/>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acquired through operating leases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29"/>
        </w:trPr>
        <w:tc>
          <w:tcPr>
            <w:tcW w:w="8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modifications and lease conversions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4"/>
        </w:trPr>
        <w:tc>
          <w:tcPr>
            <w:tcW w:w="8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interests received in exchange for loans, goods and services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The following table provides a reconciliation of cash, cash equivalents and restricted cash to amounts reported within the consolidated balance sheet: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24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9,605</w:t>
            </w:r>
          </w:p>
        </w:tc>
      </w:tr>
      <w:tr>
        <w:trPr>
          <w:trHeight w:val="230"/>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 Current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4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CONSOLIDATED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6"/>
                <w:szCs w:val="16"/>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4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Other Comprehensive</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Payable to Parent</w:t>
            </w:r>
          </w:p>
        </w:tc>
        <w:tc>
          <w:tcPr>
            <w:tcW w:w="260" w:type="dxa"/>
            <w:vAlign w:val="bottom"/>
          </w:tcPr>
          <w:p>
            <w:pPr>
              <w:spacing w:after="0"/>
              <w:rPr>
                <w:sz w:val="14"/>
                <w:szCs w:val="14"/>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Capital Invested</w:t>
            </w: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2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0" w:type="dxa"/>
            <w:vAlign w:val="bottom"/>
          </w:tcPr>
          <w:p>
            <w:pPr>
              <w:spacing w:after="0"/>
              <w:rPr>
                <w:sz w:val="1"/>
                <w:szCs w:val="1"/>
                <w:color w:val="auto"/>
              </w:rPr>
            </w:pPr>
          </w:p>
        </w:tc>
      </w:tr>
      <w:tr>
        <w:trPr>
          <w:trHeight w:val="223"/>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Stock-settled share-based compensation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Combined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AIRLINES HOLDINGS, INC. AND UNITED AIRLINES,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COMBINED NOTES TO CONDENSED CONSOLIDATED FINANCIAL STATEMENTS (UNAUDITED)</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 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UAL and United unaudited condensed consolidated financial statements shown here have been prepared as required by the U.S. Securities and Exchange Commission (the "SEC"). Some information and footnote disclosures normally included in financial statements that comply with accounting principles generally accepted in the United States ("GAAP") have been condensed or omitted as permitted by the SEC. The financial statements include all adjustments, including normal recurring adjustments and other adjustments, which are considered necessary for a fair presentation of the Company's financial position and results of operations for interim periods presented. The UAL and United financial statements should be read together with the information included in the Company's Annual Report on Form 10-K for the fiscal year ended December 31, 2023 (the "2023 Form 10-K"). The Company's quarterly financial data is subject to seasonal fluctuations. Historically its second and third quarter financial results have reflected higher travel demand and were better than its first and fourth quarter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REVENUE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by Geography. </w:t>
      </w:r>
      <w:r>
        <w:rPr>
          <w:rFonts w:ascii="Times New Roman" w:cs="Times New Roman" w:eastAsia="Times New Roman" w:hAnsi="Times New Roman"/>
          <w:sz w:val="18"/>
          <w:szCs w:val="18"/>
          <w:color w:val="auto"/>
        </w:rPr>
        <w:t>The table below presents the Company's operating revenue by principal geographic region (as defined by the U.S. Department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Transportation)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43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(U.S. and Canada)</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w:t>
            </w: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Atlantic</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Pacific</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48"/>
        </w:trPr>
        <w:tc>
          <w:tcPr>
            <w:tcW w:w="4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3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Ticket Sales. </w:t>
      </w:r>
      <w:r>
        <w:rPr>
          <w:rFonts w:ascii="Times New Roman" w:cs="Times New Roman" w:eastAsia="Times New Roman" w:hAnsi="Times New Roman"/>
          <w:sz w:val="18"/>
          <w:szCs w:val="18"/>
          <w:color w:val="auto"/>
        </w:rPr>
        <w:t>The Company defers amounts related to future travel in its Advance ticket sales liability account. All tickets sold at any given point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time have travel dates through the next 12 months. The Company estimates the value of Advance ticket sales that will expire unused ("breakage") and recognizes revenue and any changes in estimates in proportion to the usage of the related tickets. To determine breakage, the Company uses its historical experience with expired tickets and certificates and other facts, such as recent aging trends, program changes and modifications that could affect the ultimate expiration patterns.</w:t>
      </w:r>
    </w:p>
    <w:p>
      <w:pPr>
        <w:spacing w:after="0" w:line="1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the six months ended June 30, 2024 and 2023, the Company recognized approximately $5.0 billion and $4.6 billion, respectively, of passenger revenue for tickets that were included in Advance ticket sales at the beginning of those periods.</w:t>
      </w:r>
    </w:p>
    <w:p>
      <w:pPr>
        <w:spacing w:after="0" w:line="104"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Ancillary Fees. </w:t>
      </w:r>
      <w:r>
        <w:rPr>
          <w:rFonts w:ascii="Times New Roman" w:cs="Times New Roman" w:eastAsia="Times New Roman" w:hAnsi="Times New Roman"/>
          <w:sz w:val="18"/>
          <w:szCs w:val="18"/>
          <w:color w:val="auto"/>
        </w:rPr>
        <w:t>The Company charges fees, separately from ticket sales, for certain ancillary services that are directly related to passengers' travel.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fees for baggage, premium seats, inflight amenities and other ticket-related fees. These ancillary fees are part of the travel performance obligation and, as such, are recognized as passenger revenue when the travel occurs. The Company recorded $1.2 billion and $2.2 billion of ancillary fees within passenger revenue in the three and six months ended June 30, 2024, respectively. The Company recorded $1.0 billion and $1.9 billion of ancillary fees within passenger revenue in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Frequent Flyer Accounting. </w:t>
      </w:r>
      <w:r>
        <w:rPr>
          <w:rFonts w:ascii="Times New Roman" w:cs="Times New Roman" w:eastAsia="Times New Roman" w:hAnsi="Times New Roman"/>
          <w:sz w:val="18"/>
          <w:szCs w:val="18"/>
          <w:color w:val="auto"/>
        </w:rPr>
        <w:t>The table below presents a roll forward of Frequent flyer deferred revenue (in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40" w:type="dxa"/>
            <w:vAlign w:val="bottom"/>
          </w:tcPr>
          <w:p>
            <w:pPr>
              <w:spacing w:after="0"/>
              <w:rPr>
                <w:sz w:val="20"/>
                <w:szCs w:val="20"/>
                <w:color w:val="auto"/>
              </w:rPr>
            </w:pPr>
          </w:p>
        </w:tc>
        <w:tc>
          <w:tcPr>
            <w:tcW w:w="26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Frequent flyer deferred revenue - beginning balance</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7,279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miles awarded</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miles redeemed</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Non-travel miles redeemed</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Frequent flyer deferred revenue - ending balance</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7,353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In the three and six months ended June 30, 2024, the Company recognized, in Other operating revenue, $0.7 billion and $1.5 billion, respectively, related to the marketing, advertising, non-travel miles redeemed (net of related costs) and other travel-related benefits of the mileage revenue associated with our various partner agreements including, but not limited to, our JPMorgan Chase Bank, N.A. MileagePlus co-brand agreement. The Company recognized $0.7 billion and $1.3 billion, respectively, in the three and six months ended June 30, 2023, related to those agreements. The portion related to the MileagePlus miles awarded of the total amounts received from our various partner agreements is deferred and presented in the table above as an increase to the Frequent flyer deferred revenue. We determine the current portion of that account based on our estimate of expected redemptions in the next 12 months.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EARNINGS PER SHARE</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computation of basic and diluted earnings per share, the latter of which uses the treasury stock method to calculate the dilutive effect of UAL's potential common stock (in millions, except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48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00" w:type="dxa"/>
            <w:vAlign w:val="bottom"/>
          </w:tcPr>
          <w:p>
            <w:pPr>
              <w:spacing w:after="0"/>
              <w:rPr>
                <w:sz w:val="20"/>
                <w:szCs w:val="20"/>
                <w:color w:val="auto"/>
              </w:rPr>
            </w:pPr>
          </w:p>
        </w:tc>
        <w:tc>
          <w:tcPr>
            <w:tcW w:w="28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available to common stockholders</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effect of stock warrants (a)</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employee stock awards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3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3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dilutive securities (b)</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46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warrants (a)</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awards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right="140" w:firstLine="6"/>
        <w:spacing w:after="0" w:line="241" w:lineRule="auto"/>
        <w:tabs>
          <w:tab w:leader="none" w:pos="2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warrants for purchase up to approximately 10 million shares of UAL common stock at exercise prices ranging from $31.50 to $53.92 and expiration dates ranging from April 20, 2025 to June 10, 2026. These warrants were originally issued to the U.S. Treasury Department ("Treasury") pursuant to the payroll support program, including extensions, and the loan program established under the Coronavirus Aid, Relief, and Economic Security Act. Treasury sold these warrants at an auction held on June 6, 2024. All warrants were outstanding as of June 30, 2024.</w:t>
      </w:r>
    </w:p>
    <w:p>
      <w:pPr>
        <w:ind w:left="220" w:hanging="194"/>
        <w:spacing w:after="0"/>
        <w:tabs>
          <w:tab w:leader="none" w:pos="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potentially dilutive securities outstanding excluded from the computation of diluted earnings per share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components of the Company's accumulated other comprehensive income (loss), net of tax ("AOCI")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9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Pension and Other</w:t>
            </w:r>
          </w:p>
        </w:tc>
        <w:tc>
          <w:tcPr>
            <w:tcW w:w="140" w:type="dxa"/>
            <w:vAlign w:val="bottom"/>
          </w:tcPr>
          <w:p>
            <w:pPr>
              <w:spacing w:after="0"/>
              <w:rPr>
                <w:sz w:val="17"/>
                <w:szCs w:val="17"/>
                <w:color w:val="auto"/>
              </w:rPr>
            </w:pPr>
          </w:p>
        </w:tc>
        <w:tc>
          <w:tcPr>
            <w:tcW w:w="17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Investments and</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5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Postretirement</w:t>
            </w:r>
          </w:p>
        </w:tc>
        <w:tc>
          <w:tcPr>
            <w:tcW w:w="14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Taxes (a)</w:t>
            </w:r>
          </w:p>
        </w:tc>
        <w:tc>
          <w:tcPr>
            <w:tcW w:w="360" w:type="dxa"/>
            <w:vAlign w:val="bottom"/>
          </w:tcPr>
          <w:p>
            <w:pPr>
              <w:spacing w:after="0"/>
              <w:rPr>
                <w:sz w:val="15"/>
                <w:szCs w:val="15"/>
                <w:color w:val="auto"/>
              </w:rPr>
            </w:pPr>
          </w:p>
        </w:tc>
        <w:tc>
          <w:tcPr>
            <w:tcW w:w="124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40" w:type="dxa"/>
            <w:vAlign w:val="bottom"/>
          </w:tcPr>
          <w:p>
            <w:pPr>
              <w:spacing w:after="0"/>
              <w:rPr>
                <w:sz w:val="21"/>
                <w:szCs w:val="21"/>
                <w:color w:val="auto"/>
              </w:rPr>
            </w:pPr>
          </w:p>
        </w:tc>
        <w:tc>
          <w:tcPr>
            <w:tcW w:w="17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6"/>
                <w:szCs w:val="16"/>
                <w:color w:val="auto"/>
              </w:rPr>
              <w:t>(b)</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Pr>
          <w:p>
            <w:pPr>
              <w:spacing w:after="0"/>
              <w:rPr>
                <w:sz w:val="19"/>
                <w:szCs w:val="19"/>
                <w:color w:val="auto"/>
              </w:rPr>
            </w:pPr>
          </w:p>
        </w:tc>
        <w:tc>
          <w:tcPr>
            <w:tcW w:w="18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xml:space="preserve">(50) </w:t>
            </w:r>
            <w:r>
              <w:rPr>
                <w:rFonts w:ascii="Times New Roman" w:cs="Times New Roman" w:eastAsia="Times New Roman" w:hAnsi="Times New Roman"/>
                <w:sz w:val="16"/>
                <w:szCs w:val="16"/>
                <w:color w:val="auto"/>
              </w:rPr>
              <w:t>(b)</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6"/>
                <w:szCs w:val="16"/>
                <w:color w:val="auto"/>
              </w:rPr>
              <w:t>(b)</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3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Pr>
          <w:p>
            <w:pPr>
              <w:spacing w:after="0"/>
              <w:rPr>
                <w:sz w:val="19"/>
                <w:szCs w:val="19"/>
                <w:color w:val="auto"/>
              </w:rPr>
            </w:pPr>
          </w:p>
        </w:tc>
        <w:tc>
          <w:tcPr>
            <w:tcW w:w="18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xml:space="preserve">(70) </w:t>
            </w:r>
            <w:r>
              <w:rPr>
                <w:rFonts w:ascii="Times New Roman" w:cs="Times New Roman" w:eastAsia="Times New Roman" w:hAnsi="Times New Roman"/>
                <w:sz w:val="16"/>
                <w:szCs w:val="16"/>
                <w:color w:val="auto"/>
              </w:rPr>
              <w:t>(b)</w:t>
            </w:r>
          </w:p>
        </w:tc>
        <w:tc>
          <w:tcPr>
            <w:tcW w:w="14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500" w:firstLine="8"/>
        <w:spacing w:after="0" w:line="302" w:lineRule="auto"/>
        <w:tabs>
          <w:tab w:leader="none" w:pos="19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approximately $285 million of deferred income tax expense that will not be recognized in net income until the related pension and postretirement benefit obligations are fully extinguished. We consider all income sources, including other comprehensive income, in determining the amount of tax benefit allocated to results from operations.</w:t>
      </w:r>
    </w:p>
    <w:p>
      <w:pPr>
        <w:spacing w:after="0" w:line="26" w:lineRule="exact"/>
        <w:rPr>
          <w:rFonts w:ascii="Times New Roman" w:cs="Times New Roman" w:eastAsia="Times New Roman" w:hAnsi="Times New Roman"/>
          <w:sz w:val="14"/>
          <w:szCs w:val="14"/>
          <w:color w:val="auto"/>
        </w:rPr>
      </w:pPr>
    </w:p>
    <w:p>
      <w:pPr>
        <w:ind w:right="60" w:firstLine="8"/>
        <w:spacing w:after="0" w:line="302" w:lineRule="auto"/>
        <w:tabs>
          <w:tab w:leader="none" w:pos="20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AOCI component is included in the computation of net periodic pension and other postretirement costs, specifically the following components: amortization of unrecognized (gain) loss, amortization of prior service credit and other (see Note 5 of this report for additional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INCOME TAXES</w:t>
      </w:r>
    </w:p>
    <w:p>
      <w:pPr>
        <w:spacing w:after="0" w:line="17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for the three and six months ended June 30, 2024 were 23.9% and 23.9%, respectively. The Company's effective tax rates for the three and six months ended June 30, 2023 were 22.5% and 22.1%, respectively. The provision for income taxes is based on the estimated annual effective tax rate, which represents a blend of federal, state and foreign taxes and includes the impact of certain nondeductible items.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EMPLOYEE BENEFIT PLANS</w:t>
      </w:r>
    </w:p>
    <w:p>
      <w:pPr>
        <w:spacing w:after="0" w:line="171"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Defined Benefit Pension and Other Postretirement Benefit Plans. </w:t>
      </w:r>
      <w:r>
        <w:rPr>
          <w:rFonts w:ascii="Times New Roman" w:cs="Times New Roman" w:eastAsia="Times New Roman" w:hAnsi="Times New Roman"/>
          <w:sz w:val="18"/>
          <w:szCs w:val="18"/>
          <w:color w:val="auto"/>
        </w:rPr>
        <w:t>The Company's net periodic benefit cost includes the following components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June 30 (in millions):</w:t>
      </w: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100" w:type="dxa"/>
            <w:vAlign w:val="bottom"/>
          </w:tcPr>
          <w:p>
            <w:pPr>
              <w:spacing w:after="0"/>
              <w:rPr>
                <w:sz w:val="16"/>
                <w:szCs w:val="16"/>
                <w:color w:val="auto"/>
              </w:rPr>
            </w:pPr>
          </w:p>
        </w:tc>
        <w:tc>
          <w:tcPr>
            <w:tcW w:w="2680" w:type="dxa"/>
            <w:vAlign w:val="bottom"/>
          </w:tcPr>
          <w:p>
            <w:pPr>
              <w:ind w:left="580"/>
              <w:spacing w:after="0" w:line="186" w:lineRule="exact"/>
              <w:rPr>
                <w:sz w:val="20"/>
                <w:szCs w:val="20"/>
                <w:color w:val="auto"/>
              </w:rPr>
            </w:pPr>
            <w:r>
              <w:rPr>
                <w:rFonts w:ascii="Times New Roman" w:cs="Times New Roman" w:eastAsia="Times New Roman" w:hAnsi="Times New Roman"/>
                <w:sz w:val="18"/>
                <w:szCs w:val="18"/>
                <w:b w:val="1"/>
                <w:bCs w:val="1"/>
                <w:color w:val="auto"/>
              </w:rPr>
              <w:t>Affected Line Item</w:t>
            </w:r>
          </w:p>
        </w:tc>
        <w:tc>
          <w:tcPr>
            <w:tcW w:w="0" w:type="dxa"/>
            <w:vAlign w:val="bottom"/>
          </w:tcPr>
          <w:p>
            <w:pPr>
              <w:spacing w:after="0"/>
              <w:rPr>
                <w:sz w:val="1"/>
                <w:szCs w:val="1"/>
                <w:color w:val="auto"/>
              </w:rPr>
            </w:pPr>
          </w:p>
        </w:tc>
      </w:tr>
      <w:tr>
        <w:trPr>
          <w:trHeight w:val="175"/>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b w:val="1"/>
                <w:bCs w:val="1"/>
                <w:color w:val="auto"/>
              </w:rPr>
              <w:t>in the Statements of</w:t>
            </w:r>
          </w:p>
        </w:tc>
        <w:tc>
          <w:tcPr>
            <w:tcW w:w="0" w:type="dxa"/>
            <w:vAlign w:val="bottom"/>
          </w:tcPr>
          <w:p>
            <w:pPr>
              <w:spacing w:after="0"/>
              <w:rPr>
                <w:sz w:val="1"/>
                <w:szCs w:val="1"/>
                <w:color w:val="auto"/>
              </w:rPr>
            </w:pPr>
          </w:p>
        </w:tc>
      </w:tr>
      <w:tr>
        <w:trPr>
          <w:trHeight w:val="243"/>
        </w:trPr>
        <w:tc>
          <w:tcPr>
            <w:tcW w:w="4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Consolidated Operations</w:t>
            </w:r>
          </w:p>
        </w:tc>
        <w:tc>
          <w:tcPr>
            <w:tcW w:w="0" w:type="dxa"/>
            <w:vAlign w:val="bottom"/>
          </w:tcPr>
          <w:p>
            <w:pPr>
              <w:spacing w:after="0"/>
              <w:rPr>
                <w:sz w:val="1"/>
                <w:szCs w:val="1"/>
                <w:color w:val="auto"/>
              </w:rPr>
            </w:pPr>
          </w:p>
        </w:tc>
      </w:tr>
      <w:tr>
        <w:trPr>
          <w:trHeight w:val="208"/>
        </w:trPr>
        <w:tc>
          <w:tcPr>
            <w:tcW w:w="4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6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48"/>
        </w:trPr>
        <w:tc>
          <w:tcPr>
            <w:tcW w:w="4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periodic benefit cost includes the following components for the six months ended June 30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Other Postretirement</w:t>
            </w:r>
          </w:p>
        </w:tc>
        <w:tc>
          <w:tcPr>
            <w:tcW w:w="100" w:type="dxa"/>
            <w:vAlign w:val="bottom"/>
          </w:tcPr>
          <w:p>
            <w:pPr>
              <w:spacing w:after="0"/>
              <w:rPr>
                <w:sz w:val="17"/>
                <w:szCs w:val="17"/>
                <w:color w:val="auto"/>
              </w:rPr>
            </w:pPr>
          </w:p>
        </w:tc>
        <w:tc>
          <w:tcPr>
            <w:tcW w:w="26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Affected Line Item</w:t>
            </w:r>
          </w:p>
        </w:tc>
        <w:tc>
          <w:tcPr>
            <w:tcW w:w="0" w:type="dxa"/>
            <w:vAlign w:val="bottom"/>
          </w:tcPr>
          <w:p>
            <w:pPr>
              <w:spacing w:after="0"/>
              <w:rPr>
                <w:sz w:val="1"/>
                <w:szCs w:val="1"/>
                <w:color w:val="auto"/>
              </w:rPr>
            </w:pPr>
          </w:p>
        </w:tc>
      </w:tr>
      <w:tr>
        <w:trPr>
          <w:trHeight w:val="176"/>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5"/>
            <w:vMerge w:val="restart"/>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8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ind w:left="580"/>
              <w:spacing w:after="0" w:line="176" w:lineRule="exact"/>
              <w:rPr>
                <w:sz w:val="20"/>
                <w:szCs w:val="20"/>
                <w:color w:val="auto"/>
              </w:rPr>
            </w:pPr>
            <w:r>
              <w:rPr>
                <w:rFonts w:ascii="Times New Roman" w:cs="Times New Roman" w:eastAsia="Times New Roman" w:hAnsi="Times New Roman"/>
                <w:sz w:val="18"/>
                <w:szCs w:val="18"/>
                <w:b w:val="1"/>
                <w:bCs w:val="1"/>
                <w:color w:val="auto"/>
              </w:rPr>
              <w:t>in the Statements of</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Consolidated Operations</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CCEEFF"/>
            </w:tcBorders>
          </w:tcPr>
          <w:p>
            <w:pPr>
              <w:spacing w:after="0"/>
              <w:rPr>
                <w:sz w:val="18"/>
                <w:szCs w:val="18"/>
                <w:color w:val="auto"/>
              </w:rPr>
            </w:pPr>
          </w:p>
        </w:tc>
        <w:tc>
          <w:tcPr>
            <w:tcW w:w="268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(gain) loss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0" w:type="dxa"/>
            <w:vAlign w:val="bottom"/>
          </w:tcPr>
          <w:p>
            <w:pPr>
              <w:spacing w:after="0"/>
              <w:rPr>
                <w:sz w:val="1"/>
                <w:szCs w:val="1"/>
                <w:color w:val="auto"/>
              </w:rPr>
            </w:pPr>
          </w:p>
        </w:tc>
      </w:tr>
      <w:tr>
        <w:trPr>
          <w:trHeight w:val="248"/>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 INVESTMENTS AND NOTES RECEIVABLE</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table below presents disclosures about the financial assets and liabilities measured at fair value on a recurring basis in UAL's financial statements (in millions):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tcBorders>
              <w:bottom w:val="single" w:sz="8" w:color="auto"/>
            </w:tcBorders>
          </w:tcPr>
          <w:p>
            <w:pPr>
              <w:spacing w:after="0"/>
              <w:rPr>
                <w:sz w:val="20"/>
                <w:szCs w:val="20"/>
                <w:color w:val="auto"/>
              </w:rPr>
            </w:pPr>
          </w:p>
        </w:tc>
      </w:tr>
      <w:tr>
        <w:trPr>
          <w:trHeight w:val="223"/>
        </w:trPr>
        <w:tc>
          <w:tcPr>
            <w:tcW w:w="3540" w:type="dxa"/>
            <w:vAlign w:val="bottom"/>
          </w:tcPr>
          <w:p>
            <w:pPr>
              <w:spacing w:after="0"/>
              <w:rPr>
                <w:sz w:val="19"/>
                <w:szCs w:val="19"/>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tcPr>
          <w:p>
            <w:pPr>
              <w:spacing w:after="0"/>
              <w:rPr>
                <w:sz w:val="19"/>
                <w:szCs w:val="19"/>
                <w:color w:val="auto"/>
              </w:rPr>
            </w:pPr>
          </w:p>
        </w:tc>
        <w:tc>
          <w:tcPr>
            <w:tcW w:w="9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9"/>
                <w:szCs w:val="19"/>
                <w:color w:val="auto"/>
              </w:rPr>
            </w:pPr>
          </w:p>
        </w:tc>
        <w:tc>
          <w:tcPr>
            <w:tcW w:w="9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10,864</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10,864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agency notes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354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Certificates of deposit placed through an</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jc w:val="right"/>
              <w:ind w:right="27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5"/>
                <w:szCs w:val="15"/>
                <w:color w:val="auto"/>
              </w:rPr>
            </w:pPr>
          </w:p>
        </w:tc>
        <w:tc>
          <w:tcPr>
            <w:tcW w:w="96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39"/>
        </w:trPr>
        <w:tc>
          <w:tcPr>
            <w:tcW w:w="3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 registry service (CDARS)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4"/>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3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securities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presented in the table above have the same fair value as their carrying value.</w:t>
      </w:r>
    </w:p>
    <w:p>
      <w:pPr>
        <w:spacing w:after="0" w:line="16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Restricted cash - current </w:t>
      </w:r>
      <w:r>
        <w:rPr>
          <w:rFonts w:ascii="Times New Roman" w:cs="Times New Roman" w:eastAsia="Times New Roman" w:hAnsi="Times New Roman"/>
          <w:sz w:val="18"/>
          <w:szCs w:val="18"/>
          <w:color w:val="auto"/>
        </w:rPr>
        <w:t>— Primarily includes amounts to be used for the payment of fees, principal and interest on senior secured notes and a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loan facility (the "MileagePlus Financing") secured by substantially all of the assets of Mileage Plus Holdings, LLC, a direct wholly-owned subsidiary of United.</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cash - non-current </w:t>
      </w:r>
      <w:r>
        <w:rPr>
          <w:rFonts w:ascii="Times New Roman" w:cs="Times New Roman" w:eastAsia="Times New Roman" w:hAnsi="Times New Roman"/>
          <w:sz w:val="18"/>
          <w:szCs w:val="18"/>
          <w:color w:val="auto"/>
        </w:rPr>
        <w:t>— Primarily includes collateral associated with the MileagePlus Financing, collateral for letters of credit and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facility leases and other insurance-related obligations.</w:t>
      </w:r>
    </w:p>
    <w:p>
      <w:pPr>
        <w:spacing w:after="0" w:line="10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Short-term investments </w:t>
      </w:r>
      <w:r>
        <w:rPr>
          <w:rFonts w:ascii="Times New Roman" w:cs="Times New Roman" w:eastAsia="Times New Roman" w:hAnsi="Times New Roman"/>
          <w:sz w:val="18"/>
          <w:szCs w:val="18"/>
          <w:color w:val="auto"/>
        </w:rPr>
        <w:t>— The short-term investments shown in the table above are classified as available-for-sale and have remaining maturities of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two years.</w:t>
      </w:r>
    </w:p>
    <w:p>
      <w:pPr>
        <w:spacing w:after="0" w:line="11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Long-term investments: Equity securities </w:t>
      </w:r>
      <w:r>
        <w:rPr>
          <w:rFonts w:ascii="Times New Roman" w:cs="Times New Roman" w:eastAsia="Times New Roman" w:hAnsi="Times New Roman"/>
          <w:sz w:val="18"/>
          <w:szCs w:val="18"/>
          <w:color w:val="auto"/>
        </w:rPr>
        <w:t>— Represents equity and equity-linked securities (such as vested warrants) that make up United's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Azul Linhas Aéreas Brasileiras S.A., Archer Aviation Inc., Eve Holding, Inc. and Mesa Air Group, Inc.</w:t>
      </w:r>
    </w:p>
    <w:p>
      <w:pPr>
        <w:spacing w:after="0" w:line="10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fair value information. </w:t>
      </w:r>
      <w:r>
        <w:rPr>
          <w:rFonts w:ascii="Times New Roman" w:cs="Times New Roman" w:eastAsia="Times New Roman" w:hAnsi="Times New Roman"/>
          <w:sz w:val="18"/>
          <w:szCs w:val="18"/>
          <w:color w:val="auto"/>
        </w:rPr>
        <w:t>The table below presents the carrying values and estimated fair values of financial instruments not presented in the tables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(in millions). Carrying amounts include any related discounts, premiums and issuance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20"/>
              <w:spacing w:after="0" w:line="17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vMerge w:val="continue"/>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5"/>
            <w:vMerge w:val="continue"/>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1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25,978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19,307</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6,671</w:t>
            </w:r>
          </w:p>
        </w:tc>
        <w:tc>
          <w:tcPr>
            <w:tcW w:w="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28,302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5,759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the financial instruments included in the tables above was determined as follows:</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9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300" w:type="dxa"/>
            <w:vAlign w:val="bottom"/>
            <w:tcBorders>
              <w:top w:val="single" w:sz="8" w:color="auto"/>
              <w:bottom w:val="single" w:sz="8" w:color="auto"/>
              <w:right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Fair Value Methodology</w:t>
            </w:r>
          </w:p>
        </w:tc>
      </w:tr>
      <w:tr>
        <w:trPr>
          <w:trHeight w:val="169"/>
        </w:trPr>
        <w:tc>
          <w:tcPr>
            <w:tcW w:w="3940" w:type="dxa"/>
            <w:vAlign w:val="bottom"/>
            <w:tcBorders>
              <w:left w:val="single" w:sz="8" w:color="auto"/>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730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carrying amounts of these assets approximate fair value.</w:t>
            </w:r>
          </w:p>
        </w:tc>
      </w:tr>
      <w:tr>
        <w:trPr>
          <w:trHeight w:val="239"/>
        </w:trPr>
        <w:tc>
          <w:tcPr>
            <w:tcW w:w="3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(current and non-current)</w:t>
            </w:r>
          </w:p>
        </w:tc>
        <w:tc>
          <w:tcPr>
            <w:tcW w:w="7300" w:type="dxa"/>
            <w:vAlign w:val="bottom"/>
            <w:tcBorders>
              <w:bottom w:val="single" w:sz="8" w:color="auto"/>
              <w:right w:val="single" w:sz="8" w:color="auto"/>
            </w:tcBorders>
          </w:tcPr>
          <w:p>
            <w:pPr>
              <w:spacing w:after="0"/>
              <w:rPr>
                <w:sz w:val="20"/>
                <w:szCs w:val="20"/>
                <w:color w:val="auto"/>
              </w:rPr>
            </w:pPr>
          </w:p>
        </w:tc>
      </w:tr>
      <w:tr>
        <w:trPr>
          <w:trHeight w:val="173"/>
        </w:trPr>
        <w:tc>
          <w:tcPr>
            <w:tcW w:w="394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Short-term and Long-term investments</w:t>
            </w:r>
          </w:p>
        </w:tc>
        <w:tc>
          <w:tcPr>
            <w:tcW w:w="73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 is based on (a) the trading prices of the investment or similar instruments or (b) broker</w:t>
            </w:r>
          </w:p>
        </w:tc>
      </w:tr>
      <w:tr>
        <w:trPr>
          <w:trHeight w:val="239"/>
        </w:trPr>
        <w:tc>
          <w:tcPr>
            <w:tcW w:w="3940" w:type="dxa"/>
            <w:vAlign w:val="bottom"/>
            <w:tcBorders>
              <w:left w:val="single" w:sz="8" w:color="auto"/>
              <w:bottom w:val="single" w:sz="8" w:color="auto"/>
              <w:right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quotes obtained by third-party valuation services.</w:t>
            </w:r>
          </w:p>
        </w:tc>
      </w:tr>
      <w:tr>
        <w:trPr>
          <w:trHeight w:val="173"/>
        </w:trPr>
        <w:tc>
          <w:tcPr>
            <w:tcW w:w="3940" w:type="dxa"/>
            <w:vAlign w:val="bottom"/>
            <w:tcBorders>
              <w:left w:val="single" w:sz="8" w:color="auto"/>
              <w:right w:val="single" w:sz="8" w:color="auto"/>
            </w:tcBorders>
          </w:tcPr>
          <w:p>
            <w:pPr>
              <w:ind w:left="40"/>
              <w:spacing w:after="0" w:line="173" w:lineRule="exact"/>
              <w:rPr>
                <w:sz w:val="20"/>
                <w:szCs w:val="20"/>
                <w:color w:val="auto"/>
              </w:rPr>
            </w:pPr>
            <w:r>
              <w:rPr>
                <w:rFonts w:ascii="Times New Roman" w:cs="Times New Roman" w:eastAsia="Times New Roman" w:hAnsi="Times New Roman"/>
                <w:sz w:val="18"/>
                <w:szCs w:val="18"/>
                <w:color w:val="auto"/>
              </w:rPr>
              <w:t>Long-term debt</w:t>
            </w:r>
          </w:p>
        </w:tc>
        <w:tc>
          <w:tcPr>
            <w:tcW w:w="7300" w:type="dxa"/>
            <w:vAlign w:val="bottom"/>
            <w:tcBorders>
              <w:right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Fair values are based on either market prices or the discounted amount of future cash flows using</w:t>
            </w:r>
          </w:p>
        </w:tc>
      </w:tr>
      <w:tr>
        <w:trPr>
          <w:trHeight w:val="239"/>
        </w:trPr>
        <w:tc>
          <w:tcPr>
            <w:tcW w:w="3940" w:type="dxa"/>
            <w:vAlign w:val="bottom"/>
            <w:tcBorders>
              <w:left w:val="single" w:sz="8" w:color="auto"/>
              <w:bottom w:val="single" w:sz="8" w:color="auto"/>
              <w:right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our current incremental rate of borrowing for similar liabilities.</w:t>
            </w:r>
          </w:p>
        </w:tc>
      </w:tr>
    </w:tbl>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Equity Method Investments. </w:t>
      </w:r>
      <w:r>
        <w:rPr>
          <w:rFonts w:ascii="Times New Roman" w:cs="Times New Roman" w:eastAsia="Times New Roman" w:hAnsi="Times New Roman"/>
          <w:sz w:val="18"/>
          <w:szCs w:val="18"/>
          <w:color w:val="auto"/>
        </w:rPr>
        <w:t>As of June 30, 2024, United holds investments, accounted for using the equity method, with a combined carrying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$231 million. Significant equity method investments are described below:</w:t>
      </w:r>
    </w:p>
    <w:p>
      <w:pPr>
        <w:spacing w:after="0" w:line="105" w:lineRule="exact"/>
        <w:rPr>
          <w:sz w:val="20"/>
          <w:szCs w:val="20"/>
          <w:color w:val="auto"/>
        </w:rPr>
      </w:pPr>
    </w:p>
    <w:p>
      <w:pPr>
        <w:ind w:left="660" w:right="4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Republic Airways Holdings Inc. United holds a 19% minority interest in Republic Airways Holdings Inc., which is the parent company of Republic Airways Inc. ("Republic"). Republic currently operates 65 regional aircraft under capacity purchase agreements ("CPAs") that have terms through 2035.</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CommuteAir LLC. United owns a 40% minority ownership stake in CommuteAir LLC. CommuteAir currently operates 53 regional aircraft under a CPA that has a term through 2026.</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Airlines Ventures Sustainable Flight Fund (the "Fund"). United holds, through its corporate venture capital arm, United Airlines Ventures, Ltd., a 33% ownership interest in the Fund. The Fund is an investment vehicle designed to invest in start-ups developing technologies focused on decarbonizing aviation and its associated energy supply chains, including through research and production, and technologies associated with sustainable aviation fuel (SAF).</w:t>
      </w:r>
    </w:p>
    <w:p>
      <w:pPr>
        <w:spacing w:after="0" w:line="122"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Investments. </w:t>
      </w:r>
      <w:r>
        <w:rPr>
          <w:rFonts w:ascii="Times New Roman" w:cs="Times New Roman" w:eastAsia="Times New Roman" w:hAnsi="Times New Roman"/>
          <w:sz w:val="18"/>
          <w:szCs w:val="18"/>
          <w:color w:val="auto"/>
        </w:rPr>
        <w:t>As of June 30, 2024, United has equity investments in Abra Group Limited, a multinational airline holding company, JetSuiteX,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independent air carrier doing business as JSX, as well as a number of companies with emerging technologies and sustainable solutions. None of these investments have readily determinable fair values. We account for these investments at cost less impairment, adjusted for observable price changes in orderly transactions for an identical or similar investment of the same issuer. As of June 30, 2024, the carrying value of these investments was $423 million.</w:t>
      </w:r>
    </w:p>
    <w:p>
      <w:pPr>
        <w:spacing w:after="0" w:line="1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Notes Receivable. </w:t>
      </w:r>
      <w:r>
        <w:rPr>
          <w:rFonts w:ascii="Times New Roman" w:cs="Times New Roman" w:eastAsia="Times New Roman" w:hAnsi="Times New Roman"/>
          <w:sz w:val="18"/>
          <w:szCs w:val="18"/>
          <w:color w:val="auto"/>
        </w:rPr>
        <w:t>As of June 30, 2024, the Company has $86 million of notes receivable, net of allowance for credit losses, the majority of which is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of its regional carriers. The current portions of the notes receivable are recorded in Receivables, less allowance for credit losses. The long-term portion of the notes receivable is recorded in Investments in affiliates and other, less allowance for credit losses on the Company's consolidated balance sheet.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As of June 30, 2024, United had firm commitments to purchase aircraft from The Boeing Company ("Boeing") and Airbus S.A.S.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("Airbus") as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Contractual Aircraft Deliveries (b)</w:t>
            </w:r>
          </w:p>
        </w:tc>
        <w:tc>
          <w:tcPr>
            <w:tcW w:w="160" w:type="dxa"/>
            <w:vAlign w:val="bottom"/>
          </w:tcPr>
          <w:p>
            <w:pPr>
              <w:spacing w:after="0"/>
              <w:rPr>
                <w:sz w:val="20"/>
                <w:szCs w:val="20"/>
                <w:color w:val="auto"/>
              </w:rPr>
            </w:pPr>
          </w:p>
        </w:tc>
        <w:tc>
          <w:tcPr>
            <w:tcW w:w="392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Expected Aircraft Deliveries (c)</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Firm</w:t>
            </w:r>
          </w:p>
        </w:tc>
        <w:tc>
          <w:tcPr>
            <w:tcW w:w="134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1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88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After 2025</w:t>
            </w:r>
          </w:p>
        </w:tc>
        <w:tc>
          <w:tcPr>
            <w:tcW w:w="13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After 2025</w:t>
            </w:r>
          </w:p>
        </w:tc>
        <w:tc>
          <w:tcPr>
            <w:tcW w:w="0" w:type="dxa"/>
            <w:vAlign w:val="bottom"/>
          </w:tcPr>
          <w:p>
            <w:pPr>
              <w:spacing w:after="0"/>
              <w:rPr>
                <w:sz w:val="1"/>
                <w:szCs w:val="1"/>
                <w:color w:val="auto"/>
              </w:rPr>
            </w:pPr>
          </w:p>
        </w:tc>
      </w:tr>
      <w:tr>
        <w:trPr>
          <w:trHeight w:val="230"/>
        </w:trPr>
        <w:tc>
          <w:tcPr>
            <w:tcW w:w="1400" w:type="dxa"/>
            <w:vAlign w:val="bottom"/>
            <w:gridSpan w:val="2"/>
            <w:vMerge w:val="continue"/>
          </w:tcPr>
          <w:p>
            <w:pPr>
              <w:spacing w:after="0"/>
              <w:rPr>
                <w:sz w:val="19"/>
                <w:szCs w:val="19"/>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 (a)</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2024</w:t>
            </w: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2024</w:t>
            </w:r>
          </w:p>
        </w:tc>
        <w:tc>
          <w:tcPr>
            <w:tcW w:w="12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737 MAX 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10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A321neo</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A321XLR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A350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also has options and purchase rights for additional aircraft.</w:t>
      </w:r>
    </w:p>
    <w:p>
      <w:pPr>
        <w:spacing w:after="0" w:line="32"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aircraft deliveries reflect an agreement United entered into with Airbus on July 16, 2024 to adjust delivery schedules for the A321neo ("Airbus Agreement").</w:t>
      </w:r>
    </w:p>
    <w:p>
      <w:pPr>
        <w:spacing w:after="0" w:line="41" w:lineRule="exact"/>
        <w:rPr>
          <w:rFonts w:ascii="Times New Roman" w:cs="Times New Roman" w:eastAsia="Times New Roman" w:hAnsi="Times New Roman"/>
          <w:sz w:val="14"/>
          <w:szCs w:val="14"/>
          <w:color w:val="auto"/>
        </w:rPr>
      </w:pPr>
    </w:p>
    <w:p>
      <w:pPr>
        <w:jc w:val="both"/>
        <w:ind w:left="20" w:right="80" w:firstLine="6"/>
        <w:spacing w:after="0" w:line="241" w:lineRule="auto"/>
        <w:tabs>
          <w:tab w:leader="none" w:pos="2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aircraft deliveries reflect adjustments to contractual delivery schedules as communicated by Boeing and Airbus or estimated by United. However, aircraft deliveries are subject to a number of variables, as further described in Part I, Item 1A. Risk Factors of the 2023 Form 10-K, and we cannot guarantee delivery of any particular aircraft at any specific time notwithstanding firm purchase commitments.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April 14, 2024, the Company entered into confidential arrangements with Boeing with respect to compensation for financial damages incurred in the first quarter of 2024 due to the Federal Aviation Administration grounding of the Boeing 737 MAX 9 aircraft, and a confidential agreement to accommodate certification delays for the Boeing 737 MAX 10 aircraft. The compensation provided by Boeing for the grounding damages and in connection with rescheduling deliveries was in the form of credit memos for use on future purchases from Boeing. The Company is accounting for these arrangements as a reduction to the cost basis of the previously-delivered Boeing 737 MAX 9 aircraft and future deliveries of the Boeing 737 MAX 9 and Boeing 737 MAX 10 aircraft, which will reduce future depreciation expense associated with these aircraft.</w:t>
      </w:r>
    </w:p>
    <w:p>
      <w:pPr>
        <w:spacing w:after="0" w:line="13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table below summarizes United's firm commitments as of June 30, 2024, which include aircraft and related spare engines, aircraft improvements and non-aircraft capital commitments. Aircraft commitments are based on contractual scheduled aircraft deliveries without any adjustments communicated by Boeing and Airbus or estimated by United but reflecting the Airbus Agreement and the April 14, 2024 arrangements between United and Boeing.</w:t>
      </w:r>
    </w:p>
    <w:p>
      <w:pPr>
        <w:sectPr>
          <w:pgSz w:w="11900" w:h="16838" w:orient="portrait"/>
          <w:cols w:equalWidth="0" w:num="1">
            <w:col w:w="11220"/>
          </w:cols>
          <w:pgMar w:left="320" w:top="256" w:right="359" w:bottom="1440" w:gutter="0" w:footer="0" w:header="0"/>
        </w:sectPr>
      </w:pP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billions)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Last six months of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After 2028</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-1062355</wp:posOffset>
            </wp:positionV>
            <wp:extent cx="710628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-770890</wp:posOffset>
            </wp:positionV>
            <wp:extent cx="710628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-479425</wp:posOffset>
            </wp:positionV>
            <wp:extent cx="7106285"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-187960</wp:posOffset>
            </wp:positionV>
            <wp:extent cx="710628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00"/>
          </w:cols>
          <w:pgMar w:left="320" w:top="256" w:right="359" w:bottom="1440" w:gutter="0" w:footer="0" w:header="0"/>
          <w:type w:val="continuous"/>
        </w:sectPr>
      </w:pPr>
    </w:p>
    <w:p>
      <w:pPr>
        <w:spacing w:after="0" w:line="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second quarter of 2024, the Company signed letters of intent to enter into future leasing arrangements with major aircraft leasing companies for 40 Airbus A321neo aircraft with expected deliveries in 2026 and 2027. In July 2024, the Company entered into definitive agreements to lease 35 of the 40 Airbus A321neo aircraft, which will commence between 2026 and 2027. As of the filing date of this report, we have leases of approximately $3.7 billion for several mainline aircraft, regional aircraft under CPAs, airport facility and office space leases, none of which had commenced as of such date. These leases will commence between 2024 and 2038 with lease terms of up to 12 years.</w:t>
      </w:r>
    </w:p>
    <w:p>
      <w:pPr>
        <w:spacing w:after="0" w:line="1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Regional CPAs</w:t>
      </w:r>
      <w:r>
        <w:rPr>
          <w:rFonts w:ascii="Times New Roman" w:cs="Times New Roman" w:eastAsia="Times New Roman" w:hAnsi="Times New Roman"/>
          <w:sz w:val="18"/>
          <w:szCs w:val="18"/>
          <w:color w:val="auto"/>
        </w:rPr>
        <w:t>. During the six months ended June 30, 2024, United amended several of its CPAs with certain of its regional carriers to increase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contractually agreed fees (carrier costs) paid to those carriers and to modify the terms for certain aircraft. Our future commitments under our CPAs are dependent on numerous variables, and are, therefore, difficult to predict. The most important of these variables is the number of scheduled block hours. Although we are not required to purchase a minimum number of block hours under certain of our CPAs, we have set forth below estimates of our future payments under the CPAs based on our assumptions. The actual amounts we pay to our regional operators under CPAs could differ materially from these estimates. United's estimates of its future payments under all of the CPAs do not include the portion of the underlying obligation for any aircraft leased to a regional carrier, or deemed to be leased from other regional carriers, and facility rent. For purposes of calculating these estimates, we have assumed (1) the number of block hours flown is based on our anticipated level of flight activity or at any contractual minimum utilization levels if applicable, whichever is higher, (2) that we will reduce the fleet as rapidly as contractually allowed under each CPA, (3) that aircraft utilization, stage length and load factors will remain constant, (4) that each carrier's operational performance will remain at recent historic levels and (5) an annual projected inflation rate. Based on these assumptions as of June 30, 2024, our estimated future payments through the end of the terms of our CPAs are presented in the table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billions)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Last six months of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After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
        </w:trPr>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-5721985</wp:posOffset>
            </wp:positionH>
            <wp:positionV relativeFrom="paragraph">
              <wp:posOffset>-1062355</wp:posOffset>
            </wp:positionV>
            <wp:extent cx="710628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-770890</wp:posOffset>
            </wp:positionV>
            <wp:extent cx="710628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-479425</wp:posOffset>
            </wp:positionV>
            <wp:extent cx="710628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-5721985</wp:posOffset>
            </wp:positionH>
            <wp:positionV relativeFrom="paragraph">
              <wp:posOffset>-187960</wp:posOffset>
            </wp:positionV>
            <wp:extent cx="71062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00" w:space="720"/>
            <w:col w:w="2220"/>
          </w:cols>
          <w:pgMar w:left="320" w:top="256" w:right="339" w:bottom="1440" w:gutter="0" w:footer="0" w:header="0"/>
        </w:sectPr>
      </w:pPr>
    </w:p>
    <w:p>
      <w:pPr>
        <w:spacing w:after="0" w:line="2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As of June 30, 2024, United is the guarantor of approximately $1.9 billion in aggregate principal amount of tax-exempt special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bonds and interest thereon. These bonds, issued by various airport municipalities, are payable solely from rentals paid under long-term agreements with the respective governing bodies. The leasing arrangements associated with these obligations are accounted for as operating leases recognized on the Company's consolidated balance sheet with the associated expense recorded on a straight-line basis over the expected lease term. All of these bonds are due between 2024 and 2041.</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United is the guarantor of $70 million of aircraft mortgage debt issued by one of United's regional carriers. The aircraft mortgage debt is subject to similar increased cost provisions as described below for the Company's debt, and the Company would potentially be responsible for those costs under the guarantees.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Increased Cost Provisions. </w:t>
      </w:r>
      <w:r>
        <w:rPr>
          <w:rFonts w:ascii="Times New Roman" w:cs="Times New Roman" w:eastAsia="Times New Roman" w:hAnsi="Times New Roman"/>
          <w:sz w:val="18"/>
          <w:szCs w:val="18"/>
          <w:color w:val="auto"/>
        </w:rPr>
        <w:t>In United's financing transactions that include loans in which United is the borrower, United typically agrees to reimburse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lenders for any reduced returns with respect to the loans due to any change in capital requirements and, in the case of loans with respect to which the interest rate is based on the Secured Overnight Financing Rate ("SOFR"), for certain other increased costs that the lenders incur in carrying these loans as a result of any change in law, subject, in most cases, to obligations of the lenders to take certain limited steps to mitigate the requirement for, or the amount of, such increased costs. At June 30, 2024, the Company had $10.3 billion of floating rate debt with remaining terms of up to approximately 12 years that are subject to these increased cost provisions. In several financing transactions involving loans or leases from non-U.S. entities, with remaining terms of up to approximately 12 years and an aggregate balance of $7.2 billion, the Company bears the risk of any change in tax laws that would subject loan or lease payments thereunder to non-U.S. entities to withholding taxes, subject to customary exclusions.</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Labor</w:t>
      </w:r>
      <w:r>
        <w:rPr>
          <w:rFonts w:ascii="Times New Roman" w:cs="Times New Roman" w:eastAsia="Times New Roman" w:hAnsi="Times New Roman"/>
          <w:sz w:val="18"/>
          <w:szCs w:val="18"/>
          <w:b w:val="1"/>
          <w:bCs w:val="1"/>
          <w:i w:val="1"/>
          <w:iCs w:val="1"/>
          <w:color w:val="242424"/>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of June 30, 2024, the Company had approximately 106,000 employees, of whom approximately 82% were represented by various U.S.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organizations.</w:t>
      </w:r>
    </w:p>
    <w:p>
      <w:pPr>
        <w:spacing w:after="0" w:line="10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On February 23, 2024, United's International Association of Machinists and Aerospace Workers ("IAM") represented security guards in California and central load planners ratified new collective bargaining agreements. The ratified agreements are effective through 2025.</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February 28, 2024, United and the International Brotherhood of Teamsters (IBT) reached a tentative agreement for an extension to their labor contract, which covers United's technicians and related employees. On April 17, 2024, the United technicians declined the proposed four-year contract extension and will continue to work under their current agreement, which becomes amendable in December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2024, the Company entered into an Amended and Restated Revolving Credit and Guaranty Agreement (the "Revolving Credit Facility") increasing the borrowing capacity by $1.115 billion, which may be drawn upon until February 15, 2029, in the case of any Revolving Loans (as defined in the Revolving Credit Facility) made by the Extending Lenders (as defined in the Revolving Credit Facility), and April 21, 2025, in the case of any Revolving Loans made by the 2024 Non-Extending Lenders (as defined in the Revolving Credit Facility). The revolving loan commitments of the Extending Lenders equal $2.7 billion and the revolving loan commitments of the 2024 Non-Extending Lenders equal $165 million. The Revolving Loans, if any, bear interest at a variable rate equal to Term SOFR (as defined in the Revolving Credit Facility), generally subject to a floor, plus a credit adjustment spread described in the Revolving Credit Facility, or, at United's election, another rate based on certain market interest rates, also generally subject to a floor, in each case plus a variable margin ranging from 3.00% to 3.50%, in the case of Term SOFR loans, and 2.00% to 2.50%, in the case of loans at other market rates. On April 16, 2024, the Company increased the revolving loan commitments of the Extending Lenders by $100 million. The revolving loan commitments of the Extending Lenders now equal $2.8 billion and the revolving loan commitments of the 2024 Non-Extending Lenders remain $165 million. As of June 30, 2024, we had $2.965 billion undrawn and available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February 22, 2024, the Company also entered into Amendment No. 2 to Term Loan Credit and Guaranty Agreement (as amended, the "Term Loan Facility" and, together with the Revolving Credit Facility, the "Loan Facilities") and (i) used available cash in an amount equal to $1.37 billion to partially prepay the term loans under the 2021 term loans and (ii) borrowed the entire term loan commitment available under the Term Loan Facility in an amount equal to $2.5 billion and used the proceeds of such terms loans (the "Term Loans") to prepay in full the remaining outstanding principal balance under the existing term loan facility. The Term Loans bear interest at a variable rate equal to Term SOFR (subject to a floor of 0.0%); or, at United's election, another rate based on certain market interest rates (subject to a floor of 1.0%), in each case plus a margin of 2.75%, in the case of Term SOFR loans, and 1.75%, in the case of loans at other market rates. The remaining balance of the Term Loans will mature and be due and payable on February 22, 2031.</w:t>
      </w:r>
    </w:p>
    <w:p>
      <w:pPr>
        <w:spacing w:after="0" w:line="13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contractual principal payments (not including $249 million of unamortized debt discount, premiums and debt issuance costs) as of June 30, 2024 under then-outstanding long-term debt agreements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Last six months of 2024</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9"/>
        </w:trPr>
        <w:tc>
          <w:tcPr>
            <w:tcW w:w="9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30"/>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11,837</w:t>
            </w:r>
          </w:p>
        </w:tc>
      </w:tr>
      <w:tr>
        <w:trPr>
          <w:trHeight w:val="248"/>
        </w:trPr>
        <w:tc>
          <w:tcPr>
            <w:tcW w:w="90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United borrowed $0.9 billion aggregate principal amount from financial institutions to finance the purchase of aircraft. The notes evidencing these borrowings, which are secured by the related aircraft, mature between 2034 and 2036 and bear interest at variable rates equal to Term SOFR plus a margin of up to 2.00%.</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debt agreements contain customary terms and conditions as well as various affirmative, negative and financial covenants that, among other things, restrict the ability of the Company and its subsidiaries to incur additional indebtedness and pay dividends or repurchase stock. As of June 30, 2024, UAL and United were in compliance with their respective debt covenants.</w:t>
      </w:r>
    </w:p>
    <w:p>
      <w:pPr>
        <w:spacing w:after="0" w:line="12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July 2, 2024, the Company voluntarily prepaid in full the outstanding principal balance of the term loan facility of the MileagePlus Financing, which was $1.8 billion as of June 30, 2024, in addition to all accrued and unpaid interest and fees under the term loan facility and terminated all commitments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SPECIAL CHARGES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operating and nonoperating special charges and unrealized (gains) losses on investments in the statements of consolidated operations consisted of the following (in millions):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3"/>
        </w:trPr>
        <w:tc>
          <w:tcPr>
            <w:tcW w:w="57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special charges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Nonoperating unrealized (gains) losses on investments, net</w:t>
            </w:r>
          </w:p>
        </w:tc>
        <w:tc>
          <w:tcPr>
            <w:tcW w:w="8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Nonoperating debt extinguishment and modification fees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64"/>
        </w:trPr>
        <w:tc>
          <w:tcPr>
            <w:tcW w:w="5740" w:type="dxa"/>
            <w:vAlign w:val="bottom"/>
          </w:tcPr>
          <w:p>
            <w:pPr>
              <w:ind w:left="440"/>
              <w:spacing w:after="0" w:line="164" w:lineRule="exact"/>
              <w:rPr>
                <w:sz w:val="20"/>
                <w:szCs w:val="20"/>
                <w:color w:val="auto"/>
              </w:rPr>
            </w:pPr>
            <w:r>
              <w:rPr>
                <w:rFonts w:ascii="Times New Roman" w:cs="Times New Roman" w:eastAsia="Times New Roman" w:hAnsi="Times New Roman"/>
                <w:sz w:val="18"/>
                <w:szCs w:val="18"/>
                <w:color w:val="auto"/>
              </w:rPr>
              <w:t>Total nonoperating special charges and unrealized (gains) losses on</w:t>
            </w:r>
          </w:p>
        </w:tc>
        <w:tc>
          <w:tcPr>
            <w:tcW w:w="8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investments, net</w:t>
            </w: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w:t>
            </w:r>
          </w:p>
        </w:tc>
        <w:tc>
          <w:tcPr>
            <w:tcW w:w="8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investments, net</w:t>
            </w: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net of valuation allowance</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Total operating and nonoperating special charges and unrealized (gains) losses</w:t>
            </w:r>
          </w:p>
        </w:tc>
        <w:tc>
          <w:tcPr>
            <w:tcW w:w="84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investments, net of income taxes</w:t>
            </w: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w w:val="99"/>
              </w:rPr>
              <w:t>22</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57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7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(Gains) losses on sale of assets and other special charges</w:t>
      </w:r>
      <w:r>
        <w:rPr>
          <w:rFonts w:ascii="Times New Roman" w:cs="Times New Roman" w:eastAsia="Times New Roman" w:hAnsi="Times New Roman"/>
          <w:sz w:val="18"/>
          <w:szCs w:val="18"/>
          <w:color w:val="auto"/>
        </w:rPr>
        <w:t>. During the three and six months ended June 30, 2024, the Company incurred $36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$49 million, respectively, of charges primarily consisting of a write down to fair market value for assets held for sale, losses on the disposal of assets, a settlement related to a certain pilot long term disability plan, accelerated depreciation on assets with shortened lives and write-off of certain international slots no longer in use, which were partially offset by a gain from a favorable outcome related to a certain contract dispute as well as gains on sales of assets.</w:t>
      </w:r>
    </w:p>
    <w:p>
      <w:pPr>
        <w:spacing w:after="0" w:line="126"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Nonoperating unrealized (gains) losses on investments, net. </w:t>
      </w:r>
      <w:r>
        <w:rPr>
          <w:rFonts w:ascii="Times New Roman" w:cs="Times New Roman" w:eastAsia="Times New Roman" w:hAnsi="Times New Roman"/>
          <w:sz w:val="18"/>
          <w:szCs w:val="18"/>
          <w:color w:val="auto"/>
        </w:rPr>
        <w:t>During the three and six months ended June 30, 2024, the Company recorded losses of $33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$70 million, respectively, primarily related to the change in the market value of its investments in equity securities.</w:t>
      </w:r>
    </w:p>
    <w:p>
      <w:pPr>
        <w:spacing w:after="0" w:line="104"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Nonoperating debt extinguishment and modification fees</w:t>
      </w:r>
      <w:r>
        <w:rPr>
          <w:rFonts w:ascii="Times New Roman" w:cs="Times New Roman" w:eastAsia="Times New Roman" w:hAnsi="Times New Roman"/>
          <w:sz w:val="18"/>
          <w:szCs w:val="18"/>
          <w:color w:val="auto"/>
        </w:rPr>
        <w:t>. During the six months ended June 30, 2024, the Company recorded $35 million of charges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the refinancing of its 2021 term loans.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w:t>
      </w:r>
    </w:p>
    <w:p>
      <w:pPr>
        <w:spacing w:after="0" w:line="17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(Gains) losses on sale of assets and other special charges. </w:t>
      </w:r>
      <w:r>
        <w:rPr>
          <w:rFonts w:ascii="Times New Roman" w:cs="Times New Roman" w:eastAsia="Times New Roman" w:hAnsi="Times New Roman"/>
          <w:sz w:val="18"/>
          <w:szCs w:val="18"/>
          <w:color w:val="auto"/>
        </w:rPr>
        <w:t>During the three and six months ended June 30, 2023, the Company recorded $46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$60 million, respectively, of net charges primarily comprised of reserves for various legal matters, accelerated depreciation related to certain of the Company's assets that were retired early and other gains and losses on the sale of assets.</w:t>
      </w:r>
    </w:p>
    <w:p>
      <w:pPr>
        <w:spacing w:after="0" w:line="119"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Labor contract ratification bonuses. </w:t>
      </w:r>
      <w:r>
        <w:rPr>
          <w:rFonts w:ascii="Times New Roman" w:cs="Times New Roman" w:eastAsia="Times New Roman" w:hAnsi="Times New Roman"/>
          <w:sz w:val="18"/>
          <w:szCs w:val="18"/>
          <w:color w:val="auto"/>
        </w:rPr>
        <w:t>During the three and six months ended June 30, 2023, the Company recorded $813 million of expense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Agreement in Principle with its employees represented by the Air Line Pilots Association and ratified contracts with the IAM.</w:t>
      </w:r>
    </w:p>
    <w:p>
      <w:pPr>
        <w:spacing w:after="0" w:line="104"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Nonoperating unrealized (gains) losses on investments, net. </w:t>
      </w:r>
      <w:r>
        <w:rPr>
          <w:rFonts w:ascii="Times New Roman" w:cs="Times New Roman" w:eastAsia="Times New Roman" w:hAnsi="Times New Roman"/>
          <w:sz w:val="18"/>
          <w:szCs w:val="18"/>
          <w:color w:val="auto"/>
        </w:rPr>
        <w:t>During the three and six months ended June 30, 2023, the Company recorded gains of $84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$108 million, respectively, primarily related to the change in the market value of its investments in equity securities.</w:t>
      </w:r>
    </w:p>
    <w:p>
      <w:pPr>
        <w:spacing w:after="0" w:line="104"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Nonoperating debt extinguishment and modification fees</w:t>
      </w:r>
      <w:r>
        <w:rPr>
          <w:rFonts w:ascii="Times New Roman" w:cs="Times New Roman" w:eastAsia="Times New Roman" w:hAnsi="Times New Roman"/>
          <w:sz w:val="18"/>
          <w:szCs w:val="18"/>
          <w:color w:val="auto"/>
        </w:rPr>
        <w:t>. During the three and six months ended June 30, 2023, the Company recorded $11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primarily related to the prepayment of $1.0 billion of the outstanding principal amount under a 2021 term loan facility.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related notes included elsewhere in this Quarterly Report on Form 10-Q to enhance the understanding of our results of operations, financial condition and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United Airlines Holdings, Inc. (together with its consolidated subsidiaries, "UAL" or the "Company") is a holding company and its wholly-owned subsidiary is United Airlines, Inc. (together with its consolidated subsidiaries, "United").</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is a combined report of UAL and United, including their respective consolidated financial statements. As UAL consolidates United for financial statement purposes, disclosures that relate to activities of United also apply to UAL, unless otherwise noted. United's operating revenues and operating expenses comprise nearly 100% of UAL's revenues and operating expenses. In addition, United comprises approximately the entire balance of UAL's assets, liabilities and operating cash flows. When appropriate, UAL and United are named specifically for their individual contractual obligations and related disclosures, and any significant differences between the operations and results of UAL and United are separately disclosed and explained. We sometimes use the words "we," "our," "us," and the "Company" in this report for disclosures that relate to all of UAL and United.</w:t>
      </w:r>
    </w:p>
    <w:p>
      <w:pPr>
        <w:spacing w:after="0" w:line="13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shared purpose is "Connecting People. Uniting the World." We have the most comprehensive route network among North American carriers, including U.S. mainland hubs in Chicago, Denver, Houston, Los Angeles, New York/Newark, San Francisco and Washington, D.C. The Company transports people and cargo through its mainline operations, which utilize jet aircraft with at least 126 seats, and regional operations, which utilize smaller aircraft that are operated under contract by United's regional carriers. The Company serves virtually every major market around the world, either directly or through participation in Star Alliance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world's largest airline alliance.</w:t>
      </w:r>
    </w:p>
    <w:p>
      <w:pPr>
        <w:spacing w:after="0" w:line="5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current expectations described below are forward-looking statements and our actual results and timing may vary materially based on various factors that include, but are not limited to, those discussed below under "Economic and Market Factors", "Governmental Actions" and "Forward-Looking Information" and in Part I, Item 1A. Risk Factors, in our Annual Report on Form 10-K for the fiscal year ended December 31, 2023 (the "2023 Form 10-K"). The results presented in this report are not necessarily indicative of future operating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and Market Factors</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airline industry is highly competitive, marked by significant competition with respect to routes, fares, schedules (both timing and frequency), services, products, customer service and frequent flyer programs. We, like other companies in our industry, have been subject to these and other industry-specific competitive dynamics. In addition, our operations, supply chain, partners and suppliers have been subject to various global macroeconomic factors. We expect to continue to remain vulnerable to a number of industry-specific and global macroeconomic factors that may cause our actual results of operations to differ from our historical results of operations or current expectations. The economic and market factors and trends that we currently believe are or will be most impactful to our results of operations and financial condition include the following: the execution risks associated with our United Next plan, especially relating to the growth in the scale of our operations as a result of the plan; the impact on the Company of significant operational challenges by third parties on which we rely; rising inflationary pressures; labor market and supply chain constraints and related costs affecting us and our partners; volatile fuel prices; aircraft delivery delays; increasing maintenance expenses; high interest rates; and changes in general economic conditions in the markets in which the Company operates, including an economic downturn leading to a decrease in demand for air travel or fluctuations in foreign currency exchange rates that may impact international travel demand. We continue to monitor the potential favorable or unfavorable impacts of these and other factors on our business, operations, financial condition, future results of operations, liquidity and financial flexibility, which are dependent on future developments, including as a result of those factors discussed in Part I, Item 1A. Risk Factors, of the 2023 Form 10-K. Our future results of operations may be subject to volatility and our growth plans may be delayed, particularly in the short term, due to the impact of the above factors and trends.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Actions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operate in complex, highly regulated environments in the U.S., the European Union, the United Kingdom and other regions around the world. Compliance with laws, regulations, administrative practices and other restrictions or legal requirements in the countries in which we do business is onerous and expensive. In addition, changes to existing legal requirements or the</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6" w:right="379"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implementation of new legal requirements and any failure to comply with such legal requirements could negatively impact our business, operations, financial condition, future results of operations, liquidity and financial flexibility by increasing the Company's costs, limiting the Company's ability to offer a product, service or feature to customers, impacting customer demand for the Company's products and services and requiring changes to the Company's supply chain and its business. Legal requirements that we currently believe are or will be most impactful to our results of operations and financial condition include the following: increased oversight by the Federal Aviation Administration ("FAA") of the Company’s operations in connection with its evaluation of the Company; the closure of our flying airspace and termination of other operations due to regional conflicts, including the suspension of our overflying in Russian airspace as a result of the Russia-Ukraine military conflict and interruptions of our flying to Tel Aviv as a result of the Israeli-Hamas military conflict, as well as any escalation of the broader economic consequences of these conflicts beyond their current scope; delays in aircraft certification (especially relating to the 737 MAX 10 aircraft); increased FAA oversight of the aircraft production process; and any legal requirement that would result in a reshaping of the benefits that we provide to our consumers through the co-branded credit cards issued by our partner. Changes in existing applicable legal requirements or new applicable legal requirements as well as the related interpretations and enforcement practices regarding them, create uncertainty about how such laws and regulations will be understood and applied. As a result, the impact of changing and new legal requirements generally cannot be reasonably predicted and those requirements may ultimately require extensive system and operational changes, be difficult to implement, increase our operating costs and require significant capital expenditures.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discussion provides an analysis of our results of operations and reasons for material changes therein for the three and six months ended June 30, 2024, as compared to the corresponding period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2024 Compared to Second Quarter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net income of $1.3 billion for the second quarter of 2024 as compared to net income of $1.1 billion for the second quarter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operating results for the three months ended June 30 are as follows (in millions, except percentage changes):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0" w:type="dxa"/>
            <w:vAlign w:val="bottom"/>
          </w:tcPr>
          <w:p>
            <w:pPr>
              <w:spacing w:after="0"/>
              <w:rPr>
                <w:sz w:val="17"/>
                <w:szCs w:val="17"/>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2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9"/>
        </w:trPr>
        <w:tc>
          <w:tcPr>
            <w:tcW w:w="3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consolidated statistical information for the Company's operations for the three months ended June 30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Passengers (thousands) (a)</w:t>
            </w:r>
          </w:p>
        </w:tc>
        <w:tc>
          <w:tcPr>
            <w:tcW w:w="3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44,375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passenger miles ("RPMs" or "traffic") (millions) (b)</w:t>
            </w:r>
          </w:p>
        </w:tc>
        <w:tc>
          <w:tcPr>
            <w:tcW w:w="3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67,064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63,541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seat miles ("ASMs" or "capacity") (millions) (c)</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79,678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73,538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load factor (d)</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 pts.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per available seat mile ("PRASM") (cents)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per ASM ("TRASM") (cents)</w:t>
            </w:r>
          </w:p>
        </w:tc>
        <w:tc>
          <w:tcPr>
            <w:tcW w:w="3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yield per revenue passenger mile ("Yield") (cents) (e)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 revenue ton miles ("CTM") (millions) (f)</w:t>
            </w:r>
          </w:p>
        </w:tc>
        <w:tc>
          <w:tcPr>
            <w:tcW w:w="30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per ASM ("CASM") (cents)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gallon of fuel, including fuel taxes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gallons consumed (millions)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headcount, as of June 30</w:t>
            </w:r>
          </w:p>
        </w:tc>
        <w:tc>
          <w:tcPr>
            <w:tcW w:w="3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99,800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3874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revenue passengers measured by each flight segment flown.</w:t>
      </w:r>
    </w:p>
    <w:p>
      <w:pPr>
        <w:spacing w:after="0" w:line="40"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scheduled miles flown by revenue passengers.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seats available for passengers multiplied by the number of scheduled miles those seats are flown.</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passenger miles divided by available seat miles.</w:t>
      </w:r>
    </w:p>
    <w:p>
      <w:pPr>
        <w:spacing w:after="0" w:line="41"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passenger revenue received for each revenue passenger mile flown.</w:t>
      </w:r>
    </w:p>
    <w:p>
      <w:pPr>
        <w:spacing w:after="0" w:line="41" w:lineRule="exact"/>
        <w:rPr>
          <w:rFonts w:ascii="Times New Roman" w:cs="Times New Roman" w:eastAsia="Times New Roman" w:hAnsi="Times New Roman"/>
          <w:sz w:val="14"/>
          <w:szCs w:val="14"/>
          <w:color w:val="auto"/>
        </w:rPr>
      </w:pPr>
    </w:p>
    <w:p>
      <w:pPr>
        <w:ind w:left="200" w:hanging="174"/>
        <w:spacing w:after="0"/>
        <w:tabs>
          <w:tab w:leader="none" w:pos="2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cargo revenue tons transported multiplied by the number of miles flown.</w:t>
      </w:r>
    </w:p>
    <w:p>
      <w:pPr>
        <w:spacing w:after="0" w:line="271"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shows year-over-year comparisons by type of operating revenue for the three months ended June 30 (in millions,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for percentage changes):</w:t>
      </w:r>
    </w:p>
    <w:tbl>
      <w:tblPr>
        <w:tblLayout w:type="fixed"/>
        <w:tblInd w:w="0" w:type="dxa"/>
        <w:tblCellMar>
          <w:top w:w="0" w:type="dxa"/>
          <w:left w:w="0" w:type="dxa"/>
          <w:bottom w:w="0" w:type="dxa"/>
          <w:right w:w="0" w:type="dxa"/>
        </w:tblCellMar>
      </w:tblPr>
      <w:tr>
        <w:trPr>
          <w:trHeight w:val="191"/>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60" w:type="dxa"/>
            <w:vAlign w:val="bottom"/>
          </w:tcPr>
          <w:p>
            <w:pPr>
              <w:spacing w:after="0"/>
              <w:rPr>
                <w:sz w:val="16"/>
                <w:szCs w:val="16"/>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color w:val="auto"/>
        </w:rPr>
        <w:t>The table below presents selected second quarter passenger revenue and operating data, broken out by geographic region, expressed as year-over-year changes: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 (decrease) from 2023:</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8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Atlantic</w:t>
            </w: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0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(in millions)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678</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fare per passenger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RPMs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load factor (points)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r>
    </w:tbl>
    <w:p>
      <w:pPr>
        <w:spacing w:after="0" w:line="23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Passenger revenue increased $0.7 billion, or 5.2%, in the second quarter of 2024 as compared to the year-ago period, primarily due to an 8.3% increase in capacity and a 5.8% increase in passengers.</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Cargo revenue increased $52 million, or 14.4%, in the second quarter of 2024 as compared to the year-ago period, primarily due to higher tonnage and partially offset by lower yields.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Other operating revenue increased $78 million, or 9.6%, in the second quarter of 2024 as compared to the year-ago period, primarily due to an increase in mileage revenue from non-airline partners, including credit card spending with our co-branded</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credit card partner, JPMorgan Chase Bank, N.A., as well as increases in the purchases of United Club memberships, visitor volume and purchases of one-time United Club passes.</w:t>
      </w:r>
    </w:p>
    <w:p>
      <w:pPr>
        <w:spacing w:after="0" w:line="104"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table below includes data related to the Company's operating expenses for the three months ended June 30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percentage changes):</w:t>
      </w: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Change (a)</w:t>
            </w: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4"/>
          <w:szCs w:val="14"/>
          <w:color w:val="auto"/>
        </w:rPr>
        <w:t>(a) NM - Greater than 100% change or otherwise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-92710</wp:posOffset>
            </wp:positionV>
            <wp:extent cx="22974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$388 million, or 10.5%, in the second quarter of 2024 as compared to the year-ago period, primarily due to annual wage rate increases across certain employee groups and a 6.2% increase in headcount largely due to increased flight activity.</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Aircraft fuel expense increased by $313 million, or 11.1%, in the second quarter of 2024 as compared to the year-ago period, due to increased consumption from higher flight activity and a higher average price per gallon of fuel. The table below presents the significant changes in aircraft fuel cost per gallon in the three months ended June 30 (in millions, except percentage change and per gallon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2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consumption (gallons)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gallon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Landing fees and other rent increased $101 million, or 13.2%, in the second quarter of 2024 as compared to the year-ago period, primarily due to rate increases at various airports, terminal expansions and other increases in the number of airport gates and higher landed weight volume due to increased flight activity.</w:t>
      </w:r>
    </w:p>
    <w:p>
      <w:pPr>
        <w:spacing w:after="0" w:line="122" w:lineRule="exact"/>
        <w:rPr>
          <w:sz w:val="20"/>
          <w:szCs w:val="20"/>
          <w:color w:val="auto"/>
        </w:rPr>
      </w:pPr>
    </w:p>
    <w:p>
      <w:pPr>
        <w:jc w:val="both"/>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 increased $50 million, or 7.5%, in the second quarter of 2024 as compared to the year-ago period, primarily due to the induction of new aircraft and related spare parts, as well as certain aircraft improvements.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Distribution expenses increased $139 million, or 28.5%, in the second quarter of 2024 as compared to the year-ago period, primarily due to higher credit card fees, agency commissions and global distribution fees driven by the overall increase in passenger revenue and $64 million of commissions that were recorded as contra-revenue in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special charges include the following for the three months ended June 30 (in millions):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84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8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48"/>
        </w:trPr>
        <w:tc>
          <w:tcPr>
            <w:tcW w:w="8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the financial statements included in Part I, Item 1 of this report for additional information on the Company's special charges.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$194 million, or 9.6%, in the second quarter of 2024 as compared to the year ago period, primarily as a direct result of the increase in flight activity and onboard passengers as well as the impacts of inflationary pressures. Other operating expenses include expenditures related to information technology projects and services, food and beverage offerings, passenger services, personnel-related costs and ground handling.</w:t>
      </w:r>
    </w:p>
    <w:p>
      <w:pPr>
        <w:spacing w:after="0" w:line="118"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table below shows year-over-year comparisons of the Company's nonoperating income (expense)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June 30 (in millions, except for percentage changes):</w:t>
      </w: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63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Interest expense decreased $66 million, or 13.4%, in the second quarter of 2024 as compared to the year-ago period, primarily due to declining debt balances and lower interest rates on refinanced debt.</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income decreased $26 million, or 12.0%, in the second quarter of 2024 as compared to the year-ago period, primarily due to lower short-term investments in U.S. government and agency notes, which was partially offset by higher interest rates.</w:t>
      </w:r>
    </w:p>
    <w:p>
      <w:pPr>
        <w:spacing w:after="0" w:line="10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Unrealized losses on investments, net, was $33 million in the second quarter of 2024 as compared to $84 million in unrealized gains in the year-ago period, primarily due to the change in the market value of the Company's investments in equity securities. See Note 6 to the financial statements included in Part I, Item 1 of this report for information related to these equity investments.</w:t>
      </w:r>
    </w:p>
    <w:p>
      <w:pPr>
        <w:spacing w:after="0" w:line="118" w:lineRule="exact"/>
        <w:rPr>
          <w:sz w:val="20"/>
          <w:szCs w:val="20"/>
          <w:color w:val="auto"/>
        </w:rPr>
      </w:pPr>
    </w:p>
    <w:p>
      <w:pPr>
        <w:ind w:right="1680"/>
        <w:spacing w:after="0" w:line="440" w:lineRule="auto"/>
        <w:rPr>
          <w:sz w:val="20"/>
          <w:szCs w:val="20"/>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b w:val="1"/>
          <w:bCs w:val="1"/>
          <w:i w:val="1"/>
          <w:iCs w:val="1"/>
          <w:color w:val="auto"/>
        </w:rPr>
        <w:t>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Note 4 to the financial statements included in Part I, Item 1 of this report for information related to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First Six Months 2024 Compared to First Six Months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net income of $1.2 billion in the first six months of 2024 as compared to net income of $0.9 billion in the first six months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operating results for the six months ended June 30 are as follows (in millions, except percentage changes):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8"/>
                <w:szCs w:val="18"/>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25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Nonoperating expense, net</w:t>
            </w:r>
          </w:p>
        </w:tc>
        <w:tc>
          <w:tcPr>
            <w:tcW w:w="2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5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CCEEFF"/>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3"/>
        </w:trPr>
        <w:tc>
          <w:tcPr>
            <w:tcW w:w="38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consolidated statistical information for the Company's operations for the six months ended June 30 is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Passengers (thousands)</w:t>
            </w:r>
          </w:p>
        </w:tc>
        <w:tc>
          <w:tcPr>
            <w:tcW w:w="2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83,700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RPMs (millions)</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124,491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116,073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ASMs (millions)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139,258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load factor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 pts.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 (cents)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TRASM (cents)</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Yield (cents)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CTM (millions)</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CASM (cents)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gallon of fuel, including fuel taxes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gallons consumed (millions)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Employee headcount, as of June 30</w:t>
            </w:r>
          </w:p>
        </w:tc>
        <w:tc>
          <w:tcPr>
            <w:tcW w:w="280" w:type="dxa"/>
            <w:vAlign w:val="bottom"/>
          </w:tcPr>
          <w:p>
            <w:pPr>
              <w:spacing w:after="0"/>
              <w:rPr>
                <w:sz w:val="19"/>
                <w:szCs w:val="19"/>
                <w:color w:val="auto"/>
              </w:rPr>
            </w:pP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Revenue. </w:t>
      </w:r>
      <w:r>
        <w:rPr>
          <w:rFonts w:ascii="Times New Roman" w:cs="Times New Roman" w:eastAsia="Times New Roman" w:hAnsi="Times New Roman"/>
          <w:sz w:val="18"/>
          <w:szCs w:val="18"/>
          <w:color w:val="auto"/>
        </w:rPr>
        <w:t>The table below shows year-over-year comparisons by type of operating revenue for the six months ended June 30 (in millions,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percentage changes):</w:t>
      </w:r>
    </w:p>
    <w:tbl>
      <w:tblPr>
        <w:tblLayout w:type="fixed"/>
        <w:tblInd w:w="0" w:type="dxa"/>
        <w:tblCellMar>
          <w:top w:w="0" w:type="dxa"/>
          <w:left w:w="0" w:type="dxa"/>
          <w:bottom w:w="0" w:type="dxa"/>
          <w:right w:w="0" w:type="dxa"/>
        </w:tblCellMar>
      </w:tblPr>
      <w:tr>
        <w:trPr>
          <w:trHeight w:val="191"/>
        </w:trPr>
        <w:tc>
          <w:tcPr>
            <w:tcW w:w="6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80" w:type="dxa"/>
            <w:vAlign w:val="bottom"/>
          </w:tcPr>
          <w:p>
            <w:pPr>
              <w:spacing w:after="0"/>
              <w:rPr>
                <w:sz w:val="16"/>
                <w:szCs w:val="16"/>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6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Cargo</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revenue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revenue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27,525</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8"/>
          <w:szCs w:val="18"/>
          <w:color w:val="auto"/>
        </w:rPr>
        <w:t>The table below presents selected passenger revenue and operating data, broken out by geographic region, expressed as year-over-year changes for the six months ended June 30, 2024 compared to the six months ended June 30, 2023: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Increase (decrease) from 2023:</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223"/>
        </w:trPr>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Domestic</w:t>
            </w:r>
          </w:p>
        </w:tc>
        <w:tc>
          <w:tcPr>
            <w:tcW w:w="280" w:type="dxa"/>
            <w:vAlign w:val="bottom"/>
          </w:tcPr>
          <w:p>
            <w:pPr>
              <w:spacing w:after="0"/>
              <w:rPr>
                <w:sz w:val="19"/>
                <w:szCs w:val="19"/>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Atlantic</w:t>
            </w:r>
          </w:p>
        </w:tc>
        <w:tc>
          <w:tcPr>
            <w:tcW w:w="30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42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Latin</w:t>
            </w:r>
          </w:p>
        </w:tc>
        <w:tc>
          <w:tcPr>
            <w:tcW w:w="340" w:type="dxa"/>
            <w:vAlign w:val="bottom"/>
          </w:tcPr>
          <w:p>
            <w:pPr>
              <w:spacing w:after="0"/>
              <w:rPr>
                <w:sz w:val="19"/>
                <w:szCs w:val="19"/>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revenue (in millions)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1,717</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fare per passenger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Yield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PRASM</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Passengers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RPMs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ASMs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Passenger load factor (points)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Passenger revenue increased $1.7 billion, or 7.4%, in the first six months of 2024 as compared to the year-ago period, primarily due to an 8.7% increase in capacity as well as a 6.3% increase in passengers.</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Cargo revenue increased $45 million, or 5.9%, in the first six months of 2024 as compared to the year-ago period, primarily due to higher tonnage and partially offset by lower yields.</w:t>
      </w:r>
    </w:p>
    <w:p>
      <w:pPr>
        <w:spacing w:after="0" w:line="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operating revenue increased $156 million, or 9.9%, in the first six months of 2024 as compared to the year-ago period, primarily due to an increase in mileage revenue from non-airline partners, including credit card spending with our co-branded credit card partner, JPMorgan Chase Bank, N.A., as well as increases in the purchases of United Club memberships, visitor volume and purchases of one-time United Club passes.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Expenses. </w:t>
      </w:r>
      <w:r>
        <w:rPr>
          <w:rFonts w:ascii="Times New Roman" w:cs="Times New Roman" w:eastAsia="Times New Roman" w:hAnsi="Times New Roman"/>
          <w:sz w:val="18"/>
          <w:szCs w:val="18"/>
          <w:color w:val="auto"/>
        </w:rPr>
        <w:t>The table below includes data related to the Company's operating expenses for the six months ended June 30 (in millions, except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percentage changes):</w:t>
      </w: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70"/>
              <w:spacing w:after="0" w:line="18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0" w:type="dxa"/>
            <w:vAlign w:val="bottom"/>
          </w:tcPr>
          <w:p>
            <w:pPr>
              <w:spacing w:after="0"/>
              <w:rPr>
                <w:sz w:val="16"/>
                <w:szCs w:val="16"/>
                <w:color w:val="auto"/>
              </w:rPr>
            </w:pP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3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costs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fuel</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Landing fees and other rent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maintenance materials and outside repairs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Regional capacity purchase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 rent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charges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8"/>
        </w:trPr>
        <w:tc>
          <w:tcPr>
            <w:tcW w:w="6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Salaries and related costs increased $1.0 billion, or 14.2%, in the first six months of 2024 as compared to the year-ago period, primarily due to annual wage rate increases across certain employee groups and a 6.2% increase in headcount largely due to increased flight activity.</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Aircraft fuel expense increased $93 million, or 1.6%, in the first six months of 2024 as compared to the year-ago period, primarily due to increased consumption from higher flight activity and partially offset by a lower average price per gallon of fuel. The table below presents the significant changes in aircraft fuel cost per gallon in the six months ended June 30 (in millions, except percentage change and per gallon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expense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consumption (gallons)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gallon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Landing fees and other rent increased $188 million, or 12.7%, in the first six months of 2024 as compared to the year-ago period, primarily due to rate increases at various airports, terminal expansions and other increases in the number of airport gates and higher landed weight volume due to increased flight activity.</w:t>
      </w:r>
    </w:p>
    <w:p>
      <w:pPr>
        <w:spacing w:after="0" w:line="12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Aircraft maintenance materials and outside repairs increased $101 million, or 7.3%, in the first six months of 2024 as compared to the year-ago period, primarily due to increased flight activity and increased volumes of engine overhauls, materials use, and component repair costs.</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 increased $103 million, or 7.8%, in the first six months of 2024 as compared to the year-ago period, primarily due the induction of new aircraft and related spare parts, as well as certain aircraft improvements.</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Distribution expenses increased $216 million, or 24.3%, in the first six months of 2024 as compared to the year-ago period, primarily due to higher credit card fees driven by an increase in passenger revenue and $120 million of commissions that were recorded as contra-revenue in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special charges include the following for the three months ended June 30 (in millions):</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8840" w:type="dxa"/>
            <w:vAlign w:val="bottom"/>
            <w:tcBorders>
              <w:bottom w:val="single" w:sz="8" w:color="CCEEFF"/>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on sale of assets and other special charges</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8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contract ratification bonuses</w:t>
            </w:r>
          </w:p>
        </w:tc>
        <w:tc>
          <w:tcPr>
            <w:tcW w:w="8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48"/>
        </w:trPr>
        <w:tc>
          <w:tcPr>
            <w:tcW w:w="8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Special charges</w:t>
            </w: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9 to the financial statements included in Part I, Item 1 of this report for additional information on the Company's special charges.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$0.5 billion, or 13.8%, in the first six months of 2024 as compared to the year-ago period, primarily as a direct result of the increase in flight activity and onboard passengers, as well as the impacts of inflationary pressures. Other operating expenses include expenditures related to information technology projects and services, food and beverage offerings, passenger services, personnel-related costs and ground handling.</w:t>
      </w:r>
    </w:p>
    <w:p>
      <w:pPr>
        <w:spacing w:after="0" w:line="118"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Nonoperating Income (Expense). </w:t>
      </w:r>
      <w:r>
        <w:rPr>
          <w:rFonts w:ascii="Times New Roman" w:cs="Times New Roman" w:eastAsia="Times New Roman" w:hAnsi="Times New Roman"/>
          <w:sz w:val="18"/>
          <w:szCs w:val="18"/>
          <w:color w:val="auto"/>
        </w:rPr>
        <w:t>The following table illustrates the year-over-year dollar and percentage changes in the Company's nonoperating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the six months ended June 30 (in millions, except for percentage changes):</w:t>
      </w: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line="18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capitalized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gains (losses) on investments,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0" w:type="dxa"/>
            <w:vAlign w:val="bottom"/>
          </w:tcPr>
          <w:p>
            <w:pPr>
              <w:spacing w:after="0"/>
              <w:rPr>
                <w:sz w:val="1"/>
                <w:szCs w:val="1"/>
                <w:color w:val="auto"/>
              </w:rPr>
            </w:pPr>
          </w:p>
        </w:tc>
      </w:tr>
      <w:tr>
        <w:trPr>
          <w:trHeight w:val="223"/>
        </w:trPr>
        <w:tc>
          <w:tcPr>
            <w:tcW w:w="6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expense decreased $98 million, or 10.0%, in the first six months of 2024 as compared to the year-ago period, primarily due to declining debt balances and lower interest rates on refinanced debt.</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Interest capitalized increased $41 million, or 51.3%, in the first six months of 2024 as compared to the year-ago period, primarily due to an increase in accumulated spend on capital projects and an increase in aircraft purchase deposit balances.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Unrealized losses on investments, net, was $70 million in the first six months of 2024 as compared to $108 million in unrealized gains in the year-ago period, primarily due to the change in the market value of the Company's investments in equity securities. See Note 6 to the financial statements included in Part I, Item 1 of this report for information related to these equity investments.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Miscellaneous, net changed by $52 million in the first six months of 2024 as compared to the year-ago period, primarily due to debt extinguishment and modification fees related to the refinancing of the Company's 2021 term loans, higher foreign exchange losses and a decrease in the benefit from the Company's net periodic benefit cost of its pension and postretirement benefit plans.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See Note 4 to the financial statements included in Part I, Item 1 of this report for information related to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Liquidity</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June 30, 2024, the Company had $15.2 billion in unrestricted cash, cash equivalents and short-term investments, as compared to $14.4 billion at December 31, 2023. We believe that our existing cash, cash equivalents and short-term investments, together with cash generated from operations, will be sufficient to satisfy our anticipated liquidity needs for the next twelve months, and we expect to meet our long-term liquidity needs with our anticipated access to the capital markets and projected cash from operations. We regularly assess our anticipated working capital needs, debt and leverage levels, debt maturities, capital expenditure requirements (including in connection with our capital commitments for our firm order aircraft) and future investments or acquisitions in order to maximize shareholder return, efficiently finance our ongoing operations and maintain flexibility for future strategic transactions. We also regularly evaluate our liquidity and capital structure to ensure financial risks, liquidity access and cost of capital are efficiently managed.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16, 2024, the Company increased its revolving credit facility (the "Revolving Credit Facility") loan commitments by $100 million for a total amount of $2.965 billion as of June 30, 2024, of which $2.8 billion expires February 15, 2029 and $165 million expires April 21, 2025. The Revolving Credit Facility is secured by certain route authorities and airport slots and gates. No borrowings were outstanding under the Revolving Credit Facility as of June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significant amount of fixed obligations, including debt, leases of aircraft, airport and other facilities, and pension funding obligations. As of June 30, 2024, the Company had approximately $34.3 billion of debt, finance lease, operating lease and other financial liabilities, including $5.5 billion that will become due in the next 12 months. In addition, we have substantial noncancelable commitments for capital expenditures, including the acquisition of certain new aircraft and related spare engines. Our debt agreements contain customary terms and conditions as well as various affirmative, negative and financial covenants that, among other things, restrict the ability of the Company and its subsidiaries to incur additional indebtedness and pay dividends or repurchase stock. As of June 30, 2024, UAL and United were in compliance with their respective debt covenants. As of June 30, 2024, a substantial portion of the Company's assets, principally aircraft and certain related assets, its loyalty program, certain route authorities and airport slots and gates, was pledged under various loan and other agreements. See Note 8 to the financial statements included in Part I, Item 1 of this report for additional information on aircraft financing and other debt instruments.</w:t>
      </w:r>
    </w:p>
    <w:p>
      <w:pPr>
        <w:spacing w:after="0" w:line="40"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On July 2, 2024, the Company voluntarily prepaid in full the outstanding principal balance of the term loan facility of our MileagePlus term loan, which was $1.8 billion as of June 30, 2024, in addition to all accrued and unpaid interest and fees under the term loan facility and terminated all commitments thereunder.</w:t>
      </w:r>
    </w:p>
    <w:p>
      <w:pPr>
        <w:spacing w:after="0" w:line="13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backstop financing commitments available from certain of its aircraft manufacturers for a limited number of its future aircraft deliveries, subject to certain customary conditions. See Note 7 to the financial statements included in Part I, Item 1 of this report for additional information on commitments.</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June 30, 2024, United had firm commitments to purchase aircraft from The Boeing Company ("Boeing") and Airbus S.A.S. ("Airbus") as presented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Contractual Aircraft Deliveries (b)</w:t>
            </w:r>
          </w:p>
        </w:tc>
        <w:tc>
          <w:tcPr>
            <w:tcW w:w="160" w:type="dxa"/>
            <w:vAlign w:val="bottom"/>
          </w:tcPr>
          <w:p>
            <w:pPr>
              <w:spacing w:after="0"/>
              <w:rPr>
                <w:sz w:val="20"/>
                <w:szCs w:val="20"/>
                <w:color w:val="auto"/>
              </w:rPr>
            </w:pPr>
          </w:p>
        </w:tc>
        <w:tc>
          <w:tcPr>
            <w:tcW w:w="392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Expected Aircraft Deliveries (c)</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Firm</w:t>
            </w:r>
          </w:p>
        </w:tc>
        <w:tc>
          <w:tcPr>
            <w:tcW w:w="1340" w:type="dxa"/>
            <w:vAlign w:val="bottom"/>
            <w:gridSpan w:val="2"/>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Last Six</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Aircraft Type</w:t>
            </w:r>
          </w:p>
        </w:tc>
        <w:tc>
          <w:tcPr>
            <w:tcW w:w="1880" w:type="dxa"/>
            <w:vAlign w:val="bottom"/>
            <w:gridSpan w:val="2"/>
            <w:vMerge w:val="continue"/>
          </w:tcPr>
          <w:p>
            <w:pPr>
              <w:spacing w:after="0"/>
              <w:rPr>
                <w:sz w:val="15"/>
                <w:szCs w:val="15"/>
                <w:color w:val="auto"/>
              </w:rPr>
            </w:pPr>
          </w:p>
        </w:tc>
        <w:tc>
          <w:tcPr>
            <w:tcW w:w="13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After 2025</w:t>
            </w:r>
          </w:p>
        </w:tc>
        <w:tc>
          <w:tcPr>
            <w:tcW w:w="13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Months</w:t>
            </w:r>
          </w:p>
        </w:tc>
        <w:tc>
          <w:tcPr>
            <w:tcW w:w="12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5"/>
                <w:szCs w:val="15"/>
                <w:color w:val="auto"/>
              </w:rPr>
            </w:pPr>
          </w:p>
        </w:tc>
        <w:tc>
          <w:tcPr>
            <w:tcW w:w="12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After 2025</w:t>
            </w:r>
          </w:p>
        </w:tc>
        <w:tc>
          <w:tcPr>
            <w:tcW w:w="0" w:type="dxa"/>
            <w:vAlign w:val="bottom"/>
          </w:tcPr>
          <w:p>
            <w:pPr>
              <w:spacing w:after="0"/>
              <w:rPr>
                <w:sz w:val="1"/>
                <w:szCs w:val="1"/>
                <w:color w:val="auto"/>
              </w:rPr>
            </w:pPr>
          </w:p>
        </w:tc>
      </w:tr>
      <w:tr>
        <w:trPr>
          <w:trHeight w:val="243"/>
        </w:trPr>
        <w:tc>
          <w:tcPr>
            <w:tcW w:w="1400" w:type="dxa"/>
            <w:vAlign w:val="bottom"/>
            <w:gridSpan w:val="2"/>
            <w:vMerge w:val="continue"/>
          </w:tcPr>
          <w:p>
            <w:pPr>
              <w:spacing w:after="0"/>
              <w:rPr>
                <w:sz w:val="21"/>
                <w:szCs w:val="21"/>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Commitments (a)</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of 2024</w:t>
            </w: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 2024</w:t>
            </w:r>
          </w:p>
        </w:tc>
        <w:tc>
          <w:tcPr>
            <w:tcW w:w="1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737 MAX 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737 MAX 10</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1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A321neo</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A321XLR</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A350</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also has options and purchase rights for additional aircraft.</w:t>
      </w:r>
    </w:p>
    <w:p>
      <w:pPr>
        <w:spacing w:after="0" w:line="32"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aircraft deliveries reflect an agreement United entered into with Airbus on July 16, 2024 to adjust delivery schedules for the A321neo ("Airbus Agreement").</w:t>
      </w:r>
    </w:p>
    <w:p>
      <w:pPr>
        <w:spacing w:after="0" w:line="41" w:lineRule="exact"/>
        <w:rPr>
          <w:rFonts w:ascii="Times New Roman" w:cs="Times New Roman" w:eastAsia="Times New Roman" w:hAnsi="Times New Roman"/>
          <w:sz w:val="14"/>
          <w:szCs w:val="14"/>
          <w:color w:val="auto"/>
        </w:rPr>
      </w:pPr>
    </w:p>
    <w:p>
      <w:pPr>
        <w:jc w:val="both"/>
        <w:ind w:left="20" w:right="80" w:firstLine="6"/>
        <w:spacing w:after="0" w:line="234" w:lineRule="auto"/>
        <w:tabs>
          <w:tab w:leader="none" w:pos="2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aircraft deliveries reflect adjustments to contractual delivery schedules as communicated by Boeing and Airbus or estimated by United. However, aircraft deliveries are subject to a number of variables, as further described in Part I, Item 1A. Risk Factors of the 2023 Form 10-K, and we cannot guarantee delivery of any particular aircraft at any specific time notwithstanding firm purchase commitments.</w:t>
      </w:r>
    </w:p>
    <w:p>
      <w:pPr>
        <w:spacing w:after="0" w:line="26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aircraft listed in the table above are scheduled for delivery through 2033. The amount and timing of the Company's future capital commitments could change to the extent that: (i) the Company and the aircraft manufacturers, with whom the Company has existing orders for new aircraft, agree to modify the contracts governing those orders; (ii) rights are exercised pursuant to the relevant agreements to cancel deliveries or modify the timing of deliveries; or (iii) the aircraft manufacturers are unable to deliver in accordance with the terms of those orders.</w:t>
      </w:r>
    </w:p>
    <w:p>
      <w:pPr>
        <w:spacing w:after="0" w:line="1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April 14, 2024, the Company entered into confidential arrangements with Boeing with respect to compensation for financial damages incurred in the first quarter of 2024 due to the FAA grounding of the Boeing 737 MAX 9 aircraft, and a confidential agreement to accommodate certification delays for the Boeing 737 MAX 10 aircraft. The compensation provided by Boeing for the grounding damages and in connection with rescheduling deliveries was in the form of credit memos for use on future purchases from Boeing. The Company is accounting for these arrangements as a reduction to the cost basis of the previously-delivered Boeing 737 MAX 9 aircraft and future deliveries of the Boeing 737 MAX 9 and Boeing 737 MAX 10 aircraft, which will reduce future depreciation expense associated with these aircraft.</w:t>
      </w:r>
    </w:p>
    <w:p>
      <w:pPr>
        <w:spacing w:after="0" w:line="13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table below summarizes United's firm commitments as of June 30, 2024, which include aircraft and related spare engines, aircraft improvements and non-aircraft capital commitments. Aircraft commitments are based on contractual scheduled aircraft deliveries without any adjustments communicated by Boeing and Airbus or estimated by United but reflecting the Airbus Agreement and the April 14, 2024 arrangements between United and Boeing.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billions)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Last six months of 2024</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After 2028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9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3"/>
        </w:trPr>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-5747385</wp:posOffset>
            </wp:positionH>
            <wp:positionV relativeFrom="paragraph">
              <wp:posOffset>-1062355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-770890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-479425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-5747385</wp:posOffset>
            </wp:positionH>
            <wp:positionV relativeFrom="paragraph">
              <wp:posOffset>-187960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256" w:right="339" w:bottom="1440" w:gutter="0" w:footer="0" w:header="0"/>
        </w:sectPr>
      </w:pPr>
    </w:p>
    <w:p>
      <w:pPr>
        <w:spacing w:after="0" w:line="2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second quarter of 2024, the Company signed letters of intent to enter into future leasing arrangements with major aircraft leasing companies for 40 Airbus A321neo aircraft with expected deliveries in 2026 and 2027. In July 2024, the Company entered into definitive agreements to lease 35 of the 40 Airbus A321neo aircraft, which will commence between 2026 and 2027. As of the filing date of this report, we have leases of approximately $3.7 billion for several mainline aircraft, regional aircraft under CPAs, airport facility and office space leases, none of which had commenced as of such date. These leases will commence between 2024 and 2038 with lease terms of up to 12 years.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Increase</w:t>
            </w:r>
          </w:p>
        </w:tc>
        <w:tc>
          <w:tcPr>
            <w:tcW w:w="0" w:type="dxa"/>
            <w:vAlign w:val="bottom"/>
          </w:tcPr>
          <w:p>
            <w:pPr>
              <w:spacing w:after="0"/>
              <w:rPr>
                <w:sz w:val="1"/>
                <w:szCs w:val="1"/>
                <w:color w:val="auto"/>
              </w:rPr>
            </w:pPr>
          </w:p>
        </w:tc>
      </w:tr>
      <w:tr>
        <w:trPr>
          <w:trHeight w:val="238"/>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cash provided by (used in):</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0" w:type="dxa"/>
            <w:vAlign w:val="bottom"/>
          </w:tcPr>
          <w:p>
            <w:pPr>
              <w:spacing w:after="0"/>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5,723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6,941</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(1,218)</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tcPr>
          <w:p>
            <w:pPr>
              <w:spacing w:after="0"/>
              <w:rPr>
                <w:sz w:val="19"/>
                <w:szCs w:val="19"/>
                <w:color w:val="auto"/>
              </w:rPr>
            </w:pPr>
          </w:p>
        </w:tc>
        <w:tc>
          <w:tcPr>
            <w:tcW w:w="1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1,575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(3,427)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(5,002)</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(2,518)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(1,054)</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1,464</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4,780</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2,460</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Cash flows provided by operations decreased $1.2 billion in the first six months of 2024 as compared to the year-ago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changes in various working capital items, including higher payments for employee wages and incentives in 2024 as compared to 2023.</w:t>
      </w:r>
    </w:p>
    <w:p>
      <w:pPr>
        <w:spacing w:after="0" w:line="101"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Cash flows used in investing activities decreased $5.0 billion in the first six months of 2024 as compared to the year-ago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 decrease in the purchase of short-term and other investments.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Significant financing events in the six months ended June 30, 2024 were as follows:</w:t>
      </w:r>
    </w:p>
    <w:p>
      <w:pPr>
        <w:spacing w:after="0" w:line="17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Debt, Finance Lease and Other Financing Liability Principal Payments</w:t>
      </w:r>
      <w:r>
        <w:rPr>
          <w:rFonts w:ascii="Times New Roman" w:cs="Times New Roman" w:eastAsia="Times New Roman" w:hAnsi="Times New Roman"/>
          <w:sz w:val="18"/>
          <w:szCs w:val="18"/>
          <w:color w:val="auto"/>
        </w:rPr>
        <w:t>. During the six months ended June 30, 2024, the Company made payments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finance leases, and other financing liabilities of $6.2 billion, including the $3.9 billion prepayment of its 2021 term loan.</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and Other Financing Liabilities Issuances. </w:t>
      </w:r>
      <w:r>
        <w:rPr>
          <w:rFonts w:ascii="Times New Roman" w:cs="Times New Roman" w:eastAsia="Times New Roman" w:hAnsi="Times New Roman"/>
          <w:sz w:val="18"/>
          <w:szCs w:val="18"/>
          <w:color w:val="auto"/>
        </w:rPr>
        <w:t>The Company borrowed the entire term loan commitment available under the new term loan facility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$2.5 billion. Also, the Company borrowed $895 million for aircraft financings.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to the financial statements included in Part I, Item 1 of this report for additional information on these financing activities.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Credit Ratings. </w:t>
      </w:r>
      <w:r>
        <w:rPr>
          <w:rFonts w:ascii="Times New Roman" w:cs="Times New Roman" w:eastAsia="Times New Roman" w:hAnsi="Times New Roman"/>
          <w:sz w:val="18"/>
          <w:szCs w:val="18"/>
          <w:color w:val="auto"/>
        </w:rPr>
        <w:t>As of the filing date of this report, UAL and United had the following corporate credit ratings: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S&amp;P</w:t>
            </w: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Moody's</w:t>
            </w: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Fitch</w:t>
            </w:r>
          </w:p>
        </w:tc>
      </w:tr>
      <w:tr>
        <w:trPr>
          <w:trHeight w:val="223"/>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UAL</w:t>
            </w:r>
          </w:p>
        </w:tc>
        <w:tc>
          <w:tcPr>
            <w:tcW w:w="20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BB-</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c>
          <w:tcPr>
            <w:tcW w:w="10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180" w:type="dxa"/>
            <w:vAlign w:val="bottom"/>
            <w:tcBorders>
              <w:top w:val="single" w:sz="8" w:color="CCEEFF"/>
            </w:tcBorders>
            <w:shd w:val="clear" w:color="auto" w:fill="CCEEFF"/>
          </w:tcPr>
          <w:p>
            <w:pPr>
              <w:spacing w:after="0"/>
              <w:rPr>
                <w:sz w:val="19"/>
                <w:szCs w:val="19"/>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w:t>
            </w:r>
          </w:p>
        </w:tc>
        <w:tc>
          <w:tcPr>
            <w:tcW w:w="2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BB-</w:t>
            </w:r>
          </w:p>
        </w:tc>
        <w:tc>
          <w:tcPr>
            <w:tcW w:w="202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BB-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609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090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*The credit agency does not issue corporate credit ratings for subsidiary entities.</w:t>
      </w:r>
    </w:p>
    <w:p>
      <w:pPr>
        <w:spacing w:after="0" w:line="200" w:lineRule="exact"/>
        <w:rPr>
          <w:sz w:val="20"/>
          <w:szCs w:val="20"/>
          <w:color w:val="auto"/>
        </w:rPr>
      </w:pPr>
    </w:p>
    <w:p>
      <w:pPr>
        <w:spacing w:after="0" w:line="29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These credit ratings are below investment grade levels; however, the Company has been able to secure financing with investment grade credit ratings for certain enhanced equipment trust certificates, term loans and secured bond financings.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Downgrades from these rating levels, among other things, could restrict the availability, or increase the cost, of future financing for the Company as well as affect the fair market value of existing debt. A rating reflects only the view of a rating agency and is not a recommendation to buy, sell or hold securities. Ratings can be revised upward or downward at any time by a rating agency if such rating agency decides that circumstances warrant such a change.</w:t>
      </w:r>
    </w:p>
    <w:p>
      <w:pPr>
        <w:spacing w:after="0" w:line="100" w:lineRule="exact"/>
        <w:rPr>
          <w:sz w:val="20"/>
          <w:szCs w:val="20"/>
          <w:color w:val="auto"/>
        </w:rPr>
      </w:pPr>
    </w:p>
    <w:p>
      <w:pPr>
        <w:jc w:val="both"/>
        <w:ind w:right="4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Contingencies and Liquidity Matters. </w:t>
      </w:r>
      <w:r>
        <w:rPr>
          <w:rFonts w:ascii="Times New Roman" w:cs="Times New Roman" w:eastAsia="Times New Roman" w:hAnsi="Times New Roman"/>
          <w:sz w:val="18"/>
          <w:szCs w:val="18"/>
          <w:color w:val="auto"/>
        </w:rPr>
        <w:t>As described in the 2023 Form 10-K, the Company's liquidity may be adversely impacted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variety of factors, including, but not limited to, pension funding obligations, reserve requirements associated with credit card processing agreements, guarantees, commitments and contingencies.</w:t>
      </w:r>
    </w:p>
    <w:p>
      <w:pPr>
        <w:spacing w:after="0" w:line="121" w:lineRule="exact"/>
        <w:rPr>
          <w:sz w:val="20"/>
          <w:szCs w:val="20"/>
          <w:color w:val="auto"/>
        </w:rPr>
      </w:pPr>
    </w:p>
    <w:p>
      <w:pPr>
        <w:ind w:right="1120"/>
        <w:spacing w:after="0" w:line="438" w:lineRule="auto"/>
        <w:rPr>
          <w:sz w:val="20"/>
          <w:szCs w:val="20"/>
          <w:color w:val="auto"/>
        </w:rPr>
      </w:pPr>
      <w:r>
        <w:rPr>
          <w:rFonts w:ascii="Times New Roman" w:cs="Times New Roman" w:eastAsia="Times New Roman" w:hAnsi="Times New Roman"/>
          <w:sz w:val="18"/>
          <w:szCs w:val="18"/>
          <w:color w:val="auto"/>
        </w:rPr>
        <w:t xml:space="preserve">See the 2023 Form 10-K and Notes 6, 7 and 8 to the financial statements contained in Part I, Item 1 of this report for additional information. </w:t>
      </w:r>
      <w:r>
        <w:rPr>
          <w:rFonts w:ascii="Times New Roman" w:cs="Times New Roman" w:eastAsia="Times New Roman" w:hAnsi="Times New Roman"/>
          <w:sz w:val="18"/>
          <w:szCs w:val="18"/>
          <w:b w:val="1"/>
          <w:bCs w:val="1"/>
          <w:color w:val="auto"/>
        </w:rPr>
        <w:t>CRITICAL ACCOUNTING POLICIES</w:t>
      </w:r>
    </w:p>
    <w:p>
      <w:pPr>
        <w:spacing w:after="0" w:line="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See "Critical Accounting Policies" in Part II, Item 7, Management's Discussion and Analysis of Financial Condition and Results of Operations in the 2023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certain "forward-looking statements," within the meaning of Section 27A of the Securities Act of 1933, as amended, and Section 21E of the Securities Exchange Act of 1934, as amended, including in Part I, Item 2. Management's Discussion and Analysis of Financial Condition and Results of Operations and elsewhere, relating to, among other things, goals, plans and projections regarding the Company's financial position, results of operations, market position, capacity, fleet plan strategy, product development, ESG-related strategy initiatives and business strategy. Such forward-looking statements are based on historical performance and current expectations, estimates, forecasts and projections about the Company's future financial results, goals, plans, commitments, strategies and objectives and involve inherent risks, assumptions and uncertainties, known or unknown, including internal or external factors that could delay, divert or change any of them, that are difficult to predict, may be beyond the Company's control and could cause the Company's future financial results, goals, plans, commitments, strategies and objectives to differ materially from those expressed in, or implied by, the statements. Words such as "should," "could," "would," "will," "may," "expects," "plans," "intends," "anticipates," "indicates," "remains," "believes," "estimates," "projects," "forecast," "guidance," "outlook," "goals," "targets," "pledge," "confident," "optimistic," "dedicated," "positioned," "on track" and other words and terms of similar meaning and expression are intended to identify forward-looking statements, although not all forward-looking statements contain such terms. All statements, other than those that relate solely to historical facts, are forward-looking statements.</w:t>
      </w:r>
    </w:p>
    <w:p>
      <w:pPr>
        <w:spacing w:after="0" w:line="1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Additionally, forward-looking statements include conditional statements and statements that identify uncertainties or trends, discuss the possible future effects of known trends or uncertainties, or that indicate that the future effects of known trends or uncertainties cannot be predicted, guaranteed or assured. All forward-looking statements in this report are based upon information available to us on the date of this report. We undertake no obligation to publicly update or revise any forward-looking statement, whether as a result of new information, future events, changed circumstances or otherwise, except as required by applicable law or regulation.</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actual results could differ materially from these forward-looking statements due to numerous factors including, without limitation, the following: execution risks associated with our strategic operating plan; 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any failure to effectively manage, and receive anticipated benefits and returns from, acquisitions, divestitures, investments, joint ventures and other portfolio actions, or related exposures to unknown liabilities or other issues or underperformance as compared to our expectations; adverse publicity, harm to our brand, reduced travel demand, potential tort liability and operational restrictions as a result of an accident, catastrophe or incident involving us, our regional carriers, our codeshare partners or another airline; the highly competitive nature of the global airline industry and susceptibility of the industry to price discounting and changes in capacity, including as a result of alliances, joint business arrangements or other consolidations; our reliance on a limited number of suppliers to source a majority of our aircraft, engines and certain parts, and the impact of any failure to obtain timely deliveries, additional equipment or support from any of these suppliers; disruptions to our regional network and United Express flights provided by third-party regional carriers; unfavorable economic and political conditions in the United States and globally; reliance on third-party service providers and the impact of any significant failure of these parties to perform as expected, or interruptions in our relationships with these providers or their provision of services; extended interruptions or disruptions in service at major airports where we operate and space, facility and infrastructure constraints at our hubs or other airports; geopolitical conflict, terrorist attacks or security events (including the suspension of our overflying in Russian airspace as a result of the Russia-Ukraine military conflict and interruptions of our flying to Tel Aviv as a result of the Israeli-Hamas military conflict, as well as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escalation of the broader economic consequences of these conflicts beyond their current scope); any damage to our reputation or brand image; our reliance on technology and automated systems to operate our business and the impact of any significant failure or disruption of, or failure to effectively integrate and implement, these technologies or systems; increasing privacy, data security and cybersecurity obligations or a significant data breach; increased use of social media platforms by us, our employees and others; the impacts of union disputes, employee strikes or slowdowns, and other labor-related disruptions or regulatory compliance costs on our operations or financial performance; any failure to attract, train or retain skilled personnel, including our senior management team or other key employees; the monetary and operational costs of compliance with extensive government regulation of the airline industry; current or future litigation and regulatory actions, or failure to comply with the terms of any settlement, order or agreement relating to these actions; costs, liabilities and risks associated with environmental regulation and climate change, and any failure to achieve or demonstrate progress towards our climate goals; high and/or volatile fuel prices or significant disruptions in the supply of aircraft fuel; the impacts of our significant amount of financial leverage from fixed obligations and the impacts of insufficient liquidity on our financial condition and business; failure to comply with financial and other covenants governing our debt, including our MileagePlus® financing agreements; limitations on our ability to use our net operating loss carryforwards and certain other tax attributes to offset future taxable income for U.S. federal income tax purposes; our failure to realize the full value of our intangible assets or our long-lived assets, causing us to record impairments; fluctuations in the price of our common stock; the impacts of seasonality and other factors associated with the airline industry; increases in insurance costs or inadequate insurance coverage; and other risks and uncertainties set forth under Part I, Item 1A. Risk Factors, of the 2023 Form 10-K, and under "Economic and Market Factors" and "Governmental Actions" in Part I, Item 2. Management's Discussion and Analysis of Financial Condition and Results of Operations, of this report, as well as other risks and uncertainties set forth from time to time in the reports we file with the SEC.</w:t>
      </w:r>
    </w:p>
    <w:p>
      <w:pPr>
        <w:spacing w:after="0" w:line="13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foregoing list sets forth many, but not all, of the factors that could impact our ability to achieve results described in any forward-looking statements. Investors should understand that it is not possible to predict or identify all such factors and should not consider this list to be a complete statement of all potential risks and uncertainties. It is routine for our internal projections and expectations to change as the year or each quarter in the year progresses, and therefore it should be clearly understood that the internal projections, beliefs and assumptions upon which we base our expectations may change. For instance, we regularly monitor future demand and booking trends and adjust capacity, as needed. As such, our actual flown capacity may differ materially from currently published flight schedules or current estimations.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market risk from the information provided in Part II, Item 7A, Quantitative and Qualitative Disclosures About Market Risk, in our 2023 Form 10-K.</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UAL and United each maintains controls and procedures that are designed to ensure that information required to be disclosed in the reports filed or submitted by UAL and United to the SEC is recorded, processed, summarized and reported, within the time periods specified by the SEC's rules and forms, and is accumulated and communicated to management, including the Chief Executive Officer and Chief Financial Officer, as appropriate, to allow timely decisions regarding required disclosure. The management of UAL and United, including the Chief Executive Officer and Chief Financial Officer, performed an evaluation to conclude with reasonable assurance that UAL's and United's disclosure controls and procedures were designed and operating effectively to report the information each company is required to disclose in the reports it files with the SEC on a timely basis. Based on that evaluation, the Chief Executive Officer and the Chief Financial Officer of UAL and United have concluded that as of June 30, 2024, disclosure controls and procedures were effective.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 during the Quarter Ended June 30, 2024</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there were no changes in UAL's or United's internal control over financial reporting that materially affected, or are reasonably likely to materially affect, their internal control over financial reporting (as defined in Rules 13a-15(f) and 15d-15(f) under the Securities Exchange Act of 1934, as amended (the "Exchange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3, Legal Proceedings, of the 2023 Form 10-K for a description of legal proceedings.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Part I, Item 1A. Risk Factors of the 2023 Form 10-K for a detailed discussion of the risk factors affecting UAL and United.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71" w:lineRule="exact"/>
        <w:rPr>
          <w:rFonts w:ascii="Times New Roman" w:cs="Times New Roman" w:eastAsia="Times New Roman" w:hAnsi="Times New Roman"/>
          <w:sz w:val="18"/>
          <w:szCs w:val="18"/>
          <w:color w:val="auto"/>
        </w:rPr>
      </w:pPr>
    </w:p>
    <w:p>
      <w:pPr>
        <w:ind w:right="14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June 30, 2024, no director or "officer" (as defined in Rule 16a-1(f) under the Exchange Act) of the Company or United informed the Company or United of the adoption, modification or termination of a "Rule 10b5-1 trading arrangement" or a "non-Rule 10b5-1 trading arrangement," as each term is defined in Item 408(a) of Regulation S-K under the Exchange Act.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19" w:lineRule="exact"/>
        <w:rPr>
          <w:sz w:val="20"/>
          <w:szCs w:val="20"/>
          <w:color w:val="auto"/>
        </w:rPr>
      </w:pPr>
    </w:p>
    <w:p>
      <w:pPr>
        <w:ind w:left="280"/>
        <w:spacing w:after="0"/>
        <w:tabs>
          <w:tab w:leader="none" w:pos="1160" w:val="left"/>
          <w:tab w:leader="none" w:pos="6360" w:val="left"/>
        </w:tabs>
        <w:rPr>
          <w:sz w:val="20"/>
          <w:szCs w:val="20"/>
          <w:color w:val="auto"/>
        </w:rPr>
      </w:pPr>
      <w:r>
        <w:rPr>
          <w:rFonts w:ascii="Times New Roman" w:cs="Times New Roman" w:eastAsia="Times New Roman" w:hAnsi="Times New Roman"/>
          <w:sz w:val="14"/>
          <w:szCs w:val="14"/>
          <w:b w:val="1"/>
          <w:bCs w:val="1"/>
          <w:u w:val="single" w:color="auto"/>
          <w:color w:val="auto"/>
        </w:rPr>
        <w:t>Exhibit No.</w:t>
        <w:tab/>
        <w:t>Registrant</w:t>
      </w:r>
      <w:r>
        <w:rPr>
          <w:sz w:val="20"/>
          <w:szCs w:val="20"/>
          <w:color w:val="auto"/>
        </w:rPr>
        <w:tab/>
      </w:r>
      <w:r>
        <w:rPr>
          <w:rFonts w:ascii="Times New Roman" w:cs="Times New Roman" w:eastAsia="Times New Roman" w:hAnsi="Times New Roman"/>
          <w:sz w:val="14"/>
          <w:szCs w:val="14"/>
          <w:b w:val="1"/>
          <w:bCs w:val="1"/>
          <w:u w:val="single" w:color="auto"/>
          <w:color w:val="auto"/>
        </w:rPr>
        <w:t>Exhibit</w:t>
      </w:r>
    </w:p>
    <w:p>
      <w:pPr>
        <w:spacing w:after="0" w:line="90" w:lineRule="exact"/>
        <w:rPr>
          <w:sz w:val="20"/>
          <w:szCs w:val="20"/>
          <w:color w:val="auto"/>
        </w:rPr>
      </w:pPr>
    </w:p>
    <w:p>
      <w:pPr>
        <w:ind w:left="2120"/>
        <w:spacing w:after="0"/>
        <w:rPr>
          <w:rFonts w:ascii="Times New Roman" w:cs="Times New Roman" w:eastAsia="Times New Roman" w:hAnsi="Times New Roman"/>
          <w:sz w:val="18"/>
          <w:szCs w:val="18"/>
          <w:u w:val="single" w:color="auto"/>
          <w:color w:val="0000FF"/>
        </w:rPr>
      </w:pPr>
      <w:hyperlink r:id="rId70">
        <w:r>
          <w:rPr>
            <w:rFonts w:ascii="Times New Roman" w:cs="Times New Roman" w:eastAsia="Times New Roman" w:hAnsi="Times New Roman"/>
            <w:sz w:val="18"/>
            <w:szCs w:val="18"/>
            <w:u w:val="single" w:color="auto"/>
            <w:color w:val="0000FF"/>
          </w:rPr>
          <w:t>Amendment No. 3 to Tax Benefits Preservation Plan, dated as of April 22, 2024, by and between the Company and</w:t>
        </w:r>
      </w:hyperlink>
    </w:p>
    <w:p>
      <w:pPr>
        <w:ind w:left="1180" w:right="60" w:hanging="1587"/>
        <w:spacing w:after="0" w:line="226" w:lineRule="auto"/>
        <w:tabs>
          <w:tab w:leader="none" w:pos="11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UAL </w:t>
      </w:r>
      <w:hyperlink r:id="rId70">
        <w:r>
          <w:rPr>
            <w:rFonts w:ascii="Times New Roman" w:cs="Times New Roman" w:eastAsia="Times New Roman" w:hAnsi="Times New Roman"/>
            <w:sz w:val="18"/>
            <w:szCs w:val="18"/>
            <w:u w:val="single" w:color="auto"/>
            <w:color w:val="0000FF"/>
          </w:rPr>
          <w:t>Computershare Trust Company, N.A., as rights agent (filed as Exhibit 4.4 to UAL's Form 8-A/A filed on April 23, 2024 and</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FF"/>
          </w:rPr>
          <w:t>incorporated herein by reference)</w:t>
        </w:r>
      </w:hyperlink>
    </w:p>
    <w:p>
      <w:pPr>
        <w:sectPr>
          <w:pgSz w:w="11900" w:h="16838" w:orient="portrait"/>
          <w:cols w:equalWidth="0" w:num="1">
            <w:col w:w="11120"/>
          </w:cols>
          <w:pgMar w:left="320" w:top="162" w:right="459" w:bottom="1440" w:gutter="0" w:footer="0" w:header="0"/>
        </w:sectPr>
      </w:pPr>
    </w:p>
    <w:p>
      <w:pPr>
        <w:spacing w:after="0" w:line="157" w:lineRule="exact"/>
        <w:rPr>
          <w:sz w:val="20"/>
          <w:szCs w:val="20"/>
          <w:color w:val="auto"/>
        </w:rPr>
      </w:pPr>
    </w:p>
    <w:p>
      <w:pPr>
        <w:ind w:left="440"/>
        <w:spacing w:after="0"/>
        <w:tabs>
          <w:tab w:leader="none" w:pos="11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UAL</w:t>
      </w:r>
    </w:p>
    <w:p>
      <w:pPr>
        <w:ind w:left="440"/>
        <w:spacing w:after="0" w:line="212" w:lineRule="auto"/>
        <w:tabs>
          <w:tab w:leader="none" w:pos="11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36"/>
          <w:szCs w:val="36"/>
          <w:color w:val="auto"/>
          <w:vertAlign w:val="superscript"/>
        </w:rPr>
        <w:t>UAL</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United</w:t>
      </w:r>
    </w:p>
    <w:p>
      <w:pPr>
        <w:ind w:left="440"/>
        <w:spacing w:after="0" w:line="184" w:lineRule="auto"/>
        <w:tabs>
          <w:tab w:leader="none" w:pos="1160" w:val="left"/>
        </w:tabs>
        <w:rPr>
          <w:sz w:val="20"/>
          <w:szCs w:val="20"/>
          <w:color w:val="auto"/>
        </w:rPr>
      </w:pPr>
      <w:r>
        <w:rPr>
          <w:rFonts w:ascii="Times New Roman" w:cs="Times New Roman" w:eastAsia="Times New Roman" w:hAnsi="Times New Roman"/>
          <w:sz w:val="16"/>
          <w:szCs w:val="16"/>
          <w:color w:val="auto"/>
        </w:rPr>
        <w:t>^10.3</w:t>
      </w:r>
      <w:r>
        <w:rPr>
          <w:sz w:val="20"/>
          <w:szCs w:val="20"/>
          <w:color w:val="auto"/>
        </w:rPr>
        <w:tab/>
      </w:r>
      <w:r>
        <w:rPr>
          <w:rFonts w:ascii="Times New Roman" w:cs="Times New Roman" w:eastAsia="Times New Roman" w:hAnsi="Times New Roman"/>
          <w:sz w:val="30"/>
          <w:szCs w:val="30"/>
          <w:color w:val="auto"/>
          <w:vertAlign w:val="superscript"/>
        </w:rPr>
        <w:t>UAL</w:t>
      </w:r>
    </w:p>
    <w:p>
      <w:pPr>
        <w:spacing w:after="0" w:line="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United</w:t>
      </w:r>
    </w:p>
    <w:p>
      <w:pPr>
        <w:spacing w:after="0" w:line="151" w:lineRule="exact"/>
        <w:rPr>
          <w:sz w:val="20"/>
          <w:szCs w:val="20"/>
          <w:color w:val="auto"/>
        </w:rPr>
      </w:pPr>
    </w:p>
    <w:p>
      <w:pPr>
        <w:jc w:val="both"/>
        <w:ind w:left="1180" w:hanging="701"/>
        <w:spacing w:after="0" w:line="190" w:lineRule="auto"/>
        <w:tabs>
          <w:tab w:leader="none" w:pos="11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26"/>
          <w:szCs w:val="26"/>
          <w:color w:val="auto"/>
          <w:vertAlign w:val="superscript"/>
        </w:rPr>
        <w:t>UAL United</w:t>
      </w:r>
    </w:p>
    <w:p>
      <w:pPr>
        <w:spacing w:after="0" w:line="188"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UAL</w:t>
      </w:r>
    </w:p>
    <w:p>
      <w:pPr>
        <w:spacing w:after="0" w:line="266"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UAL</w:t>
      </w:r>
    </w:p>
    <w:p>
      <w:pPr>
        <w:spacing w:after="0" w:line="266"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United</w:t>
      </w:r>
    </w:p>
    <w:p>
      <w:pPr>
        <w:spacing w:after="0" w:line="266"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United</w:t>
      </w:r>
    </w:p>
    <w:p>
      <w:pPr>
        <w:spacing w:after="0" w:line="266"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UAL</w:t>
      </w:r>
    </w:p>
    <w:p>
      <w:pPr>
        <w:spacing w:after="0" w:line="266" w:lineRule="exact"/>
        <w:rPr>
          <w:sz w:val="20"/>
          <w:szCs w:val="20"/>
          <w:color w:val="auto"/>
        </w:rPr>
      </w:pPr>
    </w:p>
    <w:p>
      <w:pPr>
        <w:ind w:left="480"/>
        <w:spacing w:after="0"/>
        <w:tabs>
          <w:tab w:leader="none" w:pos="11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United</w:t>
      </w:r>
    </w:p>
    <w:p>
      <w:pPr>
        <w:spacing w:after="0" w:line="200" w:lineRule="exact"/>
        <w:rPr>
          <w:sz w:val="20"/>
          <w:szCs w:val="20"/>
          <w:color w:val="auto"/>
        </w:rPr>
      </w:pPr>
    </w:p>
    <w:p>
      <w:pPr>
        <w:spacing w:after="0" w:line="241" w:lineRule="exact"/>
        <w:rPr>
          <w:sz w:val="20"/>
          <w:szCs w:val="20"/>
          <w:color w:val="auto"/>
        </w:rPr>
      </w:pPr>
    </w:p>
    <w:p>
      <w:pPr>
        <w:ind w:left="1180" w:hanging="679"/>
        <w:spacing w:after="0" w:line="181" w:lineRule="auto"/>
        <w:tabs>
          <w:tab w:leader="none" w:pos="1180" w:val="left"/>
        </w:tabs>
        <w:numPr>
          <w:ilvl w:val="0"/>
          <w:numId w:val="1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UAL United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00"/>
        <w:spacing w:after="0" w:line="237" w:lineRule="auto"/>
        <w:rPr>
          <w:rFonts w:ascii="Times New Roman" w:cs="Times New Roman" w:eastAsia="Times New Roman" w:hAnsi="Times New Roman"/>
          <w:sz w:val="18"/>
          <w:szCs w:val="18"/>
          <w:u w:val="single" w:color="auto"/>
          <w:color w:val="0000FF"/>
        </w:rPr>
      </w:pPr>
      <w:hyperlink r:id="rId71">
        <w:r>
          <w:rPr>
            <w:rFonts w:ascii="Times New Roman" w:cs="Times New Roman" w:eastAsia="Times New Roman" w:hAnsi="Times New Roman"/>
            <w:sz w:val="18"/>
            <w:szCs w:val="18"/>
            <w:u w:val="single" w:color="auto"/>
            <w:color w:val="0000FF"/>
          </w:rPr>
          <w:t>Second Amendment to the United Airlines Holdings, Inc. Amended and Restated 2021 Incentive Compensation Plan. (filed</w:t>
        </w:r>
      </w:hyperlink>
      <w:r>
        <w:rPr>
          <w:rFonts w:ascii="Times New Roman" w:cs="Times New Roman" w:eastAsia="Times New Roman" w:hAnsi="Times New Roman"/>
          <w:sz w:val="18"/>
          <w:szCs w:val="18"/>
          <w:u w:val="single" w:color="auto"/>
          <w:color w:val="0000FF"/>
        </w:rPr>
        <w:t xml:space="preserve"> </w:t>
      </w:r>
      <w:hyperlink r:id="rId71">
        <w:r>
          <w:rPr>
            <w:rFonts w:ascii="Times New Roman" w:cs="Times New Roman" w:eastAsia="Times New Roman" w:hAnsi="Times New Roman"/>
            <w:sz w:val="18"/>
            <w:szCs w:val="18"/>
            <w:u w:val="single" w:color="auto"/>
            <w:color w:val="0000FF"/>
          </w:rPr>
          <w:t>as Exhibit 10.1 to UAL's Form 8-K filed on May 29, 2024 and incorporated herein by reference)</w:t>
        </w:r>
      </w:hyperlink>
    </w:p>
    <w:p>
      <w:pPr>
        <w:spacing w:after="0" w:line="6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Letter Agreement No. 2401454, dated as of April 14, 2024, between The Boeing Company and United Airlines, Inc. (related to Purchase Agreement Nos. 03776 and 04761)</w:t>
      </w:r>
    </w:p>
    <w:p>
      <w:pPr>
        <w:spacing w:after="0" w:line="6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Letter Agreement No. 2401633, dated as of April 14, 2024, between The Boeing Company and United Airlines, Inc. (related to Purchase Agreement Nos. 03776 and 04761)</w:t>
      </w:r>
    </w:p>
    <w:p>
      <w:pPr>
        <w:spacing w:after="0" w:line="64" w:lineRule="exact"/>
        <w:rPr>
          <w:sz w:val="20"/>
          <w:szCs w:val="20"/>
          <w:color w:val="auto"/>
        </w:rPr>
      </w:pPr>
    </w:p>
    <w:p>
      <w:pPr>
        <w:jc w:val="both"/>
        <w:ind w:right="480"/>
        <w:spacing w:after="0" w:line="226" w:lineRule="auto"/>
        <w:rPr>
          <w:sz w:val="20"/>
          <w:szCs w:val="20"/>
          <w:color w:val="auto"/>
        </w:rPr>
      </w:pPr>
      <w:r>
        <w:rPr>
          <w:rFonts w:ascii="Times New Roman" w:cs="Times New Roman" w:eastAsia="Times New Roman" w:hAnsi="Times New Roman"/>
          <w:sz w:val="18"/>
          <w:szCs w:val="18"/>
          <w:u w:val="single" w:color="auto"/>
          <w:color w:val="0000FF"/>
        </w:rPr>
        <w:t>Increase Joinder to the Amended and Restated Revolving Credit and Guaranty Agreement, dated as of April 16, 2024, among United Airlines, Inc., United Airlines Holdings, Inc., the lenders party thereto, JPMorgan Chase Bank, N.A., as administrative agent, and Wilmington Trust, National Association, as collateral trustee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of United Airlines Holdings, Inc. Pursuant to 15 U.S.C. 78m(a) or 78o(d)</w:t>
      </w:r>
    </w:p>
    <w:p>
      <w:pPr>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of United Airlines Holdings, Inc. Pursuant to 15 U.S.C. 78m(a) or 78o(d)</w:t>
      </w:r>
    </w:p>
    <w:p>
      <w:pPr>
        <w:spacing w:after="0"/>
        <w:rPr>
          <w:sz w:val="20"/>
          <w:szCs w:val="20"/>
          <w:color w:val="auto"/>
        </w:rPr>
      </w:pPr>
      <w:r>
        <w:rPr>
          <w:rFonts w:ascii="Times New Roman" w:cs="Times New Roman" w:eastAsia="Times New Roman" w:hAnsi="Times New Roman"/>
          <w:sz w:val="18"/>
          <w:szCs w:val="18"/>
          <w:u w:val="single" w:color="auto"/>
          <w:color w:val="0000FF"/>
        </w:rPr>
        <w:t>(Section 302 of the Sarbanes-Oxley Act of 2002)</w:t>
      </w:r>
    </w:p>
    <w:p>
      <w:pPr>
        <w:spacing w:after="0" w:line="70"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Executive Officer of United Airlines, Inc. Pursuant to 15 U.S.C. 78m(a) or 78o(d) (Section 302 of the Sarbanes-Oxley Act of 2002)</w:t>
      </w:r>
    </w:p>
    <w:p>
      <w:pPr>
        <w:spacing w:after="0" w:line="6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Principal Financial Officer of United Airlines, Inc. Pursuant to 15 U.S.C. 78m(a) or 78o(d) (Section 302 of the Sarbanes-Oxley Act of 2002)</w:t>
      </w:r>
    </w:p>
    <w:p>
      <w:pPr>
        <w:spacing w:after="0" w:line="64" w:lineRule="exact"/>
        <w:rPr>
          <w:sz w:val="20"/>
          <w:szCs w:val="20"/>
          <w:color w:val="auto"/>
        </w:rPr>
      </w:pPr>
    </w:p>
    <w:p>
      <w:pPr>
        <w:ind w:right="34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Chief Executive Officer and Chief Financial Officer of United Airlines Holdings, Inc. Pursuant to 18 U.S.C. 1350 (Section 906 of the Sarbanes-Oxley Act of 2002)</w:t>
      </w:r>
    </w:p>
    <w:p>
      <w:pPr>
        <w:spacing w:after="0" w:line="6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u w:val="single" w:color="auto"/>
          <w:color w:val="0000FF"/>
        </w:rPr>
        <w:t>Certification of the Chief Executive Officer and Chief Financial Officer of United Airlines, Inc. Pursuant to 18 U.S.C. 1350 (Section 906 of the Sarbanes-Oxley Act of 2002)</w:t>
      </w:r>
    </w:p>
    <w:p>
      <w:pPr>
        <w:spacing w:after="0" w:line="64"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7"/>
          <w:szCs w:val="17"/>
          <w:color w:val="auto"/>
        </w:rPr>
        <w:t>The following financial statements from the combined Quarterly Report of UAL and United on Form 10-Q for the quarter ended June 30, 2024, formatted in Inline XBRL: (i) Statements of Consolidated Operations, (ii) Statements of Consolidated Comprehensive Income, (iii) Consolidated Balance Sheets, (iv) Condensed Statements of Consolidated Cash Flows, (v)</w:t>
      </w:r>
    </w:p>
    <w:p>
      <w:pPr>
        <w:spacing w:after="0" w:line="226" w:lineRule="auto"/>
        <w:rPr>
          <w:sz w:val="20"/>
          <w:szCs w:val="20"/>
          <w:color w:val="auto"/>
        </w:rPr>
      </w:pPr>
      <w:r>
        <w:rPr>
          <w:rFonts w:ascii="Times New Roman" w:cs="Times New Roman" w:eastAsia="Times New Roman" w:hAnsi="Times New Roman"/>
          <w:sz w:val="18"/>
          <w:szCs w:val="18"/>
          <w:color w:val="auto"/>
        </w:rPr>
        <w:t>Statements of Consolidated Stockholders' Equity and (vi) Combined Notes to Condensed Consolidated Financial Statements, tagged as blocks of text and including detailed tags.</w:t>
      </w:r>
    </w:p>
    <w:p>
      <w:pPr>
        <w:spacing w:after="0" w:line="36" w:lineRule="exact"/>
        <w:rPr>
          <w:sz w:val="20"/>
          <w:szCs w:val="20"/>
          <w:color w:val="auto"/>
        </w:rPr>
      </w:pPr>
    </w:p>
    <w:p>
      <w:pPr>
        <w:sectPr>
          <w:pgSz w:w="11900" w:h="16838" w:orient="portrait"/>
          <w:cols w:equalWidth="0" w:num="2">
            <w:col w:w="1680" w:space="440"/>
            <w:col w:w="9000"/>
          </w:cols>
          <w:pgMar w:left="320" w:top="162" w:right="459" w:bottom="1440" w:gutter="0" w:footer="0" w:header="0"/>
          <w:type w:val="continuous"/>
        </w:sectPr>
      </w:pPr>
    </w:p>
    <w:tbl>
      <w:tblPr>
        <w:tblLayout w:type="fixed"/>
        <w:tblInd w:w="500" w:type="dxa"/>
        <w:tblCellMar>
          <w:top w:w="0" w:type="dxa"/>
          <w:left w:w="0" w:type="dxa"/>
          <w:bottom w:w="0" w:type="dxa"/>
          <w:right w:w="0" w:type="dxa"/>
        </w:tblCellMar>
      </w:tblPr>
      <w:tr>
        <w:trPr>
          <w:trHeight w:val="207"/>
        </w:trPr>
        <w:tc>
          <w:tcPr>
            <w:tcW w:w="4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96"/>
              </w:rPr>
              <w:t>104</w:t>
            </w:r>
          </w:p>
        </w:tc>
        <w:tc>
          <w:tcPr>
            <w:tcW w:w="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UAL</w:t>
            </w:r>
          </w:p>
        </w:tc>
        <w:tc>
          <w:tcPr>
            <w:tcW w:w="8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49"/>
        </w:trPr>
        <w:tc>
          <w:tcPr>
            <w:tcW w:w="480" w:type="dxa"/>
            <w:vAlign w:val="bottom"/>
            <w:vMerge w:val="continue"/>
          </w:tcPr>
          <w:p>
            <w:pPr>
              <w:spacing w:after="0"/>
              <w:rPr>
                <w:sz w:val="12"/>
                <w:szCs w:val="12"/>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United</w:t>
            </w:r>
          </w:p>
        </w:tc>
        <w:tc>
          <w:tcPr>
            <w:tcW w:w="8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8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20" w:right="100" w:firstLine="7"/>
        <w:spacing w:after="0" w:line="237"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Pursuant to Item 601(b)(10), United is permitted to omit certain compensation-related exhibits from this report and therefore only UAL is identified as the registrant for purposes of those items.</w:t>
      </w:r>
    </w:p>
    <w:p>
      <w:pPr>
        <w:spacing w:after="0" w:line="118" w:lineRule="exact"/>
        <w:rPr>
          <w:sz w:val="20"/>
          <w:szCs w:val="20"/>
          <w:color w:val="auto"/>
        </w:rPr>
      </w:pPr>
    </w:p>
    <w:p>
      <w:pPr>
        <w:ind w:left="260" w:hanging="133"/>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referenced exhibit have been omitted pursuant to Item 601(b) of Regulation S-K.</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62" w:right="459" w:bottom="1440" w:gutter="0" w:footer="0" w:header="0"/>
          <w:type w:val="continuous"/>
        </w:sectPr>
      </w:pPr>
    </w:p>
    <w:bookmarkStart w:id="37" w:name="page38"/>
    <w:bookmarkEnd w:id="37"/>
    <w:p>
      <w:pPr>
        <w:ind w:left="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00" w:lineRule="exact"/>
        <w:rPr>
          <w:sz w:val="20"/>
          <w:szCs w:val="20"/>
          <w:color w:val="auto"/>
        </w:rPr>
      </w:pPr>
    </w:p>
    <w:p>
      <w:pPr>
        <w:spacing w:after="0" w:line="3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United Airlines Holdings,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100"/>
        <w:spacing w:after="0"/>
        <w:tabs>
          <w:tab w:leader="none" w:pos="660" w:val="left"/>
          <w:tab w:leader="none" w:pos="4200" w:val="left"/>
          <w:tab w:leader="none" w:pos="4680" w:val="left"/>
        </w:tabs>
        <w:rPr>
          <w:sz w:val="20"/>
          <w:szCs w:val="20"/>
          <w:color w:val="auto"/>
        </w:rPr>
      </w:pPr>
      <w:r>
        <w:rPr>
          <w:rFonts w:ascii="Times New Roman" w:cs="Times New Roman" w:eastAsia="Times New Roman" w:hAnsi="Times New Roman"/>
          <w:sz w:val="18"/>
          <w:szCs w:val="18"/>
          <w:color w:val="auto"/>
        </w:rPr>
        <w:t>Date:</w:t>
        <w:tab/>
        <w:t>July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Brigitte Bokemeier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230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4123055"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Brigitte Bokemeier</w:t>
      </w:r>
    </w:p>
    <w:p>
      <w:pPr>
        <w:ind w:left="4700"/>
        <w:spacing w:after="0" w:line="219" w:lineRule="auto"/>
        <w:rPr>
          <w:sz w:val="20"/>
          <w:szCs w:val="20"/>
          <w:color w:val="auto"/>
        </w:rPr>
      </w:pPr>
      <w:r>
        <w:rPr>
          <w:rFonts w:ascii="Times New Roman" w:cs="Times New Roman" w:eastAsia="Times New Roman" w:hAnsi="Times New Roman"/>
          <w:sz w:val="18"/>
          <w:szCs w:val="18"/>
          <w:color w:val="auto"/>
        </w:rPr>
        <w:t>Vice President and Controller</w:t>
      </w:r>
    </w:p>
    <w:p>
      <w:pPr>
        <w:ind w:left="470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United Airlines, Inc.</w:t>
      </w:r>
    </w:p>
    <w:p>
      <w:pPr>
        <w:spacing w:after="0" w:line="2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100"/>
        <w:spacing w:after="0"/>
        <w:tabs>
          <w:tab w:leader="none" w:pos="660" w:val="left"/>
          <w:tab w:leader="none" w:pos="4200" w:val="left"/>
          <w:tab w:leader="none" w:pos="4680" w:val="left"/>
        </w:tabs>
        <w:rPr>
          <w:sz w:val="20"/>
          <w:szCs w:val="20"/>
          <w:color w:val="auto"/>
        </w:rPr>
      </w:pPr>
      <w:r>
        <w:rPr>
          <w:rFonts w:ascii="Times New Roman" w:cs="Times New Roman" w:eastAsia="Times New Roman" w:hAnsi="Times New Roman"/>
          <w:sz w:val="18"/>
          <w:szCs w:val="18"/>
          <w:color w:val="auto"/>
        </w:rPr>
        <w:t>Date:</w:t>
        <w:tab/>
        <w:t>July 18,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Brigitte Bokemeier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41230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Brigitte Bokemeier</w:t>
      </w:r>
    </w:p>
    <w:p>
      <w:pPr>
        <w:ind w:left="4700"/>
        <w:spacing w:after="0" w:line="219" w:lineRule="auto"/>
        <w:rPr>
          <w:sz w:val="20"/>
          <w:szCs w:val="20"/>
          <w:color w:val="auto"/>
        </w:rPr>
      </w:pPr>
      <w:r>
        <w:rPr>
          <w:rFonts w:ascii="Times New Roman" w:cs="Times New Roman" w:eastAsia="Times New Roman" w:hAnsi="Times New Roman"/>
          <w:sz w:val="18"/>
          <w:szCs w:val="18"/>
          <w:color w:val="auto"/>
        </w:rPr>
        <w:t>Vice President and Controller</w:t>
      </w:r>
    </w:p>
    <w:p>
      <w:pPr>
        <w:ind w:left="4700"/>
        <w:spacing w:after="0"/>
        <w:rPr>
          <w:sz w:val="20"/>
          <w:szCs w:val="20"/>
          <w:color w:val="auto"/>
        </w:rPr>
      </w:pPr>
      <w:r>
        <w:rPr>
          <w:rFonts w:ascii="Times New Roman" w:cs="Times New Roman" w:eastAsia="Times New Roman" w:hAnsi="Times New Roman"/>
          <w:sz w:val="18"/>
          <w:szCs w:val="18"/>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400"/>
          </w:cols>
          <w:pgMar w:left="320" w:top="162" w:right="1179" w:bottom="1440" w:gutter="0" w:footer="0" w:header="0"/>
        </w:sectPr>
      </w:pPr>
    </w:p>
    <w:bookmarkStart w:id="38" w:name="page39"/>
    <w:bookmarkEnd w:id="38"/>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1560195" cy="3600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15601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The Boeing Company</w:t>
      </w:r>
    </w:p>
    <w:p>
      <w:pPr>
        <w:ind w:left="6480"/>
        <w:spacing w:after="0" w:line="219" w:lineRule="auto"/>
        <w:rPr>
          <w:sz w:val="20"/>
          <w:szCs w:val="20"/>
          <w:color w:val="auto"/>
        </w:rPr>
      </w:pPr>
      <w:r>
        <w:rPr>
          <w:rFonts w:ascii="Arial" w:cs="Arial" w:eastAsia="Arial" w:hAnsi="Arial"/>
          <w:sz w:val="18"/>
          <w:szCs w:val="18"/>
          <w:color w:val="auto"/>
        </w:rPr>
        <w:t>P.O. Box 3707</w:t>
      </w:r>
    </w:p>
    <w:p>
      <w:pPr>
        <w:ind w:left="6480"/>
        <w:spacing w:after="0" w:line="200" w:lineRule="auto"/>
        <w:rPr>
          <w:sz w:val="20"/>
          <w:szCs w:val="20"/>
          <w:color w:val="auto"/>
        </w:rPr>
      </w:pPr>
      <w:r>
        <w:rPr>
          <w:rFonts w:ascii="Arial" w:cs="Arial" w:eastAsia="Arial" w:hAnsi="Arial"/>
          <w:sz w:val="18"/>
          <w:szCs w:val="18"/>
          <w:color w:val="auto"/>
        </w:rPr>
        <w:t>Seattle, WA 98124 2207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UAL-MISC-2401454</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0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Accommodations Agreement for 737-***</w:t>
      </w:r>
    </w:p>
    <w:p>
      <w:pPr>
        <w:spacing w:after="0" w:line="3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between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and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xml:space="preserve">). Pursuant to the terms and conditions of Purchase Agreement No. 03776 and Purchase Agreement No. 04761 (each a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xml:space="preserve"> and together, the </w:t>
      </w:r>
      <w:r>
        <w:rPr>
          <w:rFonts w:ascii="Times New Roman" w:cs="Times New Roman" w:eastAsia="Times New Roman" w:hAnsi="Times New Roman"/>
          <w:sz w:val="22"/>
          <w:szCs w:val="22"/>
          <w:b w:val="1"/>
          <w:bCs w:val="1"/>
          <w:color w:val="auto"/>
        </w:rPr>
        <w:t>Purchase Agreements</w:t>
      </w:r>
      <w:r>
        <w:rPr>
          <w:rFonts w:ascii="Times New Roman" w:cs="Times New Roman" w:eastAsia="Times New Roman" w:hAnsi="Times New Roman"/>
          <w:sz w:val="22"/>
          <w:szCs w:val="22"/>
          <w:color w:val="auto"/>
        </w:rPr>
        <w:t xml:space="preserve">), Customer has taken delivery of *** Boeing model 737-*** aircraft (the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 The Federal Aviation Administration (</w:t>
      </w:r>
      <w:r>
        <w:rPr>
          <w:rFonts w:ascii="Times New Roman" w:cs="Times New Roman" w:eastAsia="Times New Roman" w:hAnsi="Times New Roman"/>
          <w:sz w:val="22"/>
          <w:szCs w:val="22"/>
          <w:b w:val="1"/>
          <w:bCs w:val="1"/>
          <w:color w:val="auto"/>
        </w:rPr>
        <w:t>FAA</w:t>
      </w:r>
      <w:r>
        <w:rPr>
          <w:rFonts w:ascii="Times New Roman" w:cs="Times New Roman" w:eastAsia="Times New Roman" w:hAnsi="Times New Roman"/>
          <w:sz w:val="22"/>
          <w:szCs w:val="22"/>
          <w:color w:val="auto"/>
        </w:rPr>
        <w:t>) *** certain Boeing model 737-*** aircraft commencing on January 6, 2024, ***. In recognition of Boeing and Customer’s long-standing relationship, and Customer’s commitment to Boeing products, Boeing *** described herein to address the 737-***.</w:t>
      </w:r>
    </w:p>
    <w:p>
      <w:pPr>
        <w:spacing w:after="0" w:line="7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Customer ***</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22"/>
          <w:szCs w:val="22"/>
          <w:color w:val="auto"/>
        </w:rPr>
        <w:t>1.1. Boeing offers the *** described below in Section 1.2 to Customer to *** relating to the 737-***. This *** is offered in *** described below in Section 2, and compliance with the terms set forth herein.</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1.2. Boeing will provide a ***, which will be (a) provided to Customer in the form of a Boeing *** which ***; and (b) issued by Boeing to Customer in *** as set forth in the following table.</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283"/>
        </w:trPr>
        <w:tc>
          <w:tcPr>
            <w:tcW w:w="3860" w:type="dxa"/>
            <w:vAlign w:val="bottom"/>
            <w:tcBorders>
              <w:top w:val="single" w:sz="8" w:color="auto"/>
              <w:left w:val="single" w:sz="8" w:color="auto"/>
              <w:bottom w:val="single" w:sz="8" w:color="auto"/>
              <w:right w:val="single" w:sz="8" w:color="auto"/>
            </w:tcBorders>
          </w:tcPr>
          <w:p>
            <w:pPr>
              <w:jc w:val="right"/>
              <w:ind w:right="1658"/>
              <w:spacing w:after="0"/>
              <w:rPr>
                <w:sz w:val="20"/>
                <w:szCs w:val="20"/>
                <w:color w:val="auto"/>
              </w:rPr>
            </w:pPr>
            <w:r>
              <w:rPr>
                <w:rFonts w:ascii="Times New Roman" w:cs="Times New Roman" w:eastAsia="Times New Roman" w:hAnsi="Times New Roman"/>
                <w:sz w:val="22"/>
                <w:szCs w:val="22"/>
                <w:b w:val="1"/>
                <w:bCs w:val="1"/>
                <w:color w:val="auto"/>
              </w:rPr>
              <w:t>***</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p>
        </w:tc>
      </w:tr>
      <w:tr>
        <w:trPr>
          <w:trHeight w:val="250"/>
        </w:trPr>
        <w:tc>
          <w:tcPr>
            <w:tcW w:w="3860" w:type="dxa"/>
            <w:vAlign w:val="bottom"/>
            <w:tcBorders>
              <w:left w:val="single" w:sz="8" w:color="auto"/>
              <w:bottom w:val="single" w:sz="8" w:color="auto"/>
              <w:right w:val="single" w:sz="8" w:color="auto"/>
            </w:tcBorders>
          </w:tcPr>
          <w:p>
            <w:pPr>
              <w:jc w:val="right"/>
              <w:ind w:right="1678"/>
              <w:spacing w:after="0"/>
              <w:rPr>
                <w:sz w:val="20"/>
                <w:szCs w:val="20"/>
                <w:color w:val="auto"/>
              </w:rPr>
            </w:pPr>
            <w:r>
              <w:rPr>
                <w:rFonts w:ascii="Times New Roman" w:cs="Times New Roman" w:eastAsia="Times New Roman" w:hAnsi="Times New Roman"/>
                <w:sz w:val="20"/>
                <w:szCs w:val="20"/>
                <w:color w:val="auto"/>
              </w:rPr>
              <w:t>***</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w:t>
            </w:r>
          </w:p>
        </w:tc>
      </w:tr>
      <w:tr>
        <w:trPr>
          <w:trHeight w:val="250"/>
        </w:trPr>
        <w:tc>
          <w:tcPr>
            <w:tcW w:w="3860" w:type="dxa"/>
            <w:vAlign w:val="bottom"/>
            <w:tcBorders>
              <w:left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4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2020" w:val="left"/>
        </w:tabs>
        <w:rPr>
          <w:sz w:val="20"/>
          <w:szCs w:val="20"/>
          <w:color w:val="auto"/>
        </w:rPr>
      </w:pPr>
      <w:r>
        <w:rPr>
          <w:rFonts w:ascii="Arial" w:cs="Arial" w:eastAsia="Arial" w:hAnsi="Arial"/>
          <w:sz w:val="22"/>
          <w:szCs w:val="22"/>
          <w:color w:val="auto"/>
        </w:rPr>
        <w:t>6-1162-JKS19-025</w:t>
      </w:r>
      <w:r>
        <w:rPr>
          <w:sz w:val="20"/>
          <w:szCs w:val="20"/>
          <w:color w:val="auto"/>
        </w:rPr>
        <w:tab/>
      </w:r>
      <w:r>
        <w:rPr>
          <w:rFonts w:ascii="Arial" w:cs="Arial" w:eastAsia="Arial" w:hAnsi="Arial"/>
          <w:sz w:val="21"/>
          <w:szCs w:val="21"/>
          <w:color w:val="auto"/>
        </w:rPr>
        <w:t>Page 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BOEING PROPRIETARY</w:t>
      </w:r>
    </w:p>
    <w:p>
      <w:pPr>
        <w:sectPr>
          <w:pgSz w:w="11900" w:h="16838" w:orient="portrait"/>
          <w:cols w:equalWidth="0" w:num="1">
            <w:col w:w="11240"/>
          </w:cols>
          <w:pgMar w:left="320" w:top="122" w:right="3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tabs>
          <w:tab w:leader="none" w:pos="3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color w:val="auto"/>
        </w:rPr>
        <w:t>Each *** shall (i) be *** listed above, (ii) *** pursuant to Section 1.2 above and (iii) in no event ever ***.</w:t>
      </w:r>
    </w:p>
    <w:p>
      <w:pPr>
        <w:spacing w:after="0" w:line="166"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Sufficient Consideration; ***</w:t>
      </w:r>
      <w:r>
        <w:rPr>
          <w:rFonts w:ascii="Times New Roman" w:cs="Times New Roman" w:eastAsia="Times New Roman" w:hAnsi="Times New Roman"/>
          <w:sz w:val="21"/>
          <w:szCs w:val="21"/>
          <w:color w:val="auto"/>
        </w:rPr>
        <w:t>. Customer agrees that the considerations contained in this Agreement are Customer’s ***.</w:t>
      </w:r>
    </w:p>
    <w:p>
      <w:pPr>
        <w:spacing w:after="0" w:line="123" w:lineRule="exact"/>
        <w:rPr>
          <w:rFonts w:ascii="Times New Roman" w:cs="Times New Roman" w:eastAsia="Times New Roman" w:hAnsi="Times New Roman"/>
          <w:sz w:val="21"/>
          <w:szCs w:val="21"/>
          <w:color w:val="auto"/>
        </w:rPr>
      </w:pPr>
    </w:p>
    <w:p>
      <w:pPr>
        <w:ind w:firstLine="8"/>
        <w:spacing w:after="0" w:line="284"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The parties agree it is not the intent to provide benefits hereunder that *** to be provided in any other agreement between Boeing and Customer</w:t>
      </w:r>
      <w:r>
        <w:rPr>
          <w:rFonts w:ascii="Arial" w:cs="Arial" w:eastAsia="Arial" w:hAnsi="Arial"/>
          <w:sz w:val="22"/>
          <w:szCs w:val="22"/>
          <w:color w:val="auto"/>
        </w:rPr>
        <w:t>.</w:t>
      </w:r>
    </w:p>
    <w:p>
      <w:pPr>
        <w:spacing w:after="0" w:line="34" w:lineRule="exact"/>
        <w:rPr>
          <w:rFonts w:ascii="Times New Roman" w:cs="Times New Roman" w:eastAsia="Times New Roman" w:hAnsi="Times New Roman"/>
          <w:sz w:val="22"/>
          <w:szCs w:val="22"/>
          <w:color w:val="auto"/>
        </w:rPr>
      </w:pPr>
    </w:p>
    <w:p>
      <w:pPr>
        <w:jc w:val="both"/>
        <w:ind w:right="20" w:firstLine="8"/>
        <w:spacing w:after="0" w:line="257"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contains the entire understanding between Boeing and Customer with respect to the 737-***. This Agreement supersedes all prior agreements, proposals, communications and understandings between the Boeing and Customer for the subject matter hereof.</w:t>
      </w:r>
    </w:p>
    <w:p>
      <w:pPr>
        <w:spacing w:after="0" w:line="64" w:lineRule="exact"/>
        <w:rPr>
          <w:rFonts w:ascii="Times New Roman" w:cs="Times New Roman" w:eastAsia="Times New Roman" w:hAnsi="Times New Roman"/>
          <w:sz w:val="22"/>
          <w:szCs w:val="22"/>
          <w:color w:val="auto"/>
        </w:rPr>
      </w:pPr>
    </w:p>
    <w:p>
      <w:pPr>
        <w:ind w:firstLine="8"/>
        <w:spacing w:after="0" w:line="284"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Integrated Transaction</w:t>
      </w:r>
      <w:r>
        <w:rPr>
          <w:rFonts w:ascii="Times New Roman" w:cs="Times New Roman" w:eastAsia="Times New Roman" w:hAnsi="Times New Roman"/>
          <w:sz w:val="22"/>
          <w:szCs w:val="22"/>
          <w:color w:val="auto"/>
        </w:rPr>
        <w:t>. It is the intent of Boeing and Customer that this Agreement and the Purchase Agreements constitute a single, integrated transaction and shall not be subject to severance or division.</w:t>
      </w:r>
    </w:p>
    <w:p>
      <w:pPr>
        <w:spacing w:after="0" w:line="35"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INTERPRETED UNDER AND GOVERNED BY THE LAWS OF THE STATE OF WASHINGTON, U.S.A., EXCEPT THAT THE CONFLICT OF LAWS PROVISION UNDER WASHINGTON LAW WILL NOT BE APPLIED FOR THE PURPOSE OF MAKING OTHER LAW APPLICABLE.</w:t>
      </w:r>
    </w:p>
    <w:p>
      <w:pPr>
        <w:spacing w:after="0" w:line="64" w:lineRule="exact"/>
        <w:rPr>
          <w:rFonts w:ascii="Times New Roman" w:cs="Times New Roman" w:eastAsia="Times New Roman" w:hAnsi="Times New Roman"/>
          <w:sz w:val="22"/>
          <w:szCs w:val="22"/>
          <w:color w:val="auto"/>
        </w:rPr>
      </w:pPr>
    </w:p>
    <w:p>
      <w:pPr>
        <w:jc w:val="both"/>
        <w:ind w:firstLine="8"/>
        <w:spacing w:after="0" w:line="281" w:lineRule="auto"/>
        <w:tabs>
          <w:tab w:leader="none" w:pos="64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Arial" w:cs="Arial" w:eastAsia="Arial" w:hAnsi="Arial"/>
          <w:sz w:val="21"/>
          <w:szCs w:val="21"/>
          <w:color w:val="auto"/>
        </w:rPr>
        <w:t>.</w:t>
      </w:r>
      <w:r>
        <w:rPr>
          <w:rFonts w:ascii="Times New Roman" w:cs="Times New Roman" w:eastAsia="Times New Roman" w:hAnsi="Times New Roman"/>
          <w:sz w:val="21"/>
          <w:szCs w:val="21"/>
          <w:color w:val="auto"/>
        </w:rPr>
        <w:t xml:space="preserve"> Customer and Boeing understand that certain commercial and financial information contained in this Agreement are considered by Boeing and Customer as confidential and are subject to the confidentiality terms and conditions set forth in Letter Agreements No. UAL-PA-04761-LA-1801470 and UCH-PA-03776-LA-1208234, including successors thereof.</w:t>
      </w:r>
    </w:p>
    <w:p>
      <w:pPr>
        <w:spacing w:after="0" w:line="41" w:lineRule="exact"/>
        <w:rPr>
          <w:rFonts w:ascii="Times New Roman" w:cs="Times New Roman" w:eastAsia="Times New Roman" w:hAnsi="Times New Roman"/>
          <w:sz w:val="21"/>
          <w:szCs w:val="21"/>
          <w:color w:val="auto"/>
        </w:rPr>
      </w:pPr>
    </w:p>
    <w:p>
      <w:pPr>
        <w:ind w:firstLine="8"/>
        <w:spacing w:after="0" w:line="271"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rights and obligations contained in this Agreement cannot be assigned, in whole or in part, without the prior written consent of Boeing.</w:t>
      </w:r>
    </w:p>
    <w:p>
      <w:pPr>
        <w:spacing w:after="0" w:line="49" w:lineRule="exact"/>
        <w:rPr>
          <w:rFonts w:ascii="Times New Roman" w:cs="Times New Roman" w:eastAsia="Times New Roman" w:hAnsi="Times New Roman"/>
          <w:sz w:val="22"/>
          <w:szCs w:val="22"/>
          <w:color w:val="auto"/>
        </w:rPr>
      </w:pPr>
    </w:p>
    <w:p>
      <w:pPr>
        <w:ind w:firstLine="8"/>
        <w:spacing w:after="0" w:line="224" w:lineRule="auto"/>
        <w:tabs>
          <w:tab w:leader="none" w:pos="64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w:t>
      </w:r>
      <w:r>
        <w:rPr>
          <w:rFonts w:ascii="Times New Roman" w:cs="Times New Roman" w:eastAsia="Times New Roman" w:hAnsi="Times New Roman"/>
          <w:sz w:val="22"/>
          <w:szCs w:val="22"/>
          <w:color w:val="auto"/>
        </w:rPr>
        <w:t>. Please indicate Customer’s acceptance of this Agreement on or before April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2024, after which date this offer will expire.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274"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Irma L. Krueger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71120</wp:posOffset>
            </wp:positionV>
            <wp:extent cx="33604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48" w:lineRule="exact"/>
        <w:rPr>
          <w:sz w:val="20"/>
          <w:szCs w:val="20"/>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19685</wp:posOffset>
            </wp:positionV>
            <wp:extent cx="33604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UAL-MISC-2401454</w:t>
      </w:r>
      <w:r>
        <w:rPr>
          <w:sz w:val="20"/>
          <w:szCs w:val="20"/>
          <w:color w:val="auto"/>
        </w:rPr>
        <w:tab/>
      </w:r>
      <w:r>
        <w:rPr>
          <w:rFonts w:ascii="Times New Roman" w:cs="Times New Roman" w:eastAsia="Times New Roman" w:hAnsi="Times New Roman"/>
          <w:sz w:val="21"/>
          <w:szCs w:val="21"/>
          <w:color w:val="auto"/>
        </w:rPr>
        <w:t>Page 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274"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April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46888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688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278"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7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/s/ Michael Leskinen</w:t>
            </w:r>
          </w:p>
        </w:tc>
      </w:tr>
      <w:tr>
        <w:trPr>
          <w:trHeight w:val="534"/>
        </w:trPr>
        <w:tc>
          <w:tcPr>
            <w:tcW w:w="88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7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0C0C0C"/>
              </w:rPr>
              <w:t>EVP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22"/>
          <w:szCs w:val="22"/>
          <w:color w:val="auto"/>
        </w:rPr>
        <w:t>UAL-MISC-2401454</w:t>
      </w:r>
      <w:r>
        <w:rPr>
          <w:sz w:val="20"/>
          <w:szCs w:val="20"/>
          <w:color w:val="auto"/>
        </w:rPr>
        <w:tab/>
      </w:r>
      <w:r>
        <w:rPr>
          <w:rFonts w:ascii="Times New Roman" w:cs="Times New Roman" w:eastAsia="Times New Roman" w:hAnsi="Times New Roman"/>
          <w:sz w:val="21"/>
          <w:szCs w:val="21"/>
          <w:color w:val="auto"/>
        </w:rPr>
        <w:t>Page 3</w:t>
      </w:r>
    </w:p>
    <w:p>
      <w:pPr>
        <w:spacing w:after="0" w:line="28"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41" w:name="page42"/>
    <w:bookmarkEnd w:id="41"/>
    <w:p>
      <w:pPr>
        <w:ind w:left="9900"/>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5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b w:val="1"/>
          <w:bCs w:val="1"/>
          <w:color w:val="auto"/>
        </w:rPr>
        <w:t>CERTAIN IDENTIFIED INFORMATION HAS BEEN EXCLUDED FROM THE EXHIBIT BECAUSE IT IS BOTH NOT MATERIAL AND IS THE TYPE THAT THE REGISTRANT TREATS AS PRIVATE OR CONFIDENTIAL. OMITTED INFORMATION HAS BEEN REPLACED WITH ASTERISKS.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895350</wp:posOffset>
            </wp:positionV>
            <wp:extent cx="58635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147447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80"/>
        <w:spacing w:after="0"/>
        <w:rPr>
          <w:sz w:val="20"/>
          <w:szCs w:val="20"/>
          <w:color w:val="auto"/>
        </w:rPr>
      </w:pPr>
      <w:r>
        <w:rPr>
          <w:rFonts w:ascii="Arial" w:cs="Arial" w:eastAsia="Arial" w:hAnsi="Arial"/>
          <w:sz w:val="13"/>
          <w:szCs w:val="13"/>
          <w:color w:val="808080"/>
        </w:rPr>
        <w:t>The Boeing Company</w:t>
      </w:r>
    </w:p>
    <w:p>
      <w:pPr>
        <w:ind w:left="6480"/>
        <w:spacing w:after="0" w:line="216" w:lineRule="auto"/>
        <w:rPr>
          <w:sz w:val="20"/>
          <w:szCs w:val="20"/>
          <w:color w:val="auto"/>
        </w:rPr>
      </w:pPr>
      <w:r>
        <w:rPr>
          <w:rFonts w:ascii="Arial" w:cs="Arial" w:eastAsia="Arial" w:hAnsi="Arial"/>
          <w:sz w:val="13"/>
          <w:szCs w:val="13"/>
          <w:color w:val="808080"/>
        </w:rPr>
        <w:t>P.O. Box 3707</w:t>
      </w:r>
    </w:p>
    <w:p>
      <w:pPr>
        <w:ind w:left="6480"/>
        <w:spacing w:after="0"/>
        <w:rPr>
          <w:sz w:val="20"/>
          <w:szCs w:val="20"/>
          <w:color w:val="auto"/>
        </w:rPr>
      </w:pPr>
      <w:r>
        <w:rPr>
          <w:rFonts w:ascii="Arial" w:cs="Arial" w:eastAsia="Arial" w:hAnsi="Arial"/>
          <w:sz w:val="13"/>
          <w:szCs w:val="13"/>
          <w:color w:val="808080"/>
        </w:rPr>
        <w:t>Seattle, WA 98124-2207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UAL-MISC-2401633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Airlines,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Accommodations Agreement for 737-***</w:t>
      </w:r>
    </w:p>
    <w:p>
      <w:pPr>
        <w:spacing w:after="0" w:line="243" w:lineRule="exact"/>
        <w:rPr>
          <w:sz w:val="20"/>
          <w:szCs w:val="20"/>
          <w:color w:val="auto"/>
        </w:rPr>
      </w:pPr>
    </w:p>
    <w:p>
      <w:pPr>
        <w:jc w:val="both"/>
        <w:ind w:right="100" w:firstLine="765"/>
        <w:spacing w:after="0" w:line="266" w:lineRule="auto"/>
        <w:rPr>
          <w:sz w:val="20"/>
          <w:szCs w:val="20"/>
          <w:color w:val="auto"/>
        </w:rPr>
      </w:pPr>
      <w:r>
        <w:rPr>
          <w:rFonts w:ascii="Times New Roman" w:cs="Times New Roman" w:eastAsia="Times New Roman" w:hAnsi="Times New Roman"/>
          <w:sz w:val="21"/>
          <w:szCs w:val="21"/>
          <w:color w:val="auto"/>
        </w:rPr>
        <w:t>This agreement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between United Airlines, Inc. (</w:t>
      </w:r>
      <w:r>
        <w:rPr>
          <w:rFonts w:ascii="Times New Roman" w:cs="Times New Roman" w:eastAsia="Times New Roman" w:hAnsi="Times New Roman"/>
          <w:sz w:val="21"/>
          <w:szCs w:val="21"/>
          <w:b w:val="1"/>
          <w:bCs w:val="1"/>
          <w:color w:val="auto"/>
        </w:rPr>
        <w:t>Customer</w:t>
      </w:r>
      <w:r>
        <w:rPr>
          <w:rFonts w:ascii="Times New Roman" w:cs="Times New Roman" w:eastAsia="Times New Roman" w:hAnsi="Times New Roman"/>
          <w:sz w:val="21"/>
          <w:szCs w:val="21"/>
          <w:color w:val="auto"/>
        </w:rPr>
        <w:t>) and The Boeing Company (</w:t>
      </w:r>
      <w:r>
        <w:rPr>
          <w:rFonts w:ascii="Times New Roman" w:cs="Times New Roman" w:eastAsia="Times New Roman" w:hAnsi="Times New Roman"/>
          <w:sz w:val="21"/>
          <w:szCs w:val="21"/>
          <w:b w:val="1"/>
          <w:bCs w:val="1"/>
          <w:color w:val="auto"/>
        </w:rPr>
        <w:t>Boeing</w:t>
      </w:r>
      <w:r>
        <w:rPr>
          <w:rFonts w:ascii="Times New Roman" w:cs="Times New Roman" w:eastAsia="Times New Roman" w:hAnsi="Times New Roman"/>
          <w:sz w:val="21"/>
          <w:szCs w:val="21"/>
          <w:color w:val="auto"/>
        </w:rPr>
        <w:t>). Customer and Boeing agree to the following terms which amend terms related to Customer’s purchase of *** 737 MAX aircraft (</w:t>
      </w:r>
      <w:r>
        <w:rPr>
          <w:rFonts w:ascii="Times New Roman" w:cs="Times New Roman" w:eastAsia="Times New Roman" w:hAnsi="Times New Roman"/>
          <w:sz w:val="21"/>
          <w:szCs w:val="21"/>
          <w:b w:val="1"/>
          <w:bCs w:val="1"/>
          <w:color w:val="auto"/>
        </w:rPr>
        <w:t>Aircraft</w:t>
      </w:r>
      <w:r>
        <w:rPr>
          <w:rFonts w:ascii="Times New Roman" w:cs="Times New Roman" w:eastAsia="Times New Roman" w:hAnsi="Times New Roman"/>
          <w:sz w:val="21"/>
          <w:szCs w:val="21"/>
          <w:color w:val="auto"/>
        </w:rPr>
        <w:t>) and its rights in *** Aircraft, as contained in Purchase Agreement No. 03776 dated July 12, 2011, as amended and supplemented from time to time (</w:t>
      </w:r>
      <w:r>
        <w:rPr>
          <w:rFonts w:ascii="Times New Roman" w:cs="Times New Roman" w:eastAsia="Times New Roman" w:hAnsi="Times New Roman"/>
          <w:sz w:val="21"/>
          <w:szCs w:val="21"/>
          <w:b w:val="1"/>
          <w:bCs w:val="1"/>
          <w:color w:val="auto"/>
        </w:rPr>
        <w:t>MAX Purchase Agreement #1</w:t>
      </w:r>
      <w:r>
        <w:rPr>
          <w:rFonts w:ascii="Times New Roman" w:cs="Times New Roman" w:eastAsia="Times New Roman" w:hAnsi="Times New Roman"/>
          <w:sz w:val="21"/>
          <w:szCs w:val="21"/>
          <w:color w:val="auto"/>
        </w:rPr>
        <w:t>) and Purchase Agreement No. 04761 dated May 15, 2018, as amended and supplemented from time to time (</w:t>
      </w:r>
      <w:r>
        <w:rPr>
          <w:rFonts w:ascii="Times New Roman" w:cs="Times New Roman" w:eastAsia="Times New Roman" w:hAnsi="Times New Roman"/>
          <w:sz w:val="21"/>
          <w:szCs w:val="21"/>
          <w:b w:val="1"/>
          <w:bCs w:val="1"/>
          <w:color w:val="auto"/>
        </w:rPr>
        <w:t>MAX Purchase Agreement #2</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b w:val="1"/>
          <w:bCs w:val="1"/>
          <w:color w:val="auto"/>
        </w:rPr>
        <w:t>Purchase Agreements</w:t>
      </w:r>
      <w:r>
        <w:rPr>
          <w:rFonts w:ascii="Times New Roman" w:cs="Times New Roman" w:eastAsia="Times New Roman" w:hAnsi="Times New Roman"/>
          <w:sz w:val="21"/>
          <w:szCs w:val="21"/>
          <w:color w:val="auto"/>
        </w:rPr>
        <w:t>). All terms used but not defined in this Agreement shall have the same meaning as in the applicable Purchase Agreement.</w:t>
      </w:r>
    </w:p>
    <w:p>
      <w:pPr>
        <w:spacing w:after="0" w:line="194" w:lineRule="exact"/>
        <w:rPr>
          <w:sz w:val="20"/>
          <w:szCs w:val="20"/>
          <w:color w:val="auto"/>
        </w:rPr>
      </w:pPr>
    </w:p>
    <w:p>
      <w:pPr>
        <w:ind w:right="140" w:firstLine="8"/>
        <w:spacing w:after="0" w:line="271" w:lineRule="auto"/>
        <w:tabs>
          <w:tab w:leader="none" w:pos="64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Business Considerations</w:t>
      </w:r>
      <w:r>
        <w:rPr>
          <w:rFonts w:ascii="Times New Roman" w:cs="Times New Roman" w:eastAsia="Times New Roman" w:hAnsi="Times New Roman"/>
          <w:sz w:val="22"/>
          <w:szCs w:val="22"/>
          <w:color w:val="auto"/>
        </w:rPr>
        <w:t>. Boeing and Customer agree that the Purchase Agreements are amended as set forth in this Agreement.</w:t>
      </w:r>
    </w:p>
    <w:p>
      <w:pPr>
        <w:spacing w:after="0" w:line="50" w:lineRule="exact"/>
        <w:rPr>
          <w:sz w:val="20"/>
          <w:szCs w:val="20"/>
          <w:color w:val="auto"/>
        </w:rPr>
      </w:pPr>
    </w:p>
    <w:p>
      <w:pPr>
        <w:ind w:left="78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Aircraft ***</w:t>
      </w:r>
      <w:r>
        <w:rPr>
          <w:rFonts w:ascii="Times New Roman" w:cs="Times New Roman" w:eastAsia="Times New Roman" w:hAnsi="Times New Roman"/>
          <w:sz w:val="21"/>
          <w:szCs w:val="21"/>
          <w:color w:val="auto"/>
        </w:rPr>
        <w:t>.</w:t>
      </w:r>
    </w:p>
    <w:p>
      <w:pPr>
        <w:spacing w:after="0" w:line="125" w:lineRule="exact"/>
        <w:rPr>
          <w:sz w:val="20"/>
          <w:szCs w:val="20"/>
          <w:color w:val="auto"/>
        </w:rPr>
      </w:pPr>
    </w:p>
    <w:p>
      <w:pPr>
        <w:jc w:val="both"/>
        <w:ind w:right="140" w:firstLine="1385"/>
        <w:spacing w:after="0" w:line="257" w:lineRule="auto"/>
        <w:tabs>
          <w:tab w:leader="none" w:pos="1941"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Boeing and Customer agree to *** the *** for the Aircraft *** Aircraft as set forth in Attachment 1 herein. The *** for the Aircraft is summarized in Tables 1.1 and 1.2 in Attachment 1, and the *** for the *** is summarized in Table 1.3 in Attachment 1.</w:t>
      </w:r>
    </w:p>
    <w:p>
      <w:pPr>
        <w:spacing w:after="0" w:line="64" w:lineRule="exact"/>
        <w:rPr>
          <w:rFonts w:ascii="Times New Roman" w:cs="Times New Roman" w:eastAsia="Times New Roman" w:hAnsi="Times New Roman"/>
          <w:sz w:val="22"/>
          <w:szCs w:val="22"/>
          <w:color w:val="auto"/>
        </w:rPr>
      </w:pPr>
    </w:p>
    <w:p>
      <w:pPr>
        <w:ind w:right="140" w:firstLine="1304"/>
        <w:spacing w:after="0" w:line="271"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Boeing and Customer agree to *** as set forth on Row 1 of Table 1.1 in Attachment 1 *** as set forth in Table 1.1 of Attachment 1 and *** as set forth in Article 1.4.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737-*** Aircraft ***</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right="140" w:firstLine="1304"/>
        <w:spacing w:after="0" w:line="263"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Articles 2, 3, 4, and 9 of Letter Agreements No. UAL-PA-04761-LA-2103236 and UAL-PA-03776-LA-2103288 (as such Letter Agreements may be amended, the </w:t>
      </w:r>
      <w:r>
        <w:rPr>
          <w:rFonts w:ascii="Times New Roman" w:cs="Times New Roman" w:eastAsia="Times New Roman" w:hAnsi="Times New Roman"/>
          <w:sz w:val="22"/>
          <w:szCs w:val="22"/>
          <w:b w:val="1"/>
          <w:bCs w:val="1"/>
          <w:color w:val="auto"/>
        </w:rPr>
        <w:t>737-*** Matters Letter Agreements</w:t>
      </w:r>
      <w:r>
        <w:rPr>
          <w:rFonts w:ascii="Times New Roman" w:cs="Times New Roman" w:eastAsia="Times New Roman" w:hAnsi="Times New Roman"/>
          <w:sz w:val="22"/>
          <w:szCs w:val="22"/>
          <w:color w:val="auto"/>
        </w:rPr>
        <w:t>) are deleted in their entirety, and have no further force or effect.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Accommodations Agreement for 737-***</w:t>
      </w:r>
    </w:p>
    <w:p>
      <w:pPr>
        <w:sectPr>
          <w:pgSz w:w="11900" w:h="16838" w:orient="portrait"/>
          <w:cols w:equalWidth="0" w:num="1">
            <w:col w:w="11240"/>
          </w:cols>
          <w:pgMar w:left="320" w:top="365" w:right="3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BOEING/UNITED AIRLINES, INC. PROPRIETARY</w:t>
      </w:r>
    </w:p>
    <w:p>
      <w:pPr>
        <w:sectPr>
          <w:pgSz w:w="11900" w:h="16838" w:orient="portrait"/>
          <w:cols w:equalWidth="0" w:num="1">
            <w:col w:w="11240"/>
          </w:cols>
          <w:pgMar w:left="320" w:top="365" w:right="33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940" w:hanging="636"/>
        <w:spacing w:after="0"/>
        <w:tabs>
          <w:tab w:leader="none" w:pos="19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right="160" w:firstLine="1304"/>
        <w:spacing w:after="0" w:line="271"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remaining terms in the 737-*** Matters Letter Agreements shall remain in full force and effect. For the avoidance of doubt and only to the extent applicable, any terms relating to *** shall remain in effect.</w:t>
      </w:r>
    </w:p>
    <w:p>
      <w:pPr>
        <w:spacing w:after="0" w:line="158"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940" w:hanging="636"/>
        <w:spacing w:after="0"/>
        <w:tabs>
          <w:tab w:leader="none" w:pos="194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473"/>
        </w:trPr>
        <w:tc>
          <w:tcPr>
            <w:tcW w:w="5840" w:type="dxa"/>
            <w:vAlign w:val="bottom"/>
            <w:tcBorders>
              <w:top w:val="single" w:sz="8" w:color="auto"/>
              <w:left w:val="single" w:sz="8" w:color="auto"/>
              <w:right w:val="single" w:sz="8" w:color="auto"/>
            </w:tcBorders>
            <w:gridSpan w:val="3"/>
          </w:tcPr>
          <w:p>
            <w:pPr>
              <w:jc w:val="right"/>
              <w:ind w:right="2760"/>
              <w:spacing w:after="0"/>
              <w:rPr>
                <w:sz w:val="20"/>
                <w:szCs w:val="20"/>
                <w:color w:val="auto"/>
              </w:rPr>
            </w:pPr>
            <w:r>
              <w:rPr>
                <w:rFonts w:ascii="Times New Roman" w:cs="Times New Roman" w:eastAsia="Times New Roman" w:hAnsi="Times New Roman"/>
                <w:sz w:val="22"/>
                <w:szCs w:val="22"/>
                <w:b w:val="1"/>
                <w:bCs w:val="1"/>
                <w:color w:val="auto"/>
              </w:rPr>
              <w:t>***</w:t>
            </w:r>
          </w:p>
        </w:tc>
        <w:tc>
          <w:tcPr>
            <w:tcW w:w="5420" w:type="dxa"/>
            <w:vAlign w:val="bottom"/>
            <w:tcBorders>
              <w:top w:val="single" w:sz="8" w:color="auto"/>
              <w:right w:val="single" w:sz="8" w:color="auto"/>
            </w:tcBorders>
            <w:gridSpan w:val="3"/>
          </w:tcPr>
          <w:p>
            <w:pPr>
              <w:jc w:val="right"/>
              <w:ind w:right="2560"/>
              <w:spacing w:after="0"/>
              <w:rPr>
                <w:sz w:val="20"/>
                <w:szCs w:val="20"/>
                <w:color w:val="auto"/>
              </w:rPr>
            </w:pPr>
            <w:r>
              <w:rPr>
                <w:rFonts w:ascii="Times New Roman" w:cs="Times New Roman" w:eastAsia="Times New Roman" w:hAnsi="Times New Roman"/>
                <w:sz w:val="22"/>
                <w:szCs w:val="22"/>
                <w:b w:val="1"/>
                <w:bCs w:val="1"/>
                <w:color w:val="auto"/>
              </w:rPr>
              <w:t>***</w:t>
            </w:r>
          </w:p>
        </w:tc>
      </w:tr>
      <w:tr>
        <w:trPr>
          <w:trHeight w:val="48"/>
        </w:trPr>
        <w:tc>
          <w:tcPr>
            <w:tcW w:w="2760" w:type="dxa"/>
            <w:vAlign w:val="bottom"/>
            <w:tcBorders>
              <w:left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2760" w:type="dxa"/>
            <w:vAlign w:val="bottom"/>
            <w:tcBorders>
              <w:bottom w:val="single" w:sz="8" w:color="auto"/>
              <w:right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r>
      <w:tr>
        <w:trPr>
          <w:trHeight w:val="397"/>
        </w:trPr>
        <w:tc>
          <w:tcPr>
            <w:tcW w:w="2760" w:type="dxa"/>
            <w:vAlign w:val="bottom"/>
            <w:tcBorders>
              <w:left w:val="single" w:sz="8" w:color="auto"/>
            </w:tcBorders>
          </w:tcPr>
          <w:p>
            <w:pPr>
              <w:jc w:val="right"/>
              <w:ind w:right="223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2760" w:type="dxa"/>
            <w:vAlign w:val="bottom"/>
            <w:tcBorders>
              <w:right w:val="single" w:sz="8" w:color="auto"/>
            </w:tcBorders>
          </w:tcPr>
          <w:p>
            <w:pPr>
              <w:spacing w:after="0"/>
              <w:rPr>
                <w:sz w:val="24"/>
                <w:szCs w:val="24"/>
                <w:color w:val="auto"/>
              </w:rPr>
            </w:pPr>
          </w:p>
        </w:tc>
        <w:tc>
          <w:tcPr>
            <w:tcW w:w="2540" w:type="dxa"/>
            <w:vAlign w:val="bottom"/>
          </w:tcPr>
          <w:p>
            <w:pPr>
              <w:jc w:val="right"/>
              <w:ind w:right="2032"/>
              <w:spacing w:after="0"/>
              <w:rPr>
                <w:sz w:val="20"/>
                <w:szCs w:val="20"/>
                <w:color w:val="auto"/>
              </w:rPr>
            </w:pPr>
            <w:r>
              <w:rPr>
                <w:rFonts w:ascii="Times New Roman" w:cs="Times New Roman" w:eastAsia="Times New Roman" w:hAnsi="Times New Roman"/>
                <w:sz w:val="22"/>
                <w:szCs w:val="22"/>
                <w:color w:val="auto"/>
              </w:rPr>
              <w:t>***</w:t>
            </w:r>
          </w:p>
        </w:tc>
        <w:tc>
          <w:tcPr>
            <w:tcW w:w="320" w:type="dxa"/>
            <w:vAlign w:val="bottom"/>
          </w:tcPr>
          <w:p>
            <w:pPr>
              <w:spacing w:after="0"/>
              <w:rPr>
                <w:sz w:val="24"/>
                <w:szCs w:val="24"/>
                <w:color w:val="auto"/>
              </w:rPr>
            </w:pPr>
          </w:p>
        </w:tc>
        <w:tc>
          <w:tcPr>
            <w:tcW w:w="2560" w:type="dxa"/>
            <w:vAlign w:val="bottom"/>
            <w:tcBorders>
              <w:right w:val="single" w:sz="8" w:color="auto"/>
            </w:tcBorders>
          </w:tcPr>
          <w:p>
            <w:pPr>
              <w:spacing w:after="0"/>
              <w:rPr>
                <w:sz w:val="24"/>
                <w:szCs w:val="24"/>
                <w:color w:val="auto"/>
              </w:rPr>
            </w:pPr>
          </w:p>
        </w:tc>
      </w:tr>
      <w:tr>
        <w:trPr>
          <w:trHeight w:val="123"/>
        </w:trPr>
        <w:tc>
          <w:tcPr>
            <w:tcW w:w="2760" w:type="dxa"/>
            <w:vAlign w:val="bottom"/>
            <w:tcBorders>
              <w:left w:val="single" w:sz="8" w:color="auto"/>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760" w:type="dxa"/>
            <w:vAlign w:val="bottom"/>
            <w:tcBorders>
              <w:bottom w:val="single" w:sz="8" w:color="auto"/>
              <w:right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560" w:type="dxa"/>
            <w:vAlign w:val="bottom"/>
            <w:tcBorders>
              <w:bottom w:val="single" w:sz="8" w:color="auto"/>
              <w:right w:val="single" w:sz="8" w:color="auto"/>
            </w:tcBorders>
          </w:tcPr>
          <w:p>
            <w:pPr>
              <w:spacing w:after="0"/>
              <w:rPr>
                <w:sz w:val="10"/>
                <w:szCs w:val="10"/>
                <w:color w:val="auto"/>
              </w:rPr>
            </w:pPr>
          </w:p>
        </w:tc>
      </w:tr>
    </w:tbl>
    <w:p>
      <w:pPr>
        <w:spacing w:after="0" w:line="297" w:lineRule="exact"/>
        <w:rPr>
          <w:sz w:val="20"/>
          <w:szCs w:val="20"/>
          <w:color w:val="auto"/>
        </w:rPr>
      </w:pPr>
    </w:p>
    <w:p>
      <w:pPr>
        <w:jc w:val="both"/>
        <w:ind w:right="160" w:firstLine="1148"/>
        <w:spacing w:after="0" w:line="266" w:lineRule="auto"/>
        <w:tabs>
          <w:tab w:leader="none" w:pos="1932"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this Article 1.4(a), for purposes of Letter Agreement No. UAL-PA-04761-LA-2100718 (as may be amended, </w:t>
      </w:r>
      <w:r>
        <w:rPr>
          <w:rFonts w:ascii="Times New Roman" w:cs="Times New Roman" w:eastAsia="Times New Roman" w:hAnsi="Times New Roman"/>
          <w:sz w:val="21"/>
          <w:szCs w:val="21"/>
          <w:b w:val="1"/>
          <w:bCs w:val="1"/>
          <w:color w:val="auto"/>
        </w:rPr>
        <w:t>*** Aircraft Letter Agreement</w:t>
      </w:r>
      <w:r>
        <w:rPr>
          <w:rFonts w:ascii="Times New Roman" w:cs="Times New Roman" w:eastAsia="Times New Roman" w:hAnsi="Times New Roman"/>
          <w:sz w:val="21"/>
          <w:szCs w:val="21"/>
          <w:color w:val="auto"/>
        </w:rPr>
        <w:t>) and for all *** thereunder and under the Purchase Agreements, any ***</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737-*** Aircraft shall be considered an “*** 737-*** Aircraft” as the term is defined in the *** Aircraft Letter Agreement.</w:t>
      </w:r>
    </w:p>
    <w:p>
      <w:pPr>
        <w:spacing w:after="0" w:line="209" w:lineRule="exact"/>
        <w:rPr>
          <w:rFonts w:ascii="Times New Roman" w:cs="Times New Roman" w:eastAsia="Times New Roman" w:hAnsi="Times New Roman"/>
          <w:sz w:val="21"/>
          <w:szCs w:val="21"/>
          <w:color w:val="auto"/>
        </w:rPr>
      </w:pPr>
    </w:p>
    <w:p>
      <w:pPr>
        <w:ind w:left="1940" w:hanging="792"/>
        <w:spacing w:after="0"/>
        <w:tabs>
          <w:tab w:leader="none" w:pos="19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40" w:lineRule="exact"/>
        <w:rPr>
          <w:sz w:val="20"/>
          <w:szCs w:val="20"/>
          <w:color w:val="auto"/>
        </w:rPr>
      </w:pPr>
    </w:p>
    <w:tbl>
      <w:tblPr>
        <w:tblLayout w:type="fixed"/>
        <w:tblInd w:w="90" w:type="dxa"/>
        <w:tblCellMar>
          <w:top w:w="0" w:type="dxa"/>
          <w:left w:w="0" w:type="dxa"/>
          <w:bottom w:w="0" w:type="dxa"/>
          <w:right w:w="0" w:type="dxa"/>
        </w:tblCellMar>
      </w:tblPr>
      <w:tr>
        <w:trPr>
          <w:trHeight w:val="473"/>
        </w:trPr>
        <w:tc>
          <w:tcPr>
            <w:tcW w:w="2120" w:type="dxa"/>
            <w:vAlign w:val="bottom"/>
            <w:tcBorders>
              <w:top w:val="single" w:sz="8" w:color="auto"/>
              <w:left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176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w:t>
            </w:r>
          </w:p>
        </w:tc>
        <w:tc>
          <w:tcPr>
            <w:tcW w:w="3380" w:type="dxa"/>
            <w:vAlign w:val="bottom"/>
            <w:tcBorders>
              <w:top w:val="single" w:sz="8" w:color="auto"/>
              <w:right w:val="single" w:sz="8" w:color="auto"/>
            </w:tcBorders>
          </w:tcPr>
          <w:p>
            <w:pPr>
              <w:spacing w:after="0"/>
              <w:rPr>
                <w:sz w:val="24"/>
                <w:szCs w:val="24"/>
                <w:color w:val="auto"/>
              </w:rPr>
            </w:pPr>
          </w:p>
        </w:tc>
      </w:tr>
      <w:tr>
        <w:trPr>
          <w:trHeight w:val="48"/>
        </w:trPr>
        <w:tc>
          <w:tcPr>
            <w:tcW w:w="1780" w:type="dxa"/>
            <w:vAlign w:val="bottom"/>
            <w:tcBorders>
              <w:left w:val="single" w:sz="8" w:color="auto"/>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40" w:type="dxa"/>
            <w:vAlign w:val="bottom"/>
            <w:tcBorders>
              <w:top w:val="single" w:sz="8" w:color="auto"/>
              <w:bottom w:val="single" w:sz="8" w:color="auto"/>
            </w:tcBorders>
          </w:tcPr>
          <w:p>
            <w:pPr>
              <w:spacing w:after="0"/>
              <w:rPr>
                <w:sz w:val="4"/>
                <w:szCs w:val="4"/>
                <w:color w:val="auto"/>
              </w:rPr>
            </w:pPr>
          </w:p>
        </w:tc>
        <w:tc>
          <w:tcPr>
            <w:tcW w:w="3380" w:type="dxa"/>
            <w:vAlign w:val="bottom"/>
            <w:tcBorders>
              <w:bottom w:val="single" w:sz="8" w:color="auto"/>
              <w:right w:val="single" w:sz="8" w:color="auto"/>
            </w:tcBorders>
          </w:tcPr>
          <w:p>
            <w:pPr>
              <w:spacing w:after="0"/>
              <w:rPr>
                <w:sz w:val="4"/>
                <w:szCs w:val="4"/>
                <w:color w:val="auto"/>
              </w:rPr>
            </w:pPr>
          </w:p>
        </w:tc>
      </w:tr>
      <w:tr>
        <w:trPr>
          <w:trHeight w:val="397"/>
        </w:trPr>
        <w:tc>
          <w:tcPr>
            <w:tcW w:w="1780" w:type="dxa"/>
            <w:vAlign w:val="bottom"/>
            <w:tcBorders>
              <w:left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1760" w:type="dxa"/>
            <w:vAlign w:val="bottom"/>
            <w:tcBorders>
              <w:right w:val="single" w:sz="8" w:color="auto"/>
            </w:tcBorders>
          </w:tcPr>
          <w:p>
            <w:pPr>
              <w:spacing w:after="0"/>
              <w:rPr>
                <w:sz w:val="24"/>
                <w:szCs w:val="24"/>
                <w:color w:val="auto"/>
              </w:rPr>
            </w:pPr>
          </w:p>
        </w:tc>
        <w:tc>
          <w:tcPr>
            <w:tcW w:w="3360" w:type="dxa"/>
            <w:vAlign w:val="bottom"/>
          </w:tcPr>
          <w:p>
            <w:pPr>
              <w:jc w:val="right"/>
              <w:ind w:right="2772"/>
              <w:spacing w:after="0"/>
              <w:rPr>
                <w:sz w:val="20"/>
                <w:szCs w:val="20"/>
                <w:color w:val="auto"/>
              </w:rPr>
            </w:pPr>
            <w:r>
              <w:rPr>
                <w:rFonts w:ascii="Times New Roman" w:cs="Times New Roman" w:eastAsia="Times New Roman" w:hAnsi="Times New Roman"/>
                <w:sz w:val="22"/>
                <w:szCs w:val="22"/>
                <w:color w:val="auto"/>
              </w:rPr>
              <w:t>***</w:t>
            </w:r>
          </w:p>
        </w:tc>
        <w:tc>
          <w:tcPr>
            <w:tcW w:w="340" w:type="dxa"/>
            <w:vAlign w:val="bottom"/>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r>
      <w:tr>
        <w:trPr>
          <w:trHeight w:val="123"/>
        </w:trPr>
        <w:tc>
          <w:tcPr>
            <w:tcW w:w="1780" w:type="dxa"/>
            <w:vAlign w:val="bottom"/>
            <w:tcBorders>
              <w:left w:val="single" w:sz="8" w:color="auto"/>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760" w:type="dxa"/>
            <w:vAlign w:val="bottom"/>
            <w:tcBorders>
              <w:bottom w:val="single" w:sz="8" w:color="auto"/>
              <w:right w:val="single" w:sz="8" w:color="auto"/>
            </w:tcBorders>
          </w:tcPr>
          <w:p>
            <w:pPr>
              <w:spacing w:after="0"/>
              <w:rPr>
                <w:sz w:val="10"/>
                <w:szCs w:val="10"/>
                <w:color w:val="auto"/>
              </w:rPr>
            </w:pPr>
          </w:p>
        </w:tc>
        <w:tc>
          <w:tcPr>
            <w:tcW w:w="3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r>
    </w:tbl>
    <w:p>
      <w:pPr>
        <w:spacing w:after="0" w:line="28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w:t>
      </w:r>
    </w:p>
    <w:p>
      <w:pPr>
        <w:spacing w:after="0" w:line="233" w:lineRule="exact"/>
        <w:rPr>
          <w:sz w:val="20"/>
          <w:szCs w:val="20"/>
          <w:color w:val="auto"/>
        </w:rPr>
      </w:pPr>
    </w:p>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The terms for the *** shall remain in full force and effect. Should the *** held by Boeing *** to Boeing under the revised contract delivery schedule set forth in Attachment 1, then Boeing will ***.</w:t>
      </w:r>
    </w:p>
    <w:p>
      <w:pPr>
        <w:spacing w:after="0" w:line="158" w:lineRule="exact"/>
        <w:rPr>
          <w:sz w:val="20"/>
          <w:szCs w:val="20"/>
          <w:color w:val="auto"/>
        </w:rPr>
      </w:pPr>
    </w:p>
    <w:p>
      <w:pPr>
        <w:ind w:right="40" w:firstLine="1148"/>
        <w:spacing w:after="0" w:line="271" w:lineRule="auto"/>
        <w:tabs>
          <w:tab w:leader="none" w:pos="193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Boeing shall ***, any such *** any and all *** for any Boeing aircraft, ***. There shall be no restrictions on such ***, regardless of aircraft type or ***.</w:t>
      </w:r>
    </w:p>
    <w:p>
      <w:pPr>
        <w:spacing w:after="0" w:line="157" w:lineRule="exact"/>
        <w:rPr>
          <w:rFonts w:ascii="Times New Roman" w:cs="Times New Roman" w:eastAsia="Times New Roman" w:hAnsi="Times New Roman"/>
          <w:sz w:val="22"/>
          <w:szCs w:val="22"/>
          <w:color w:val="auto"/>
        </w:rPr>
      </w:pPr>
    </w:p>
    <w:p>
      <w:pPr>
        <w:ind w:left="1940" w:hanging="792"/>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Aircraft ***.</w:t>
      </w:r>
    </w:p>
    <w:p>
      <w:pPr>
        <w:spacing w:after="0" w:line="220" w:lineRule="exact"/>
        <w:rPr>
          <w:sz w:val="20"/>
          <w:szCs w:val="20"/>
          <w:color w:val="auto"/>
        </w:rPr>
      </w:pPr>
    </w:p>
    <w:p>
      <w:pPr>
        <w:ind w:left="1940" w:hanging="636"/>
        <w:spacing w:after="0"/>
        <w:tabs>
          <w:tab w:leader="none" w:pos="1940"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the *** for each of the *** Aircraft will be based on the original scheduled delivery</w:t>
      </w:r>
    </w:p>
    <w:p>
      <w:pPr>
        <w:spacing w:after="0" w:line="27"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in the Purchase Agreements.</w:t>
      </w:r>
    </w:p>
    <w:p>
      <w:pPr>
        <w:spacing w:after="0" w:line="191" w:lineRule="exact"/>
        <w:rPr>
          <w:rFonts w:ascii="Times New Roman" w:cs="Times New Roman" w:eastAsia="Times New Roman" w:hAnsi="Times New Roman"/>
          <w:sz w:val="22"/>
          <w:szCs w:val="22"/>
          <w:color w:val="auto"/>
        </w:rPr>
      </w:pPr>
    </w:p>
    <w:p>
      <w:pPr>
        <w:ind w:right="160" w:firstLine="1304"/>
        <w:spacing w:after="0" w:line="275" w:lineRule="auto"/>
        <w:tabs>
          <w:tab w:leader="none" w:pos="1939"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calculation of the *** for each 737-*** Aircraft that is not an *** Aircraft (</w:t>
      </w:r>
      <w:r>
        <w:rPr>
          <w:rFonts w:ascii="Times New Roman" w:cs="Times New Roman" w:eastAsia="Times New Roman" w:hAnsi="Times New Roman"/>
          <w:sz w:val="22"/>
          <w:szCs w:val="22"/>
          <w:b w:val="1"/>
          <w:bCs w:val="1"/>
          <w:color w:val="auto"/>
        </w:rPr>
        <w:t>*** Aircraft</w:t>
      </w:r>
      <w:r>
        <w:rPr>
          <w:rFonts w:ascii="Times New Roman" w:cs="Times New Roman" w:eastAsia="Times New Roman" w:hAnsi="Times New Roman"/>
          <w:sz w:val="22"/>
          <w:szCs w:val="22"/>
          <w:color w:val="auto"/>
        </w:rPr>
        <w:t>), as set forth in Table 1.2 in Attachment 1, and any *** Aircraft, as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Accommodations Agreement for 737-***</w:t>
      </w:r>
    </w:p>
    <w:p>
      <w:pPr>
        <w:sectPr>
          <w:pgSz w:w="11900" w:h="16838" w:orient="portrait"/>
          <w:cols w:equalWidth="0" w:num="1">
            <w:col w:w="11260"/>
          </w:cols>
          <w:pgMar w:left="320" w:top="1440" w:right="319" w:bottom="1440" w:gutter="0" w:footer="0" w:header="0"/>
        </w:sectPr>
      </w:pP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BOEING/UNITED AIRLINES, INC. PROPRIETARY</w:t>
      </w:r>
    </w:p>
    <w:p>
      <w:pPr>
        <w:sectPr>
          <w:pgSz w:w="11900" w:h="16838" w:orient="portrait"/>
          <w:cols w:equalWidth="0" w:num="1">
            <w:col w:w="11260"/>
          </w:cols>
          <w:pgMar w:left="320" w:top="1440" w:right="31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 forth on Table 1.3 in Attachment 1, will be based on the revised delivery schedule as set forth herein.</w:t>
      </w:r>
    </w:p>
    <w:p>
      <w:pPr>
        <w:spacing w:after="0" w:line="233" w:lineRule="exact"/>
        <w:rPr>
          <w:sz w:val="20"/>
          <w:szCs w:val="20"/>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Article 1.6(b) above, Boeing shall provide *** of each *** Aircraft. The *** will be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determined by ***.</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w:t>
      </w:r>
    </w:p>
    <w:p>
      <w:pPr>
        <w:spacing w:after="0" w:line="112" w:lineRule="exact"/>
        <w:rPr>
          <w:sz w:val="20"/>
          <w:szCs w:val="20"/>
          <w:color w:val="auto"/>
        </w:rPr>
      </w:pPr>
    </w:p>
    <w:p>
      <w:pPr>
        <w:jc w:val="both"/>
        <w:ind w:right="20" w:firstLine="1304"/>
        <w:spacing w:after="0" w:line="273" w:lineRule="auto"/>
        <w:tabs>
          <w:tab w:leader="none" w:pos="194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terms of Letter Agreement No. UAL-PA-04761-LA-1801478 (as amended, the </w:t>
      </w:r>
      <w:r>
        <w:rPr>
          <w:rFonts w:ascii="Times New Roman" w:cs="Times New Roman" w:eastAsia="Times New Roman" w:hAnsi="Times New Roman"/>
          <w:sz w:val="21"/>
          <w:szCs w:val="21"/>
          <w:b w:val="1"/>
          <w:bCs w:val="1"/>
          <w:color w:val="auto"/>
        </w:rPr>
        <w:t>Delivery *** Matters Letter Agreement</w:t>
      </w:r>
      <w:r>
        <w:rPr>
          <w:rFonts w:ascii="Times New Roman" w:cs="Times New Roman" w:eastAsia="Times New Roman" w:hAnsi="Times New Roman"/>
          <w:sz w:val="21"/>
          <w:szCs w:val="21"/>
          <w:color w:val="auto"/>
        </w:rPr>
        <w:t>), Customer’s *** of a Customer *** shall be limited to no more than *** of the ***</w:t>
      </w:r>
    </w:p>
    <w:p>
      <w:pPr>
        <w:spacing w:after="0" w:line="1"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Aircraft for each ***.</w:t>
      </w:r>
    </w:p>
    <w:p>
      <w:pPr>
        <w:spacing w:after="0" w:line="195" w:lineRule="exact"/>
        <w:rPr>
          <w:rFonts w:ascii="Times New Roman" w:cs="Times New Roman" w:eastAsia="Times New Roman" w:hAnsi="Times New Roman"/>
          <w:sz w:val="21"/>
          <w:szCs w:val="21"/>
          <w:color w:val="auto"/>
        </w:rPr>
      </w:pPr>
    </w:p>
    <w:p>
      <w:pPr>
        <w:ind w:right="20" w:firstLine="1304"/>
        <w:spacing w:after="0" w:line="271" w:lineRule="auto"/>
        <w:tabs>
          <w:tab w:leader="none" w:pos="193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 has been obtained, Boeing will have the ***, subject to the mutual agreement of the Parties, to *** the delivery *** of any implemented 737-*** aircraft scheduled to deliver in ***.</w:t>
      </w:r>
    </w:p>
    <w:p>
      <w:pPr>
        <w:spacing w:after="0" w:line="104"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 Aircraft.</w:t>
      </w:r>
    </w:p>
    <w:p>
      <w:pPr>
        <w:spacing w:after="0" w:line="229" w:lineRule="exact"/>
        <w:rPr>
          <w:sz w:val="20"/>
          <w:szCs w:val="20"/>
          <w:color w:val="auto"/>
        </w:rPr>
      </w:pPr>
    </w:p>
    <w:p>
      <w:pPr>
        <w:ind w:left="2040" w:hanging="736"/>
        <w:spacing w:after="0"/>
        <w:tabs>
          <w:tab w:leader="none" w:pos="20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terms of Letter Agreement UAL-PA-04761-LA-1807022 (as amended, the </w:t>
      </w:r>
      <w:r>
        <w:rPr>
          <w:rFonts w:ascii="Times New Roman" w:cs="Times New Roman" w:eastAsia="Times New Roman" w:hAnsi="Times New Roman"/>
          <w:sz w:val="22"/>
          <w:szCs w:val="22"/>
          <w:b w:val="1"/>
          <w:bCs w:val="1"/>
          <w:color w:val="auto"/>
        </w:rPr>
        <w:t>***</w:t>
      </w:r>
    </w:p>
    <w:p>
      <w:pPr>
        <w:spacing w:after="0" w:line="31" w:lineRule="exact"/>
        <w:rPr>
          <w:rFonts w:ascii="Times New Roman" w:cs="Times New Roman" w:eastAsia="Times New Roman" w:hAnsi="Times New Roman"/>
          <w:sz w:val="22"/>
          <w:szCs w:val="22"/>
          <w:color w:val="auto"/>
        </w:rPr>
      </w:pPr>
    </w:p>
    <w:p>
      <w:pPr>
        <w:ind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Aircraft Letter Agreement</w:t>
      </w:r>
      <w:r>
        <w:rPr>
          <w:rFonts w:ascii="Times New Roman" w:cs="Times New Roman" w:eastAsia="Times New Roman" w:hAnsi="Times New Roman"/>
          <w:sz w:val="22"/>
          <w:szCs w:val="22"/>
          <w:color w:val="auto"/>
        </w:rPr>
        <w:t>), if *** has not been obtained *** to the Nominal Delivery *** of any *** Aircraft, then Customer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have until *** prior to the Nominal Delivery ***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to *** its *** for such *** Aircraft.</w:t>
      </w:r>
    </w:p>
    <w:p>
      <w:pPr>
        <w:spacing w:after="0" w:line="18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 has not been obtained as of the ***, then Customer shall have the ***, in its sole discretion, to:</w:t>
      </w:r>
    </w:p>
    <w:p>
      <w:pPr>
        <w:spacing w:after="0" w:line="219"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such *** Aircraft as a Boeing model 737-*** aircraft; or</w:t>
      </w:r>
    </w:p>
    <w:p>
      <w:pPr>
        <w:spacing w:after="0" w:line="219"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such *** Aircraft as a Boeing model 737-*** aircraft; or</w:t>
      </w:r>
    </w:p>
    <w:p>
      <w:pPr>
        <w:spacing w:after="0" w:line="233" w:lineRule="exact"/>
        <w:rPr>
          <w:rFonts w:ascii="Times New Roman" w:cs="Times New Roman" w:eastAsia="Times New Roman" w:hAnsi="Times New Roman"/>
          <w:sz w:val="22"/>
          <w:szCs w:val="22"/>
          <w:color w:val="auto"/>
        </w:rPr>
      </w:pPr>
    </w:p>
    <w:p>
      <w:pPr>
        <w:jc w:val="both"/>
        <w:ind w:left="2440" w:hanging="488"/>
        <w:spacing w:after="0" w:line="266" w:lineRule="auto"/>
        <w:tabs>
          <w:tab w:leader="none" w:pos="2440"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the scheduled delivery *** of the *** Aircraft to a *** (i) after *** is obtained and (ii) in which Boeing can confirm Boeing model 737-*** aircraft availability ***; provided that, once ***</w:t>
      </w:r>
    </w:p>
    <w:p>
      <w:pPr>
        <w:spacing w:after="0" w:line="1" w:lineRule="exact"/>
        <w:rPr>
          <w:rFonts w:ascii="Times New Roman" w:cs="Times New Roman" w:eastAsia="Times New Roman" w:hAnsi="Times New Roman"/>
          <w:sz w:val="21"/>
          <w:szCs w:val="21"/>
          <w:color w:val="auto"/>
        </w:rPr>
      </w:pPr>
    </w:p>
    <w:p>
      <w:pPr>
        <w:ind w:left="24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obtained, the *** delivery *** will be *** following such ***.</w:t>
      </w:r>
    </w:p>
    <w:p>
      <w:pPr>
        <w:spacing w:after="0" w:line="142" w:lineRule="exact"/>
        <w:rPr>
          <w:sz w:val="20"/>
          <w:szCs w:val="20"/>
          <w:color w:val="auto"/>
        </w:rPr>
      </w:pPr>
    </w:p>
    <w:p>
      <w:pPr>
        <w:ind w:left="740"/>
        <w:spacing w:after="0"/>
        <w:tabs>
          <w:tab w:leader="none" w:pos="128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Test Aircraft; *** and Configuration.</w:t>
      </w:r>
    </w:p>
    <w:p>
      <w:pPr>
        <w:spacing w:after="0" w:line="166" w:lineRule="exact"/>
        <w:rPr>
          <w:sz w:val="20"/>
          <w:szCs w:val="20"/>
          <w:color w:val="auto"/>
        </w:rPr>
      </w:pPr>
    </w:p>
    <w:p>
      <w:pPr>
        <w:jc w:val="both"/>
        <w:ind w:right="20" w:firstLine="1304"/>
        <w:spacing w:after="0" w:line="261" w:lineRule="auto"/>
        <w:tabs>
          <w:tab w:leader="none" w:pos="1941"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Boeing and Customer will execute an administrative amendment to certain letter agreements to adjust provisions related to (i) *** Test Aircraft, (ii) *** and (iii) the configuration of certain 737-*** aircraft from the 737-***</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configuration to the 737-*** configuration.</w:t>
      </w:r>
    </w:p>
    <w:p>
      <w:pPr>
        <w:spacing w:after="0" w:line="141"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revisions to the letter agreements applicable to the Test Aircraft are included in Appendices 1 and 2 to this Agreement, while configuration modifications will be provided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Accommodations Agreement for 737-***</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1120"/>
          </w:cols>
          <w:pgMar w:left="320" w:top="1440" w:right="4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both"/>
        <w:ind w:firstLine="21"/>
        <w:spacing w:after="0" w:line="256"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Nature</w:t>
      </w:r>
      <w:r>
        <w:rPr>
          <w:rFonts w:ascii="Times New Roman" w:cs="Times New Roman" w:eastAsia="Times New Roman" w:hAnsi="Times New Roman"/>
          <w:sz w:val="22"/>
          <w:szCs w:val="22"/>
          <w:color w:val="auto"/>
        </w:rPr>
        <w:t>. Boeing and Customer acknowledge and agree that the terms of this Agreement are binding on Boeing and Customer as of the date hereof, and if there is a conflict between the terms of this Agreement and either of the Purchase Agreements, then the terms of this Agreement will take precedence. Boeing and Customer agree that any revision of this Agreement requires mutual agreement of Boeing and Customer.</w:t>
      </w:r>
    </w:p>
    <w:p>
      <w:pPr>
        <w:spacing w:after="0" w:line="176" w:lineRule="exact"/>
        <w:rPr>
          <w:rFonts w:ascii="Times New Roman" w:cs="Times New Roman" w:eastAsia="Times New Roman" w:hAnsi="Times New Roman"/>
          <w:sz w:val="22"/>
          <w:szCs w:val="22"/>
          <w:color w:val="auto"/>
        </w:rPr>
      </w:pPr>
    </w:p>
    <w:p>
      <w:pPr>
        <w:jc w:val="both"/>
        <w:ind w:right="20" w:firstLine="21"/>
        <w:spacing w:after="0" w:line="256"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Supplemental Agreements</w:t>
      </w:r>
      <w:r>
        <w:rPr>
          <w:rFonts w:ascii="Times New Roman" w:cs="Times New Roman" w:eastAsia="Times New Roman" w:hAnsi="Times New Roman"/>
          <w:sz w:val="22"/>
          <w:szCs w:val="22"/>
          <w:color w:val="auto"/>
        </w:rPr>
        <w:t>. Boeing and Customer will execute a supplemental agreement to the Purchase Agreements (</w:t>
      </w:r>
      <w:r>
        <w:rPr>
          <w:rFonts w:ascii="Times New Roman" w:cs="Times New Roman" w:eastAsia="Times New Roman" w:hAnsi="Times New Roman"/>
          <w:sz w:val="22"/>
          <w:szCs w:val="22"/>
          <w:b w:val="1"/>
          <w:bCs w:val="1"/>
          <w:color w:val="auto"/>
        </w:rPr>
        <w:t>Supplemental Agreements</w:t>
      </w:r>
      <w:r>
        <w:rPr>
          <w:rFonts w:ascii="Times New Roman" w:cs="Times New Roman" w:eastAsia="Times New Roman" w:hAnsi="Times New Roman"/>
          <w:sz w:val="22"/>
          <w:szCs w:val="22"/>
          <w:color w:val="auto"/>
        </w:rPr>
        <w:t>) within *** after execution of this Agreement to administratively incorporate the relevant terms from this Agreement into the Purchase Agreements. Failure to execute the Supplemental Agreements does not nullify any agreements set forth in this Agreement.</w:t>
      </w:r>
    </w:p>
    <w:p>
      <w:pPr>
        <w:spacing w:after="0" w:line="176" w:lineRule="exact"/>
        <w:rPr>
          <w:rFonts w:ascii="Times New Roman" w:cs="Times New Roman" w:eastAsia="Times New Roman" w:hAnsi="Times New Roman"/>
          <w:sz w:val="22"/>
          <w:szCs w:val="22"/>
          <w:color w:val="auto"/>
        </w:rPr>
      </w:pPr>
    </w:p>
    <w:p>
      <w:pPr>
        <w:jc w:val="both"/>
        <w:ind w:firstLine="21"/>
        <w:spacing w:after="0" w:line="257"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Clarifications</w:t>
      </w:r>
      <w:r>
        <w:rPr>
          <w:rFonts w:ascii="Times New Roman" w:cs="Times New Roman" w:eastAsia="Times New Roman" w:hAnsi="Times New Roman"/>
          <w:sz w:val="22"/>
          <w:szCs w:val="22"/>
          <w:color w:val="auto"/>
        </w:rPr>
        <w:t>. The parties agree to delete the reference to “February 29, 2024” and replace it with “September 30, 2024” in (i) Section 4 of Supplemental Agreement No. 21 to MAX Purchase Agreement #1 and (ii) Section 4.2 of Supplemental Agreement No. 13 to MAX Purchase Agreement #2.</w:t>
      </w:r>
    </w:p>
    <w:p>
      <w:pPr>
        <w:spacing w:after="0" w:line="186" w:lineRule="exact"/>
        <w:rPr>
          <w:rFonts w:ascii="Times New Roman" w:cs="Times New Roman" w:eastAsia="Times New Roman" w:hAnsi="Times New Roman"/>
          <w:sz w:val="22"/>
          <w:szCs w:val="22"/>
          <w:color w:val="auto"/>
        </w:rPr>
      </w:pPr>
    </w:p>
    <w:p>
      <w:pPr>
        <w:jc w:val="both"/>
        <w:ind w:firstLine="21"/>
        <w:spacing w:after="0" w:line="275" w:lineRule="auto"/>
        <w:tabs>
          <w:tab w:leader="none" w:pos="64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Understanding</w:t>
      </w:r>
      <w:r>
        <w:rPr>
          <w:rFonts w:ascii="Times New Roman" w:cs="Times New Roman" w:eastAsia="Times New Roman" w:hAnsi="Times New Roman"/>
          <w:sz w:val="21"/>
          <w:szCs w:val="21"/>
          <w:color w:val="auto"/>
        </w:rPr>
        <w:t>. This Agreement contains the entire understanding between the Boeing and Customer, and supersedes all previous proposals, understandings, commitments or representations whatsoever, oral or written, with respect to the subject matter hereof, and may be changed only in writing signed by authorized representatives of Boeing and Customer.</w:t>
      </w:r>
    </w:p>
    <w:p>
      <w:pPr>
        <w:spacing w:after="0" w:line="155" w:lineRule="exact"/>
        <w:rPr>
          <w:rFonts w:ascii="Times New Roman" w:cs="Times New Roman" w:eastAsia="Times New Roman" w:hAnsi="Times New Roman"/>
          <w:sz w:val="21"/>
          <w:szCs w:val="21"/>
          <w:color w:val="auto"/>
        </w:rPr>
      </w:pPr>
    </w:p>
    <w:p>
      <w:pPr>
        <w:jc w:val="both"/>
        <w:ind w:firstLine="21"/>
        <w:spacing w:after="0" w:line="257"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WILL BE INTERPRETED UNDER AND GOVERNED BY THE LAWS OF THE STATE OF WASHINGTON, U.S.A., EXCEPT THAT WASHINGTON’S CHOICE OF LAW RULES WILL NOT BE INVOKED FOR THE PURPOSE OF APPLYING THE LAW OF ANOTHER JURISDICTION.</w:t>
      </w:r>
    </w:p>
    <w:p>
      <w:pPr>
        <w:spacing w:after="0" w:line="186" w:lineRule="exact"/>
        <w:rPr>
          <w:rFonts w:ascii="Times New Roman" w:cs="Times New Roman" w:eastAsia="Times New Roman" w:hAnsi="Times New Roman"/>
          <w:sz w:val="22"/>
          <w:szCs w:val="22"/>
          <w:color w:val="auto"/>
        </w:rPr>
      </w:pPr>
    </w:p>
    <w:p>
      <w:pPr>
        <w:ind w:right="20" w:firstLine="21"/>
        <w:spacing w:after="0" w:line="271"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 The rights and obligations contained in this Agreement cannot be assigned, in whole or in part, without the prior written consent of Boeing.</w:t>
      </w:r>
    </w:p>
    <w:p>
      <w:pPr>
        <w:spacing w:after="0" w:line="157" w:lineRule="exact"/>
        <w:rPr>
          <w:rFonts w:ascii="Times New Roman" w:cs="Times New Roman" w:eastAsia="Times New Roman" w:hAnsi="Times New Roman"/>
          <w:sz w:val="22"/>
          <w:szCs w:val="22"/>
          <w:color w:val="auto"/>
        </w:rPr>
      </w:pPr>
    </w:p>
    <w:p>
      <w:pPr>
        <w:jc w:val="both"/>
        <w:ind w:right="20" w:firstLine="21"/>
        <w:spacing w:after="0" w:line="256" w:lineRule="auto"/>
        <w:tabs>
          <w:tab w:leader="none" w:pos="6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Customer and Boeing understand that certain commercial and financial information contained in this Agreement are considered by Boeing and Customer as confidential and are subject to the terms and conditions set forth in Letter Agreement No. UCH-PA-03776-LA-1208234 included in MAX Purchase Agreement #1 and Letter Agreement No. UAL-PA-04761-LA-1801470 included in MAX Purchase Agreement #2.</w:t>
      </w: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i w:val="1"/>
          <w:iCs w:val="1"/>
          <w:color w:val="auto"/>
        </w:rPr>
        <w:t>The rest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Accommodations Agreement for 737-***</w:t>
      </w:r>
    </w:p>
    <w:p>
      <w:pPr>
        <w:spacing w:after="0" w:line="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1120"/>
          </w:cols>
          <w:pgMar w:left="320" w:top="1440" w:right="4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444444"/>
        </w:rPr>
        <w:t>IN WITNESS WHEREOF</w:t>
      </w:r>
      <w:r>
        <w:rPr>
          <w:rFonts w:ascii="Times New Roman" w:cs="Times New Roman" w:eastAsia="Times New Roman" w:hAnsi="Times New Roman"/>
          <w:sz w:val="22"/>
          <w:szCs w:val="22"/>
          <w:color w:val="727272"/>
        </w:rPr>
        <w:t>,</w:t>
      </w:r>
      <w:r>
        <w:rPr>
          <w:rFonts w:ascii="Times New Roman" w:cs="Times New Roman" w:eastAsia="Times New Roman" w:hAnsi="Times New Roman"/>
          <w:sz w:val="22"/>
          <w:szCs w:val="22"/>
          <w:color w:val="444444"/>
        </w:rPr>
        <w:t xml:space="preserve"> the Parties have signed this Agreement by their respective duly authorized representatives.</w:t>
      </w:r>
    </w:p>
    <w:p>
      <w:pPr>
        <w:spacing w:after="0" w:line="3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328" w:lineRule="exact"/>
        <w:rPr>
          <w:sz w:val="20"/>
          <w:szCs w:val="20"/>
          <w:color w:val="auto"/>
        </w:rPr>
      </w:pPr>
    </w:p>
    <w:p>
      <w:pPr>
        <w:ind w:left="80"/>
        <w:spacing w:after="0"/>
        <w:tabs>
          <w:tab w:leader="none" w:pos="1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u w:val="single" w:color="auto"/>
          <w:color w:val="auto"/>
        </w:rPr>
        <w:t>April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332" w:lineRule="exact"/>
        <w:rPr>
          <w:sz w:val="20"/>
          <w:szCs w:val="20"/>
          <w:color w:val="auto"/>
        </w:rPr>
      </w:pPr>
    </w:p>
    <w:tbl>
      <w:tblPr>
        <w:tblLayout w:type="fixed"/>
        <w:tblInd w:w="180" w:type="dxa"/>
        <w:tblCellMar>
          <w:top w:w="0" w:type="dxa"/>
          <w:left w:w="0" w:type="dxa"/>
          <w:bottom w:w="0" w:type="dxa"/>
          <w:right w:w="0" w:type="dxa"/>
        </w:tblCellMar>
      </w:tblPr>
      <w:tr>
        <w:trPr>
          <w:trHeight w:val="282"/>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99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 Michael Leskinen</w:t>
            </w:r>
          </w:p>
        </w:tc>
        <w:tc>
          <w:tcPr>
            <w:tcW w:w="0" w:type="dxa"/>
            <w:vAlign w:val="bottom"/>
          </w:tcPr>
          <w:p>
            <w:pPr>
              <w:spacing w:after="0"/>
              <w:rPr>
                <w:sz w:val="1"/>
                <w:szCs w:val="1"/>
                <w:color w:val="auto"/>
              </w:rPr>
            </w:pPr>
          </w:p>
        </w:tc>
      </w:tr>
      <w:tr>
        <w:trPr>
          <w:trHeight w:val="28"/>
        </w:trPr>
        <w:tc>
          <w:tcPr>
            <w:tcW w:w="8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Its:</w:t>
            </w:r>
          </w:p>
        </w:tc>
        <w:tc>
          <w:tcPr>
            <w:tcW w:w="540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8"/>
        </w:trPr>
        <w:tc>
          <w:tcPr>
            <w:tcW w:w="800" w:type="dxa"/>
            <w:vAlign w:val="bottom"/>
            <w:vMerge w:val="continue"/>
          </w:tcPr>
          <w:p>
            <w:pPr>
              <w:spacing w:after="0"/>
              <w:rPr>
                <w:sz w:val="24"/>
                <w:szCs w:val="24"/>
                <w:color w:val="auto"/>
              </w:rPr>
            </w:pPr>
          </w:p>
        </w:tc>
        <w:tc>
          <w:tcPr>
            <w:tcW w:w="54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EVP and Chief Financial Officer</w:t>
            </w:r>
          </w:p>
        </w:tc>
        <w:tc>
          <w:tcPr>
            <w:tcW w:w="4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b w:val="1"/>
          <w:bCs w:val="1"/>
          <w:color w:val="auto"/>
        </w:rPr>
        <w:t>THE BOEING COMPANY</w:t>
      </w:r>
    </w:p>
    <w:p>
      <w:pPr>
        <w:spacing w:after="0" w:line="332"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 Irma L. Krueger</w:t>
            </w:r>
          </w:p>
        </w:tc>
      </w:tr>
      <w:tr>
        <w:trPr>
          <w:trHeight w:val="29"/>
        </w:trPr>
        <w:tc>
          <w:tcPr>
            <w:tcW w:w="8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r>
        <w:trPr>
          <w:trHeight w:val="545"/>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Its:</w:t>
            </w:r>
          </w:p>
        </w:tc>
        <w:tc>
          <w:tcPr>
            <w:tcW w:w="5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Attorney-in-Fact</w:t>
            </w:r>
          </w:p>
        </w:tc>
      </w:tr>
      <w:tr>
        <w:trPr>
          <w:trHeight w:val="29"/>
        </w:trPr>
        <w:tc>
          <w:tcPr>
            <w:tcW w:w="86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Accommodations Agreement for 737-***</w:t>
      </w:r>
    </w:p>
    <w:p>
      <w:pPr>
        <w:spacing w:after="0" w:line="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0920"/>
          </w:cols>
          <w:pgMar w:left="320" w:top="1440" w:right="659" w:bottom="1440" w:gutter="0" w:footer="0" w:header="0"/>
        </w:sectPr>
      </w:pPr>
    </w:p>
    <w:bookmarkStart w:id="46" w:name="page47"/>
    <w:bookmarkEnd w:id="46"/>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444444"/>
        </w:rPr>
        <w:t>Attachment 1</w:t>
      </w:r>
    </w:p>
    <w:p>
      <w:pPr>
        <w:spacing w:after="0" w:line="3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u w:val="single" w:color="auto"/>
          <w:color w:val="auto"/>
        </w:rPr>
        <w:t>Delivery Schedule including ***</w:t>
      </w:r>
    </w:p>
    <w:p>
      <w:pPr>
        <w:spacing w:after="0" w:line="23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u w:val="single" w:color="auto"/>
          <w:color w:val="444444"/>
        </w:rPr>
        <w:t>Table 1.1: *** Aircraft</w:t>
      </w:r>
    </w:p>
    <w:p>
      <w:pPr>
        <w:spacing w:after="0" w:line="33" w:lineRule="exact"/>
        <w:rPr>
          <w:sz w:val="20"/>
          <w:szCs w:val="20"/>
          <w:color w:val="auto"/>
        </w:rPr>
      </w:pPr>
    </w:p>
    <w:tbl>
      <w:tblPr>
        <w:tblLayout w:type="fixed"/>
        <w:tblInd w:w="910" w:type="dxa"/>
        <w:tblCellMar>
          <w:top w:w="0" w:type="dxa"/>
          <w:left w:w="0" w:type="dxa"/>
          <w:bottom w:w="0" w:type="dxa"/>
          <w:right w:w="0" w:type="dxa"/>
        </w:tblCellMar>
      </w:tblPr>
      <w:tr>
        <w:trPr>
          <w:trHeight w:val="231"/>
        </w:trPr>
        <w:tc>
          <w:tcPr>
            <w:tcW w:w="2080" w:type="dxa"/>
            <w:vAlign w:val="bottom"/>
            <w:tcBorders>
              <w:top w:val="single" w:sz="8" w:color="auto"/>
              <w:left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center"/>
              <w:ind w:left="124"/>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gridSpan w:val="5"/>
          </w:tcPr>
          <w:p>
            <w:pPr>
              <w:jc w:val="center"/>
              <w:ind w:left="365"/>
              <w:spacing w:after="0" w:line="202"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3"/>
          </w:tcPr>
          <w:p>
            <w:pPr>
              <w:jc w:val="center"/>
              <w:ind w:left="125"/>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gridSpan w:val="5"/>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520" w:type="dxa"/>
            <w:vAlign w:val="bottom"/>
            <w:tcBorders>
              <w:top w:val="single" w:sz="8" w:color="auto"/>
            </w:tcBorders>
            <w:gridSpan w:val="3"/>
          </w:tcPr>
          <w:p>
            <w:pPr>
              <w:ind w:left="240"/>
              <w:spacing w:after="0" w:line="202"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center"/>
              <w:ind w:left="345"/>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2080" w:type="dxa"/>
            <w:vAlign w:val="bottom"/>
            <w:tcBorders>
              <w:left w:val="single" w:sz="8" w:color="auto"/>
            </w:tcBorders>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80" w:type="dxa"/>
            <w:vAlign w:val="bottom"/>
            <w:tcBorders>
              <w:left w:val="single" w:sz="8" w:color="auto"/>
            </w:tcBorders>
          </w:tcPr>
          <w:p>
            <w:pPr>
              <w:jc w:val="right"/>
              <w:ind w:right="1598"/>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spacing w:after="0"/>
              <w:rPr>
                <w:sz w:val="24"/>
                <w:szCs w:val="24"/>
                <w:color w:val="auto"/>
              </w:rPr>
            </w:pPr>
          </w:p>
        </w:tc>
        <w:tc>
          <w:tcPr>
            <w:tcW w:w="540" w:type="dxa"/>
            <w:vAlign w:val="bottom"/>
            <w:gridSpan w:val="3"/>
          </w:tcPr>
          <w:p>
            <w:pPr>
              <w:jc w:val="center"/>
              <w:ind w:left="144"/>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6"/>
          </w:tcPr>
          <w:p>
            <w:pPr>
              <w:jc w:val="center"/>
              <w:ind w:left="125"/>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DBDBDB"/>
            </w:tcBorders>
            <w:gridSpan w:val="3"/>
            <w:shd w:val="clear" w:color="auto" w:fill="DBDBDB"/>
          </w:tcPr>
          <w:p>
            <w:pPr>
              <w:jc w:val="center"/>
              <w:ind w:left="145"/>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DBDBDB"/>
            </w:tcBorders>
            <w:shd w:val="clear" w:color="auto" w:fill="DBDBDB"/>
          </w:tcPr>
          <w:p>
            <w:pPr>
              <w:spacing w:after="0"/>
              <w:rPr>
                <w:sz w:val="24"/>
                <w:szCs w:val="24"/>
                <w:color w:val="auto"/>
              </w:rPr>
            </w:pPr>
          </w:p>
        </w:tc>
        <w:tc>
          <w:tcPr>
            <w:tcW w:w="580" w:type="dxa"/>
            <w:vAlign w:val="bottom"/>
            <w:tcBorders>
              <w:bottom w:val="single" w:sz="8" w:color="DBDBDB"/>
            </w:tcBorders>
            <w:gridSpan w:val="5"/>
            <w:shd w:val="clear" w:color="auto" w:fill="DBDBDB"/>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Borders>
              <w:bottom w:val="single" w:sz="8" w:color="DBDBDB"/>
            </w:tcBorders>
            <w:gridSpan w:val="4"/>
            <w:shd w:val="clear" w:color="auto" w:fill="DBDBDB"/>
          </w:tcPr>
          <w:p>
            <w:pPr>
              <w:ind w:left="220"/>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DBDBDB"/>
            </w:tcBorders>
            <w:shd w:val="clear" w:color="auto" w:fill="DBDBDB"/>
          </w:tcPr>
          <w:p>
            <w:pPr>
              <w:spacing w:after="0"/>
              <w:rPr>
                <w:sz w:val="24"/>
                <w:szCs w:val="24"/>
                <w:color w:val="auto"/>
              </w:rPr>
            </w:pPr>
          </w:p>
        </w:tc>
        <w:tc>
          <w:tcPr>
            <w:tcW w:w="400" w:type="dxa"/>
            <w:vAlign w:val="bottom"/>
            <w:tcBorders>
              <w:bottom w:val="single" w:sz="8" w:color="DBDBDB"/>
            </w:tcBorders>
            <w:gridSpan w:val="4"/>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right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20"/>
                <w:szCs w:val="20"/>
                <w:color w:val="auto"/>
                <w:w w:val="93"/>
              </w:rPr>
              <w:t>***</w:t>
            </w:r>
          </w:p>
        </w:tc>
        <w:tc>
          <w:tcPr>
            <w:tcW w:w="240" w:type="dxa"/>
            <w:vAlign w:val="bottom"/>
            <w:tcBorders>
              <w:bottom w:val="single" w:sz="8" w:color="DBDBDB"/>
            </w:tcBorders>
            <w:shd w:val="clear" w:color="auto" w:fill="DBDBDB"/>
          </w:tcPr>
          <w:p>
            <w:pPr>
              <w:spacing w:after="0"/>
              <w:rPr>
                <w:sz w:val="24"/>
                <w:szCs w:val="24"/>
                <w:color w:val="auto"/>
              </w:rPr>
            </w:pPr>
          </w:p>
        </w:tc>
        <w:tc>
          <w:tcPr>
            <w:tcW w:w="11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3"/>
              </w:rPr>
              <w:t>***</w:t>
            </w:r>
          </w:p>
        </w:tc>
        <w:tc>
          <w:tcPr>
            <w:tcW w:w="0" w:type="dxa"/>
            <w:vAlign w:val="bottom"/>
          </w:tcPr>
          <w:p>
            <w:pPr>
              <w:spacing w:after="0"/>
              <w:rPr>
                <w:sz w:val="1"/>
                <w:szCs w:val="1"/>
                <w:color w:val="auto"/>
              </w:rPr>
            </w:pPr>
          </w:p>
        </w:tc>
      </w:tr>
      <w:tr>
        <w:trPr>
          <w:trHeight w:val="250"/>
        </w:trPr>
        <w:tc>
          <w:tcPr>
            <w:tcW w:w="2080" w:type="dxa"/>
            <w:vAlign w:val="bottom"/>
            <w:tcBorders>
              <w:left w:val="single" w:sz="8" w:color="auto"/>
            </w:tcBorders>
          </w:tcPr>
          <w:p>
            <w:pPr>
              <w:jc w:val="right"/>
              <w:ind w:right="538"/>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spacing w:after="0"/>
              <w:rPr>
                <w:sz w:val="21"/>
                <w:szCs w:val="21"/>
                <w:color w:val="auto"/>
              </w:rPr>
            </w:pPr>
          </w:p>
        </w:tc>
        <w:tc>
          <w:tcPr>
            <w:tcW w:w="540" w:type="dxa"/>
            <w:vAlign w:val="bottom"/>
            <w:gridSpan w:val="3"/>
          </w:tcPr>
          <w:p>
            <w:pPr>
              <w:jc w:val="center"/>
              <w:ind w:left="144"/>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gridSpan w:val="6"/>
          </w:tcPr>
          <w:p>
            <w:pPr>
              <w:jc w:val="center"/>
              <w:ind w:left="125"/>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40" w:type="dxa"/>
            <w:vAlign w:val="bottom"/>
            <w:gridSpan w:val="3"/>
          </w:tcPr>
          <w:p>
            <w:pPr>
              <w:jc w:val="center"/>
              <w:ind w:left="145"/>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gridSpan w:val="5"/>
          </w:tcPr>
          <w:p>
            <w:pPr>
              <w:jc w:val="center"/>
              <w:ind w:right="240"/>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800" w:type="dxa"/>
            <w:vAlign w:val="bottom"/>
            <w:gridSpan w:val="4"/>
          </w:tcPr>
          <w:p>
            <w:pPr>
              <w:ind w:left="220"/>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1"/>
                <w:szCs w:val="21"/>
                <w:color w:val="auto"/>
              </w:rPr>
            </w:pPr>
          </w:p>
        </w:tc>
        <w:tc>
          <w:tcPr>
            <w:tcW w:w="4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460" w:type="dxa"/>
            <w:vAlign w:val="bottom"/>
          </w:tcPr>
          <w:p>
            <w:pPr>
              <w:spacing w:after="0"/>
              <w:rPr>
                <w:sz w:val="21"/>
                <w:szCs w:val="21"/>
                <w:color w:val="auto"/>
              </w:rPr>
            </w:pPr>
          </w:p>
        </w:tc>
        <w:tc>
          <w:tcPr>
            <w:tcW w:w="30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w w:val="93"/>
              </w:rPr>
              <w:t>***</w:t>
            </w:r>
          </w:p>
        </w:tc>
        <w:tc>
          <w:tcPr>
            <w:tcW w:w="240" w:type="dxa"/>
            <w:vAlign w:val="bottom"/>
          </w:tcPr>
          <w:p>
            <w:pPr>
              <w:spacing w:after="0"/>
              <w:rPr>
                <w:sz w:val="21"/>
                <w:szCs w:val="21"/>
                <w:color w:val="auto"/>
              </w:rPr>
            </w:pPr>
          </w:p>
        </w:tc>
        <w:tc>
          <w:tcPr>
            <w:tcW w:w="1180" w:type="dxa"/>
            <w:vAlign w:val="bottom"/>
            <w:tcBorders>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b w:val="1"/>
                <w:bCs w:val="1"/>
                <w:color w:val="auto"/>
                <w:w w:val="93"/>
              </w:rPr>
              <w:t>***</w:t>
            </w:r>
          </w:p>
        </w:tc>
        <w:tc>
          <w:tcPr>
            <w:tcW w:w="0" w:type="dxa"/>
            <w:vAlign w:val="bottom"/>
          </w:tcPr>
          <w:p>
            <w:pPr>
              <w:spacing w:after="0"/>
              <w:rPr>
                <w:sz w:val="1"/>
                <w:szCs w:val="1"/>
                <w:color w:val="auto"/>
              </w:rPr>
            </w:pPr>
          </w:p>
        </w:tc>
      </w:tr>
      <w:tr>
        <w:trPr>
          <w:trHeight w:val="41"/>
        </w:trPr>
        <w:tc>
          <w:tcPr>
            <w:tcW w:w="2080" w:type="dxa"/>
            <w:vAlign w:val="bottom"/>
            <w:tcBorders>
              <w:left w:val="single" w:sz="8" w:color="auto"/>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444444"/>
              </w:rPr>
              <w:t>Table 1.2: *** Aircraft</w:t>
            </w:r>
          </w:p>
        </w:tc>
        <w:tc>
          <w:tcPr>
            <w:tcW w:w="240" w:type="dxa"/>
            <w:vAlign w:val="bottom"/>
          </w:tcPr>
          <w:p>
            <w:pPr>
              <w:spacing w:after="0"/>
              <w:rPr>
                <w:sz w:val="24"/>
                <w:szCs w:val="24"/>
                <w:color w:val="auto"/>
              </w:rPr>
            </w:pPr>
          </w:p>
        </w:tc>
        <w:tc>
          <w:tcPr>
            <w:tcW w:w="3740" w:type="dxa"/>
            <w:vAlign w:val="bottom"/>
            <w:gridSpan w:val="23"/>
          </w:tcPr>
          <w:p>
            <w:pPr>
              <w:ind w:left="140"/>
              <w:spacing w:after="0"/>
              <w:rPr>
                <w:sz w:val="20"/>
                <w:szCs w:val="20"/>
                <w:color w:val="auto"/>
              </w:rPr>
            </w:pPr>
            <w:r>
              <w:rPr>
                <w:rFonts w:ascii="Times New Roman" w:cs="Times New Roman" w:eastAsia="Times New Roman" w:hAnsi="Times New Roman"/>
                <w:sz w:val="20"/>
                <w:szCs w:val="20"/>
                <w:color w:val="808080"/>
              </w:rPr>
              <w:t>*- *** details provided on next page for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5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Borders>
              <w:top w:val="single" w:sz="8" w:color="808080"/>
            </w:tcBorders>
          </w:tcPr>
          <w:p>
            <w:pPr>
              <w:spacing w:after="0"/>
              <w:rPr>
                <w:sz w:val="20"/>
                <w:szCs w:val="20"/>
                <w:color w:val="auto"/>
              </w:rPr>
            </w:pPr>
          </w:p>
        </w:tc>
        <w:tc>
          <w:tcPr>
            <w:tcW w:w="22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240" w:type="dxa"/>
            <w:vAlign w:val="bottom"/>
            <w:tcBorders>
              <w:top w:val="single" w:sz="8" w:color="808080"/>
            </w:tcBorders>
          </w:tcPr>
          <w:p>
            <w:pPr>
              <w:spacing w:after="0"/>
              <w:rPr>
                <w:sz w:val="20"/>
                <w:szCs w:val="20"/>
                <w:color w:val="auto"/>
              </w:rPr>
            </w:pPr>
          </w:p>
        </w:tc>
        <w:tc>
          <w:tcPr>
            <w:tcW w:w="260" w:type="dxa"/>
            <w:vAlign w:val="bottom"/>
            <w:tcBorders>
              <w:top w:val="single" w:sz="8" w:color="808080"/>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80" w:type="dxa"/>
            <w:vAlign w:val="bottom"/>
            <w:tcBorders>
              <w:top w:val="single" w:sz="8" w:color="444444"/>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gridSpan w:val="3"/>
          </w:tcPr>
          <w:p>
            <w:pPr>
              <w:jc w:val="center"/>
              <w:ind w:left="124"/>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5"/>
          </w:tcPr>
          <w:p>
            <w:pPr>
              <w:jc w:val="center"/>
              <w:ind w:left="365"/>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40" w:type="dxa"/>
            <w:vAlign w:val="bottom"/>
          </w:tcPr>
          <w:p>
            <w:pPr>
              <w:spacing w:after="0"/>
              <w:rPr>
                <w:sz w:val="17"/>
                <w:szCs w:val="17"/>
                <w:color w:val="auto"/>
              </w:rPr>
            </w:pPr>
          </w:p>
        </w:tc>
        <w:tc>
          <w:tcPr>
            <w:tcW w:w="540" w:type="dxa"/>
            <w:vAlign w:val="bottom"/>
            <w:gridSpan w:val="3"/>
          </w:tcPr>
          <w:p>
            <w:pPr>
              <w:jc w:val="center"/>
              <w:ind w:left="12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60" w:type="dxa"/>
            <w:vAlign w:val="bottom"/>
          </w:tcPr>
          <w:p>
            <w:pPr>
              <w:spacing w:after="0"/>
              <w:rPr>
                <w:sz w:val="17"/>
                <w:szCs w:val="17"/>
                <w:color w:val="auto"/>
              </w:rPr>
            </w:pPr>
          </w:p>
        </w:tc>
        <w:tc>
          <w:tcPr>
            <w:tcW w:w="50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720" w:type="dxa"/>
            <w:vAlign w:val="bottom"/>
            <w:gridSpan w:val="2"/>
          </w:tcPr>
          <w:p>
            <w:pPr>
              <w:jc w:val="center"/>
              <w:ind w:left="34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80" w:type="dxa"/>
            <w:vAlign w:val="bottom"/>
            <w:tcBorders>
              <w:lef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80" w:type="dxa"/>
            <w:vAlign w:val="bottom"/>
            <w:tcBorders>
              <w:left w:val="single" w:sz="8" w:color="auto"/>
            </w:tcBorders>
          </w:tcPr>
          <w:p>
            <w:pPr>
              <w:jc w:val="right"/>
              <w:ind w:right="1598"/>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spacing w:after="0"/>
              <w:rPr>
                <w:sz w:val="24"/>
                <w:szCs w:val="24"/>
                <w:color w:val="auto"/>
              </w:rPr>
            </w:pPr>
          </w:p>
        </w:tc>
        <w:tc>
          <w:tcPr>
            <w:tcW w:w="540" w:type="dxa"/>
            <w:vAlign w:val="bottom"/>
            <w:tcBorders>
              <w:bottom w:val="single" w:sz="8" w:color="DBDBDB"/>
            </w:tcBorders>
            <w:gridSpan w:val="3"/>
            <w:shd w:val="clear" w:color="auto" w:fill="DBDBDB"/>
          </w:tcPr>
          <w:p>
            <w:pPr>
              <w:jc w:val="center"/>
              <w:ind w:left="144"/>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DBDBDB"/>
            </w:tcBorders>
            <w:gridSpan w:val="6"/>
            <w:shd w:val="clear" w:color="auto" w:fill="DBDBDB"/>
          </w:tcPr>
          <w:p>
            <w:pPr>
              <w:jc w:val="center"/>
              <w:ind w:left="125"/>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DBDBDB"/>
            </w:tcBorders>
            <w:gridSpan w:val="3"/>
            <w:shd w:val="clear" w:color="auto" w:fill="DBDBDB"/>
          </w:tcPr>
          <w:p>
            <w:pPr>
              <w:jc w:val="center"/>
              <w:ind w:left="145"/>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DBDBDB"/>
            </w:tcBorders>
            <w:shd w:val="clear" w:color="auto" w:fill="DBDBDB"/>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5"/>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52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w w:val="93"/>
              </w:rPr>
              <w:t>***</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5"/>
          </w:tcPr>
          <w:p>
            <w:pPr>
              <w:jc w:val="right"/>
              <w:ind w:right="46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w:t>
            </w:r>
          </w:p>
        </w:tc>
        <w:tc>
          <w:tcPr>
            <w:tcW w:w="240" w:type="dxa"/>
            <w:vAlign w:val="bottom"/>
          </w:tcPr>
          <w:p>
            <w:pPr>
              <w:spacing w:after="0"/>
              <w:rPr>
                <w:sz w:val="24"/>
                <w:szCs w:val="24"/>
                <w:color w:val="auto"/>
              </w:rPr>
            </w:pPr>
          </w:p>
        </w:tc>
        <w:tc>
          <w:tcPr>
            <w:tcW w:w="11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3"/>
              </w:rPr>
              <w:t>***</w:t>
            </w:r>
          </w:p>
        </w:tc>
        <w:tc>
          <w:tcPr>
            <w:tcW w:w="0" w:type="dxa"/>
            <w:vAlign w:val="bottom"/>
          </w:tcPr>
          <w:p>
            <w:pPr>
              <w:spacing w:after="0"/>
              <w:rPr>
                <w:sz w:val="1"/>
                <w:szCs w:val="1"/>
                <w:color w:val="auto"/>
              </w:rPr>
            </w:pPr>
          </w:p>
        </w:tc>
      </w:tr>
      <w:tr>
        <w:trPr>
          <w:trHeight w:val="547"/>
        </w:trPr>
        <w:tc>
          <w:tcPr>
            <w:tcW w:w="2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b w:val="1"/>
                <w:bCs w:val="1"/>
                <w:color w:val="444444"/>
              </w:rPr>
              <w:t>Table 1.3: *** Aircraft</w:t>
            </w: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80" w:type="dxa"/>
            <w:vAlign w:val="bottom"/>
            <w:tcBorders>
              <w:top w:val="single" w:sz="8" w:color="444444"/>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gridSpan w:val="5"/>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4"/>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3"/>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760" w:type="dxa"/>
            <w:vAlign w:val="bottom"/>
            <w:gridSpan w:val="5"/>
          </w:tcPr>
          <w:p>
            <w:pPr>
              <w:jc w:val="center"/>
              <w:ind w:left="365"/>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40" w:type="dxa"/>
            <w:vAlign w:val="bottom"/>
          </w:tcPr>
          <w:p>
            <w:pPr>
              <w:spacing w:after="0"/>
              <w:rPr>
                <w:sz w:val="17"/>
                <w:szCs w:val="17"/>
                <w:color w:val="auto"/>
              </w:rPr>
            </w:pPr>
          </w:p>
        </w:tc>
        <w:tc>
          <w:tcPr>
            <w:tcW w:w="540" w:type="dxa"/>
            <w:vAlign w:val="bottom"/>
            <w:gridSpan w:val="3"/>
          </w:tcPr>
          <w:p>
            <w:pPr>
              <w:jc w:val="center"/>
              <w:ind w:left="12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60" w:type="dxa"/>
            <w:vAlign w:val="bottom"/>
          </w:tcPr>
          <w:p>
            <w:pPr>
              <w:spacing w:after="0"/>
              <w:rPr>
                <w:sz w:val="17"/>
                <w:szCs w:val="17"/>
                <w:color w:val="auto"/>
              </w:rPr>
            </w:pPr>
          </w:p>
        </w:tc>
        <w:tc>
          <w:tcPr>
            <w:tcW w:w="50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b w:val="1"/>
                <w:bCs w:val="1"/>
                <w:color w:val="auto"/>
                <w:w w:val="96"/>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7"/>
                <w:szCs w:val="17"/>
                <w:color w:val="auto"/>
              </w:rPr>
            </w:pP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720" w:type="dxa"/>
            <w:vAlign w:val="bottom"/>
            <w:gridSpan w:val="2"/>
          </w:tcPr>
          <w:p>
            <w:pPr>
              <w:jc w:val="center"/>
              <w:ind w:left="345"/>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Borders>
              <w:lef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080" w:type="dxa"/>
            <w:vAlign w:val="bottom"/>
            <w:tcBorders>
              <w:left w:val="single" w:sz="8" w:color="auto"/>
            </w:tcBorders>
            <w:vMerge w:val="restart"/>
          </w:tcPr>
          <w:p>
            <w:pPr>
              <w:jc w:val="right"/>
              <w:ind w:right="1598"/>
              <w:spacing w:after="0"/>
              <w:rPr>
                <w:sz w:val="20"/>
                <w:szCs w:val="20"/>
                <w:color w:val="auto"/>
              </w:rPr>
            </w:pPr>
            <w:r>
              <w:rPr>
                <w:rFonts w:ascii="Times New Roman" w:cs="Times New Roman" w:eastAsia="Times New Roman" w:hAnsi="Times New Roman"/>
                <w:sz w:val="20"/>
                <w:szCs w:val="20"/>
                <w:b w:val="1"/>
                <w:bCs w:val="1"/>
                <w:color w:val="auto"/>
              </w:rPr>
              <w:t>***</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8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3"/>
              </w:rPr>
              <w:t>***</w:t>
            </w:r>
          </w:p>
        </w:tc>
        <w:tc>
          <w:tcPr>
            <w:tcW w:w="0" w:type="dxa"/>
            <w:vAlign w:val="bottom"/>
          </w:tcPr>
          <w:p>
            <w:pPr>
              <w:spacing w:after="0"/>
              <w:rPr>
                <w:sz w:val="1"/>
                <w:szCs w:val="1"/>
                <w:color w:val="auto"/>
              </w:rPr>
            </w:pPr>
          </w:p>
        </w:tc>
      </w:tr>
      <w:tr>
        <w:trPr>
          <w:trHeight w:val="310"/>
        </w:trPr>
        <w:tc>
          <w:tcPr>
            <w:tcW w:w="2080" w:type="dxa"/>
            <w:vAlign w:val="bottom"/>
            <w:tcBorders>
              <w:left w:val="single" w:sz="8" w:color="auto"/>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shd w:val="clear" w:color="auto" w:fill="DBDBDB"/>
          </w:tcPr>
          <w:p>
            <w:pPr>
              <w:jc w:val="center"/>
              <w:ind w:left="144"/>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tcBorders>
              <w:bottom w:val="single" w:sz="8" w:color="auto"/>
            </w:tcBorders>
            <w:gridSpan w:val="6"/>
            <w:shd w:val="clear" w:color="auto" w:fill="DBDBDB"/>
          </w:tcPr>
          <w:p>
            <w:pPr>
              <w:jc w:val="center"/>
              <w:ind w:left="125"/>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bottom w:val="single" w:sz="8" w:color="auto"/>
            </w:tcBorders>
            <w:gridSpan w:val="3"/>
          </w:tcPr>
          <w:p>
            <w:pPr>
              <w:jc w:val="center"/>
              <w:ind w:left="145"/>
              <w:spacing w:after="0" w:line="209"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5"/>
            <w:vMerge w:val="continue"/>
          </w:tcPr>
          <w:p>
            <w:pPr>
              <w:spacing w:after="0"/>
              <w:rPr>
                <w:sz w:val="24"/>
                <w:szCs w:val="24"/>
                <w:color w:val="auto"/>
              </w:rPr>
            </w:pPr>
          </w:p>
        </w:tc>
        <w:tc>
          <w:tcPr>
            <w:tcW w:w="520" w:type="dxa"/>
            <w:vAlign w:val="bottom"/>
            <w:tcBorders>
              <w:bottom w:val="single" w:sz="8" w:color="auto"/>
            </w:tcBorders>
            <w:gridSpan w:val="3"/>
          </w:tcPr>
          <w:p>
            <w:pPr>
              <w:ind w:left="220"/>
              <w:spacing w:after="0" w:line="209" w:lineRule="exact"/>
              <w:rPr>
                <w:sz w:val="20"/>
                <w:szCs w:val="20"/>
                <w:color w:val="auto"/>
              </w:rPr>
            </w:pPr>
            <w:r>
              <w:rPr>
                <w:rFonts w:ascii="Times New Roman" w:cs="Times New Roman" w:eastAsia="Times New Roman" w:hAnsi="Times New Roman"/>
                <w:sz w:val="20"/>
                <w:szCs w:val="20"/>
                <w:color w:val="auto"/>
                <w:w w:val="93"/>
              </w:rPr>
              <w:t>***</w:t>
            </w: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5"/>
          </w:tcPr>
          <w:p>
            <w:pPr>
              <w:jc w:val="right"/>
              <w:ind w:right="460"/>
              <w:spacing w:after="0" w:line="209" w:lineRule="exact"/>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auto"/>
            </w:tcBorders>
            <w:gridSpan w:val="2"/>
          </w:tcPr>
          <w:p>
            <w:pPr>
              <w:jc w:val="right"/>
              <w:spacing w:after="0" w:line="209" w:lineRule="exact"/>
              <w:rPr>
                <w:sz w:val="20"/>
                <w:szCs w:val="20"/>
                <w:color w:val="auto"/>
              </w:rPr>
            </w:pPr>
            <w:r>
              <w:rPr>
                <w:rFonts w:ascii="Times New Roman" w:cs="Times New Roman" w:eastAsia="Times New Roman" w:hAnsi="Times New Roman"/>
                <w:sz w:val="20"/>
                <w:szCs w:val="20"/>
                <w:color w:val="auto"/>
                <w:w w:val="93"/>
              </w:rPr>
              <w:t>***</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-1756410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-1739265</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-1722120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-1704975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-1687830</wp:posOffset>
            </wp:positionV>
            <wp:extent cx="82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-1670685</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-1653540</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-1636395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-1619250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-1602105</wp:posOffset>
            </wp:positionV>
            <wp:extent cx="82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-1584960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-1756410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-1739265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-1722120</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-1704975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-1687830</wp:posOffset>
            </wp:positionV>
            <wp:extent cx="88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-1670685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-1653540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-1636395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-1619250</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-1602105</wp:posOffset>
            </wp:positionV>
            <wp:extent cx="8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-1584960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-1756410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-1739265</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-1722120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-1704975</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-1687830</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-1670685</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-1653540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-1636395</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-1619250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-1602105</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-1584960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-1756410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-1739265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-1722120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-1704975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-1687830</wp:posOffset>
            </wp:positionV>
            <wp:extent cx="82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-1670685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-1653540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-1636395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-1619250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-1602105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-1584960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-1756410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-1739265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-1722120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-1704975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-1687830</wp:posOffset>
            </wp:positionV>
            <wp:extent cx="88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-1670685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-1653540</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-1636395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-1619250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-1602105</wp:posOffset>
            </wp:positionV>
            <wp:extent cx="88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-1584960</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-1756410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-1739265</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-1722120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-1704975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-1687830</wp:posOffset>
            </wp:positionV>
            <wp:extent cx="82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-1670685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-1653540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-1636395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-1619250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-1602105</wp:posOffset>
            </wp:positionV>
            <wp:extent cx="82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-1584960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-1756410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-1739265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-1722120</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-1704975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-1687830</wp:posOffset>
            </wp:positionV>
            <wp:extent cx="8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-1670685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-1653540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-1636395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-1619250</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-1602105</wp:posOffset>
            </wp:positionV>
            <wp:extent cx="88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-1584960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-1756410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-1739265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-1722120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-1704975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-1687830</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-1670685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-1653540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-1636395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-1619250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-1602105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-1584960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-1773555</wp:posOffset>
            </wp:positionV>
            <wp:extent cx="825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-1773555</wp:posOffset>
            </wp:positionV>
            <wp:extent cx="825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-1773555</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-1773555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-1773555</wp:posOffset>
            </wp:positionV>
            <wp:extent cx="825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-1773555</wp:posOffset>
            </wp:positionV>
            <wp:extent cx="825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-1773555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-1773555</wp:posOffset>
            </wp:positionV>
            <wp:extent cx="889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-1773555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-1773555</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-1773555</wp:posOffset>
            </wp:positionV>
            <wp:extent cx="825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-1773555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-1773555</wp:posOffset>
            </wp:positionV>
            <wp:extent cx="88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-1773555</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-1773555</wp:posOffset>
            </wp:positionV>
            <wp:extent cx="825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-1773555</wp:posOffset>
            </wp:positionV>
            <wp:extent cx="825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-1773555</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-1773555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-1773555</wp:posOffset>
            </wp:positionV>
            <wp:extent cx="825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-1773555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-1773555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-1773555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-1773555</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-1773555</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-1773555</wp:posOffset>
            </wp:positionV>
            <wp:extent cx="8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-1773555</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-1773555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-1773555</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-1773555</wp:posOffset>
            </wp:positionV>
            <wp:extent cx="8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-1773555</wp:posOffset>
            </wp:positionV>
            <wp:extent cx="8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-1773555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-1773555</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-1773555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-1773555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-1773555</wp:posOffset>
            </wp:positionV>
            <wp:extent cx="8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-1773555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-1773555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-1773555</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-1773555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-1773555</wp:posOffset>
            </wp:positionV>
            <wp:extent cx="825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-1773555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-1773555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-2150745</wp:posOffset>
            </wp:positionV>
            <wp:extent cx="5777865" cy="3860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5777865" cy="38608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-976630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-959485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-942340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-925195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-908050</wp:posOffset>
            </wp:positionV>
            <wp:extent cx="825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-890905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-873760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-856615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-839470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-822325</wp:posOffset>
            </wp:positionV>
            <wp:extent cx="825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-805180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-976630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-959485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-942340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-925195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-908050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-890905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-873760</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-856615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-839470</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-822325</wp:posOffset>
            </wp:positionV>
            <wp:extent cx="88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-805180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-976630</wp:posOffset>
            </wp:positionV>
            <wp:extent cx="8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-959485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-942340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-925195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-908050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-890905</wp:posOffset>
            </wp:positionV>
            <wp:extent cx="8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-873760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-856615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-839470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-822325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-805180</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-976630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-959485</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-942340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-925195</wp:posOffset>
            </wp:positionV>
            <wp:extent cx="8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-908050</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-890905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-873760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-856615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-839470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-822325</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-805180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-976630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-959485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-942340</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-925195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-908050</wp:posOffset>
            </wp:positionV>
            <wp:extent cx="889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-890905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-873760</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-856615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-839470</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-822325</wp:posOffset>
            </wp:positionV>
            <wp:extent cx="889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-805180</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-976630</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-959485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-942340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-925195</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-908050</wp:posOffset>
            </wp:positionV>
            <wp:extent cx="82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-890905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-873760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-856615</wp:posOffset>
            </wp:positionV>
            <wp:extent cx="8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-839470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-822325</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-805180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-976630</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-959485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-942340</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-925195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-908050</wp:posOffset>
            </wp:positionV>
            <wp:extent cx="88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-890905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-873760</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-856615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-839470</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-822325</wp:posOffset>
            </wp:positionV>
            <wp:extent cx="88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-805180</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-976630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-959485</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-942340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-925195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-908050</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-890905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-873760</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-856615</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-839470</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-822325</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-805180</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-993775</wp:posOffset>
            </wp:positionV>
            <wp:extent cx="825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-993775</wp:posOffset>
            </wp:positionV>
            <wp:extent cx="82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-993775</wp:posOffset>
            </wp:positionV>
            <wp:extent cx="88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-993775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-993775</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-993775</wp:posOffset>
            </wp:positionV>
            <wp:extent cx="82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-993775</wp:posOffset>
            </wp:positionV>
            <wp:extent cx="889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-993775</wp:posOffset>
            </wp:positionV>
            <wp:extent cx="88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-993775</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-993775</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-993775</wp:posOffset>
            </wp:positionV>
            <wp:extent cx="825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-993775</wp:posOffset>
            </wp:positionV>
            <wp:extent cx="88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-993775</wp:posOffset>
            </wp:positionV>
            <wp:extent cx="88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-993775</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-993775</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-993775</wp:posOffset>
            </wp:positionV>
            <wp:extent cx="825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-993775</wp:posOffset>
            </wp:positionV>
            <wp:extent cx="88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-993775</wp:posOffset>
            </wp:positionV>
            <wp:extent cx="88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-993775</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-993775</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-993775</wp:posOffset>
            </wp:positionV>
            <wp:extent cx="8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-993775</wp:posOffset>
            </wp:positionV>
            <wp:extent cx="88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-993775</wp:posOffset>
            </wp:positionV>
            <wp:extent cx="88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-993775</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-993775</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-993775</wp:posOffset>
            </wp:positionV>
            <wp:extent cx="88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-993775</wp:posOffset>
            </wp:positionV>
            <wp:extent cx="88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-993775</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-993775</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-993775</wp:posOffset>
            </wp:positionV>
            <wp:extent cx="825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-993775</wp:posOffset>
            </wp:positionV>
            <wp:extent cx="88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-993775</wp:posOffset>
            </wp:positionV>
            <wp:extent cx="889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-993775</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-993775</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-993775</wp:posOffset>
            </wp:positionV>
            <wp:extent cx="825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-993775</wp:posOffset>
            </wp:positionV>
            <wp:extent cx="889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-993775</wp:posOffset>
            </wp:positionV>
            <wp:extent cx="88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-993775</wp:posOffset>
            </wp:positionV>
            <wp:extent cx="8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-993775</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-993775</wp:posOffset>
            </wp:positionV>
            <wp:extent cx="82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-993775</wp:posOffset>
            </wp:positionV>
            <wp:extent cx="82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-1173480</wp:posOffset>
            </wp:positionV>
            <wp:extent cx="505777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5057775"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-170815</wp:posOffset>
            </wp:positionV>
            <wp:extent cx="82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-153670</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-136525</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-119380</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-102235</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-85090</wp:posOffset>
            </wp:positionV>
            <wp:extent cx="825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-67945</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-50800</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-33655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-16510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889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-153670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-136525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-119380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-102235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-85090</wp:posOffset>
            </wp:positionV>
            <wp:extent cx="889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-67945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-50800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-33655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-16510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825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-153670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-136525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-119380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-102235</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-85090</wp:posOffset>
            </wp:positionV>
            <wp:extent cx="82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-67945</wp:posOffset>
            </wp:positionV>
            <wp:extent cx="8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-50800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-33655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-16510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-187960</wp:posOffset>
            </wp:positionV>
            <wp:extent cx="8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-170815</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-153670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-136525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-102235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-85090</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-67945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-50800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-33655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-16510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-187960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-170815</wp:posOffset>
            </wp:positionV>
            <wp:extent cx="889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-153670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-136525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-119380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-102235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-85090</wp:posOffset>
            </wp:positionV>
            <wp:extent cx="88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-67945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-50800</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-33655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-16510</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-187960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-170815</wp:posOffset>
            </wp:positionV>
            <wp:extent cx="825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-153670</wp:posOffset>
            </wp:positionV>
            <wp:extent cx="8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-136525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-119380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-102235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-85090</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-67945</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-50800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-33655</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-16510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-187960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-170815</wp:posOffset>
            </wp:positionV>
            <wp:extent cx="88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-153670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-136525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-119380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-102235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-85090</wp:posOffset>
            </wp:positionV>
            <wp:extent cx="88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-67945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-50800</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-33655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-16510</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-187960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-170815</wp:posOffset>
            </wp:positionV>
            <wp:extent cx="825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-153670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-136525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-119380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-102235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-85090</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-67945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-50800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-33655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-16510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-205105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-205105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-205105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-205105</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-205105</wp:posOffset>
            </wp:positionV>
            <wp:extent cx="8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-205105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-205105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-205105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-205105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-205105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-205105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-205105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-205105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-205105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-205105</wp:posOffset>
            </wp:positionV>
            <wp:extent cx="8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-205105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-205105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-205105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-205105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-205105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-205105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-205105</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-205105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-205105</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-205105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-205105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-205105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-205105</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-205105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-205105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-205105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-205105</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-205105</wp:posOffset>
            </wp:positionV>
            <wp:extent cx="8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-205105</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-205105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-205105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-205105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-205105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-205105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-205105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-384810</wp:posOffset>
            </wp:positionV>
            <wp:extent cx="5057775" cy="1885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5057775" cy="18859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300355</wp:posOffset>
            </wp:positionV>
            <wp:extent cx="5803265" cy="9861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5803265" cy="986155"/>
                    </a:xfrm>
                    <a:prstGeom prst="rect">
                      <a:avLst/>
                    </a:prstGeom>
                    <a:noFill/>
                  </pic:spPr>
                </pic:pic>
              </a:graphicData>
            </a:graphic>
          </wp:anchor>
        </w:drawing>
      </w:r>
    </w:p>
    <w:p>
      <w:pPr>
        <w:sectPr>
          <w:pgSz w:w="11900" w:h="16838" w:orient="portrait"/>
          <w:cols w:equalWidth="0" w:num="1">
            <w:col w:w="10139"/>
          </w:cols>
          <w:pgMar w:left="320" w:top="1094" w:right="1440" w:bottom="857" w:gutter="0" w:footer="0" w:header="0"/>
        </w:sectPr>
      </w:pPr>
    </w:p>
    <w:p>
      <w:pPr>
        <w:spacing w:after="0" w:line="200" w:lineRule="exact"/>
        <w:rPr>
          <w:sz w:val="20"/>
          <w:szCs w:val="20"/>
          <w:color w:val="auto"/>
        </w:rPr>
      </w:pPr>
    </w:p>
    <w:p>
      <w:pPr>
        <w:spacing w:after="0" w:line="2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b w:val="1"/>
          <w:bCs w:val="1"/>
          <w:u w:val="single" w:color="auto"/>
          <w:color w:val="444444"/>
        </w:rPr>
        <w:t>Summary for Tables 1.1, 1.2</w:t>
      </w:r>
    </w:p>
    <w:p>
      <w:pPr>
        <w:spacing w:after="0" w:line="10" w:lineRule="exact"/>
        <w:rPr>
          <w:sz w:val="20"/>
          <w:szCs w:val="20"/>
          <w:color w:val="auto"/>
        </w:rPr>
      </w:pPr>
    </w:p>
    <w:p>
      <w:pPr>
        <w:ind w:left="1180" w:hanging="204"/>
        <w:spacing w:after="0"/>
        <w:tabs>
          <w:tab w:leader="none" w:pos="1180" w:val="left"/>
        </w:tabs>
        <w:numPr>
          <w:ilvl w:val="0"/>
          <w:numId w:val="33"/>
        </w:numPr>
        <w:rPr>
          <w:rFonts w:ascii="Times New Roman" w:cs="Times New Roman" w:eastAsia="Times New Roman" w:hAnsi="Times New Roman"/>
          <w:sz w:val="20"/>
          <w:szCs w:val="20"/>
          <w:b w:val="1"/>
          <w:bCs w:val="1"/>
          <w:u w:val="single" w:color="auto"/>
          <w:color w:val="444444"/>
        </w:rPr>
      </w:pPr>
      <w:r>
        <w:rPr>
          <w:rFonts w:ascii="Times New Roman" w:cs="Times New Roman" w:eastAsia="Times New Roman" w:hAnsi="Times New Roman"/>
          <w:sz w:val="20"/>
          <w:szCs w:val="20"/>
          <w:b w:val="1"/>
          <w:bCs w:val="1"/>
          <w:u w:val="single" w:color="auto"/>
          <w:color w:val="444444"/>
        </w:rPr>
        <w:t>1.3</w:t>
      </w:r>
    </w:p>
    <w:p>
      <w:pPr>
        <w:spacing w:after="0" w:line="6" w:lineRule="exact"/>
        <w:rPr>
          <w:rFonts w:ascii="Times New Roman" w:cs="Times New Roman" w:eastAsia="Times New Roman" w:hAnsi="Times New Roman"/>
          <w:sz w:val="20"/>
          <w:szCs w:val="20"/>
          <w:b w:val="1"/>
          <w:bCs w:val="1"/>
          <w:u w:val="single" w:color="auto"/>
          <w:color w:val="444444"/>
        </w:rPr>
      </w:pPr>
    </w:p>
    <w:p>
      <w:pPr>
        <w:ind w:left="980"/>
        <w:spacing w:after="0"/>
        <w:rPr>
          <w:rFonts w:ascii="Times New Roman" w:cs="Times New Roman" w:eastAsia="Times New Roman" w:hAnsi="Times New Roman"/>
          <w:sz w:val="20"/>
          <w:szCs w:val="20"/>
          <w:b w:val="1"/>
          <w:bCs w:val="1"/>
          <w:u w:val="single" w:color="auto"/>
          <w:color w:val="444444"/>
        </w:rPr>
      </w:pPr>
      <w:r>
        <w:rPr>
          <w:rFonts w:ascii="Times New Roman" w:cs="Times New Roman" w:eastAsia="Times New Roman" w:hAnsi="Times New Roman"/>
          <w:sz w:val="20"/>
          <w:szCs w:val="20"/>
          <w:u w:val="single" w:color="auto"/>
          <w:color w:val="auto"/>
        </w:rPr>
        <w:t>***</w:t>
      </w:r>
    </w:p>
    <w:p>
      <w:pPr>
        <w:spacing w:after="0" w:line="3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u w:val="single" w:color="auto"/>
          <w:color w:val="auto"/>
        </w:rPr>
        <w:t>***</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u w:val="single" w:color="auto"/>
          <w:color w:val="auto"/>
        </w:rPr>
        <w:t>***</w:t>
      </w:r>
    </w:p>
    <w:p>
      <w:pPr>
        <w:spacing w:after="0" w:line="3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b w:val="1"/>
          <w:bCs w:val="1"/>
          <w:u w:val="single" w:color="auto"/>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center"/>
              <w:ind w:left="38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220" w:type="dxa"/>
            <w:vAlign w:val="bottom"/>
          </w:tcPr>
          <w:p>
            <w:pPr>
              <w:spacing w:after="0"/>
              <w:rPr>
                <w:sz w:val="17"/>
                <w:szCs w:val="17"/>
                <w:color w:val="auto"/>
              </w:rPr>
            </w:pPr>
          </w:p>
        </w:tc>
        <w:tc>
          <w:tcPr>
            <w:tcW w:w="540" w:type="dxa"/>
            <w:vAlign w:val="bottom"/>
            <w:gridSpan w:val="2"/>
          </w:tcPr>
          <w:p>
            <w:pPr>
              <w:jc w:val="center"/>
              <w:ind w:left="164"/>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540" w:type="dxa"/>
            <w:vAlign w:val="bottom"/>
            <w:gridSpan w:val="2"/>
          </w:tcPr>
          <w:p>
            <w:pPr>
              <w:jc w:val="center"/>
              <w:ind w:left="14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760" w:type="dxa"/>
            <w:vAlign w:val="bottom"/>
            <w:gridSpan w:val="2"/>
          </w:tcPr>
          <w:p>
            <w:pPr>
              <w:jc w:val="center"/>
              <w:ind w:left="383"/>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7"/>
                <w:szCs w:val="17"/>
                <w:color w:val="auto"/>
              </w:rPr>
            </w:pPr>
          </w:p>
        </w:tc>
        <w:tc>
          <w:tcPr>
            <w:tcW w:w="540" w:type="dxa"/>
            <w:vAlign w:val="bottom"/>
            <w:gridSpan w:val="2"/>
          </w:tcPr>
          <w:p>
            <w:pPr>
              <w:jc w:val="center"/>
              <w:ind w:left="14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760" w:type="dxa"/>
            <w:vAlign w:val="bottom"/>
            <w:gridSpan w:val="2"/>
          </w:tcPr>
          <w:p>
            <w:pPr>
              <w:jc w:val="center"/>
              <w:ind w:left="36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240" w:type="dxa"/>
            <w:vAlign w:val="bottom"/>
          </w:tcPr>
          <w:p>
            <w:pPr>
              <w:spacing w:after="0"/>
              <w:rPr>
                <w:sz w:val="17"/>
                <w:szCs w:val="17"/>
                <w:color w:val="auto"/>
              </w:rPr>
            </w:pPr>
          </w:p>
        </w:tc>
        <w:tc>
          <w:tcPr>
            <w:tcW w:w="7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0" w:type="dxa"/>
            <w:vAlign w:val="bottom"/>
          </w:tcPr>
          <w:p>
            <w:pPr>
              <w:spacing w:after="0"/>
              <w:rPr>
                <w:sz w:val="1"/>
                <w:szCs w:val="1"/>
                <w:color w:val="auto"/>
              </w:rPr>
            </w:pPr>
          </w:p>
        </w:tc>
      </w:tr>
      <w:tr>
        <w:trPr>
          <w:trHeight w:val="88"/>
        </w:trPr>
        <w:tc>
          <w:tcPr>
            <w:tcW w:w="24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3"/>
              </w:rPr>
              <w:t>***</w:t>
            </w:r>
          </w:p>
        </w:tc>
        <w:tc>
          <w:tcPr>
            <w:tcW w:w="780" w:type="dxa"/>
            <w:vAlign w:val="bottom"/>
            <w:gridSpan w:val="2"/>
            <w:vMerge w:val="restart"/>
          </w:tcPr>
          <w:p>
            <w:pPr>
              <w:jc w:val="center"/>
              <w:ind w:left="383"/>
              <w:spacing w:after="0"/>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shd w:val="clear" w:color="auto" w:fill="DBDBDB"/>
          </w:tcPr>
          <w:p>
            <w:pPr>
              <w:jc w:val="center"/>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right w:val="single" w:sz="8" w:color="DBDBDB"/>
            </w:tcBorders>
            <w:gridSpan w:val="2"/>
            <w:shd w:val="clear" w:color="auto" w:fill="DBDBDB"/>
          </w:tcPr>
          <w:p>
            <w:pPr>
              <w:jc w:val="center"/>
              <w:ind w:left="143"/>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3"/>
            <w:shd w:val="clear" w:color="auto" w:fill="DBDBDB"/>
          </w:tcPr>
          <w:p>
            <w:pPr>
              <w:jc w:val="center"/>
              <w:ind w:left="123"/>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tcBorders>
              <w:right w:val="single" w:sz="8" w:color="DBDBDB"/>
            </w:tcBorders>
            <w:gridSpan w:val="2"/>
            <w:shd w:val="clear" w:color="auto" w:fill="DBDBDB"/>
          </w:tcPr>
          <w:p>
            <w:pPr>
              <w:jc w:val="center"/>
              <w:ind w:left="143"/>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3"/>
            <w:shd w:val="clear" w:color="auto" w:fill="DBDBDB"/>
          </w:tcPr>
          <w:p>
            <w:pPr>
              <w:jc w:val="center"/>
              <w:ind w:left="123"/>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tcBorders>
            <w:shd w:val="clear" w:color="auto" w:fill="000000"/>
          </w:tcPr>
          <w:p>
            <w:pPr>
              <w:spacing w:after="0"/>
              <w:rPr>
                <w:sz w:val="2"/>
                <w:szCs w:val="2"/>
                <w:color w:val="auto"/>
              </w:rPr>
            </w:pPr>
          </w:p>
        </w:tc>
        <w:tc>
          <w:tcPr>
            <w:tcW w:w="240" w:type="dxa"/>
            <w:vAlign w:val="bottom"/>
            <w:tcBorders>
              <w:bottom w:val="single" w:sz="8" w:color="DBDBDB"/>
            </w:tcBorders>
            <w:shd w:val="clear" w:color="auto" w:fill="DBDBDB"/>
          </w:tcPr>
          <w:p>
            <w:pPr>
              <w:spacing w:after="0"/>
              <w:rPr>
                <w:sz w:val="2"/>
                <w:szCs w:val="2"/>
                <w:color w:val="auto"/>
              </w:rPr>
            </w:pPr>
          </w:p>
        </w:tc>
        <w:tc>
          <w:tcPr>
            <w:tcW w:w="26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right w:val="single" w:sz="8" w:color="auto"/>
            </w:tcBorders>
            <w:shd w:val="clear" w:color="auto" w:fill="000000"/>
          </w:tcPr>
          <w:p>
            <w:pPr>
              <w:spacing w:after="0"/>
              <w:rPr>
                <w:sz w:val="2"/>
                <w:szCs w:val="2"/>
                <w:color w:val="auto"/>
              </w:rPr>
            </w:pPr>
          </w:p>
        </w:tc>
        <w:tc>
          <w:tcPr>
            <w:tcW w:w="48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tcBorders>
            <w:shd w:val="clear" w:color="auto" w:fill="000000"/>
          </w:tcPr>
          <w:p>
            <w:pPr>
              <w:spacing w:after="0"/>
              <w:rPr>
                <w:sz w:val="2"/>
                <w:szCs w:val="2"/>
                <w:color w:val="auto"/>
              </w:rPr>
            </w:pPr>
          </w:p>
        </w:tc>
        <w:tc>
          <w:tcPr>
            <w:tcW w:w="240" w:type="dxa"/>
            <w:vAlign w:val="bottom"/>
            <w:tcBorders>
              <w:bottom w:val="single" w:sz="8" w:color="DBDBDB"/>
            </w:tcBorders>
            <w:shd w:val="clear" w:color="auto" w:fill="DBDBDB"/>
          </w:tcPr>
          <w:p>
            <w:pPr>
              <w:spacing w:after="0"/>
              <w:rPr>
                <w:sz w:val="2"/>
                <w:szCs w:val="2"/>
                <w:color w:val="auto"/>
              </w:rPr>
            </w:pPr>
          </w:p>
        </w:tc>
        <w:tc>
          <w:tcPr>
            <w:tcW w:w="26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right w:val="single" w:sz="8" w:color="auto"/>
            </w:tcBorders>
            <w:shd w:val="clear" w:color="auto" w:fill="000000"/>
          </w:tcPr>
          <w:p>
            <w:pPr>
              <w:spacing w:after="0"/>
              <w:rPr>
                <w:sz w:val="2"/>
                <w:szCs w:val="2"/>
                <w:color w:val="auto"/>
              </w:rPr>
            </w:pPr>
          </w:p>
        </w:tc>
        <w:tc>
          <w:tcPr>
            <w:tcW w:w="48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right w:val="single" w:sz="8" w:color="auto"/>
            </w:tcBorders>
            <w:shd w:val="clear" w:color="auto" w:fill="000000"/>
          </w:tcPr>
          <w:p>
            <w:pPr>
              <w:spacing w:after="0"/>
              <w:rPr>
                <w:sz w:val="2"/>
                <w:szCs w:val="2"/>
                <w:color w:val="auto"/>
              </w:rPr>
            </w:pPr>
          </w:p>
        </w:tc>
        <w:tc>
          <w:tcPr>
            <w:tcW w:w="240" w:type="dxa"/>
            <w:vAlign w:val="bottom"/>
            <w:tcBorders>
              <w:bottom w:val="single" w:sz="8" w:color="DBDBDB"/>
            </w:tcBorders>
            <w:shd w:val="clear" w:color="auto" w:fill="DBDBDB"/>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3"/>
              </w:rPr>
              <w:t>***</w:t>
            </w:r>
          </w:p>
        </w:tc>
        <w:tc>
          <w:tcPr>
            <w:tcW w:w="780" w:type="dxa"/>
            <w:vAlign w:val="bottom"/>
            <w:gridSpan w:val="2"/>
          </w:tcPr>
          <w:p>
            <w:pPr>
              <w:jc w:val="center"/>
              <w:ind w:left="38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220" w:type="dxa"/>
            <w:vAlign w:val="bottom"/>
          </w:tcPr>
          <w:p>
            <w:pPr>
              <w:spacing w:after="0"/>
              <w:rPr>
                <w:sz w:val="18"/>
                <w:szCs w:val="18"/>
                <w:color w:val="auto"/>
              </w:rPr>
            </w:pPr>
          </w:p>
        </w:tc>
        <w:tc>
          <w:tcPr>
            <w:tcW w:w="780" w:type="dxa"/>
            <w:vAlign w:val="bottom"/>
            <w:gridSpan w:val="3"/>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40" w:type="dxa"/>
            <w:vAlign w:val="bottom"/>
            <w:gridSpan w:val="2"/>
          </w:tcPr>
          <w:p>
            <w:pPr>
              <w:jc w:val="center"/>
              <w:ind w:left="14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gridSpan w:val="3"/>
          </w:tcPr>
          <w:p>
            <w:pPr>
              <w:jc w:val="center"/>
              <w:ind w:left="1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40" w:type="dxa"/>
            <w:vAlign w:val="bottom"/>
            <w:gridSpan w:val="2"/>
          </w:tcPr>
          <w:p>
            <w:pPr>
              <w:jc w:val="center"/>
              <w:ind w:left="14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gridSpan w:val="3"/>
          </w:tcPr>
          <w:p>
            <w:pPr>
              <w:jc w:val="center"/>
              <w:ind w:left="1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720" w:type="dxa"/>
            <w:vAlign w:val="bottom"/>
            <w:gridSpan w:val="3"/>
          </w:tcPr>
          <w:p>
            <w:pPr>
              <w:jc w:val="center"/>
              <w:ind w:left="3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vMerge w:val="restart"/>
          </w:tcPr>
          <w:p>
            <w:pPr>
              <w:spacing w:after="0"/>
              <w:rPr>
                <w:sz w:val="2"/>
                <w:szCs w:val="2"/>
                <w:color w:val="auto"/>
              </w:rPr>
            </w:pPr>
          </w:p>
        </w:tc>
        <w:tc>
          <w:tcPr>
            <w:tcW w:w="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20"/>
                <w:szCs w:val="20"/>
                <w:color w:val="auto"/>
                <w:w w:val="93"/>
              </w:rPr>
              <w:t>***</w:t>
            </w:r>
          </w:p>
        </w:tc>
        <w:tc>
          <w:tcPr>
            <w:tcW w:w="540" w:type="dxa"/>
            <w:vAlign w:val="bottom"/>
            <w:gridSpan w:val="2"/>
            <w:vMerge w:val="restart"/>
          </w:tcPr>
          <w:p>
            <w:pPr>
              <w:jc w:val="center"/>
              <w:ind w:left="143"/>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3"/>
            <w:vMerge w:val="restart"/>
          </w:tcPr>
          <w:p>
            <w:pPr>
              <w:jc w:val="center"/>
              <w:ind w:left="123"/>
              <w:spacing w:after="0"/>
              <w:rPr>
                <w:sz w:val="20"/>
                <w:szCs w:val="20"/>
                <w:color w:val="auto"/>
              </w:rPr>
            </w:pPr>
            <w:r>
              <w:rPr>
                <w:rFonts w:ascii="Times New Roman" w:cs="Times New Roman" w:eastAsia="Times New Roman" w:hAnsi="Times New Roman"/>
                <w:sz w:val="20"/>
                <w:szCs w:val="20"/>
                <w:color w:val="auto"/>
                <w:w w:val="99"/>
              </w:rPr>
              <w:t>***</w:t>
            </w:r>
          </w:p>
        </w:tc>
        <w:tc>
          <w:tcPr>
            <w:tcW w:w="540" w:type="dxa"/>
            <w:vAlign w:val="bottom"/>
            <w:gridSpan w:val="2"/>
            <w:vMerge w:val="restart"/>
          </w:tcPr>
          <w:p>
            <w:pPr>
              <w:jc w:val="center"/>
              <w:ind w:left="143"/>
              <w:spacing w:after="0"/>
              <w:rPr>
                <w:sz w:val="20"/>
                <w:szCs w:val="20"/>
                <w:color w:val="auto"/>
              </w:rPr>
            </w:pPr>
            <w:r>
              <w:rPr>
                <w:rFonts w:ascii="Times New Roman" w:cs="Times New Roman" w:eastAsia="Times New Roman" w:hAnsi="Times New Roman"/>
                <w:sz w:val="20"/>
                <w:szCs w:val="20"/>
                <w:color w:val="auto"/>
                <w:w w:val="99"/>
              </w:rPr>
              <w:t>***</w:t>
            </w:r>
          </w:p>
        </w:tc>
        <w:tc>
          <w:tcPr>
            <w:tcW w:w="1000" w:type="dxa"/>
            <w:vAlign w:val="bottom"/>
            <w:gridSpan w:val="3"/>
            <w:vMerge w:val="restart"/>
          </w:tcPr>
          <w:p>
            <w:pPr>
              <w:jc w:val="center"/>
              <w:ind w:left="123"/>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gridSpan w:val="3"/>
            <w:vMerge w:val="restart"/>
          </w:tcPr>
          <w:p>
            <w:pPr>
              <w:jc w:val="center"/>
              <w:ind w:left="32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line="20" w:lineRule="exact"/>
              <w:rPr>
                <w:sz w:val="1"/>
                <w:szCs w:val="1"/>
                <w:color w:val="auto"/>
              </w:rPr>
            </w:pPr>
          </w:p>
        </w:tc>
      </w:tr>
      <w:tr>
        <w:trPr>
          <w:trHeight w:val="216"/>
        </w:trPr>
        <w:tc>
          <w:tcPr>
            <w:tcW w:w="240" w:type="dxa"/>
            <w:vAlign w:val="bottom"/>
            <w:tcBorders>
              <w:right w:val="single" w:sz="8" w:color="DBDBDB"/>
            </w:tcBorders>
            <w:shd w:val="clear" w:color="auto" w:fill="DBDBDB"/>
          </w:tcPr>
          <w:p>
            <w:pPr>
              <w:spacing w:after="0"/>
              <w:rPr>
                <w:sz w:val="18"/>
                <w:szCs w:val="18"/>
                <w:color w:val="auto"/>
              </w:rPr>
            </w:pPr>
          </w:p>
        </w:tc>
        <w:tc>
          <w:tcPr>
            <w:tcW w:w="280" w:type="dxa"/>
            <w:vAlign w:val="bottom"/>
            <w:shd w:val="clear" w:color="auto" w:fill="DBDBDB"/>
          </w:tcPr>
          <w:p>
            <w:pPr>
              <w:jc w:val="center"/>
              <w:spacing w:after="0" w:line="216" w:lineRule="exact"/>
              <w:rPr>
                <w:sz w:val="20"/>
                <w:szCs w:val="20"/>
                <w:color w:val="auto"/>
              </w:rPr>
            </w:pPr>
            <w:r>
              <w:rPr>
                <w:rFonts w:ascii="Times New Roman" w:cs="Times New Roman" w:eastAsia="Times New Roman" w:hAnsi="Times New Roman"/>
                <w:sz w:val="20"/>
                <w:szCs w:val="20"/>
                <w:color w:val="auto"/>
                <w:w w:val="93"/>
              </w:rPr>
              <w:t>***</w:t>
            </w:r>
          </w:p>
        </w:tc>
        <w:tc>
          <w:tcPr>
            <w:tcW w:w="780" w:type="dxa"/>
            <w:vAlign w:val="bottom"/>
            <w:tcBorders>
              <w:right w:val="single" w:sz="8" w:color="DBDBDB"/>
            </w:tcBorders>
            <w:gridSpan w:val="2"/>
            <w:shd w:val="clear" w:color="auto" w:fill="DBDBDB"/>
          </w:tcPr>
          <w:p>
            <w:pPr>
              <w:jc w:val="center"/>
              <w:ind w:left="383"/>
              <w:spacing w:after="0" w:line="216"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shd w:val="clear" w:color="auto" w:fill="DBDBDB"/>
          </w:tcPr>
          <w:p>
            <w:pPr>
              <w:spacing w:after="0"/>
              <w:rPr>
                <w:sz w:val="18"/>
                <w:szCs w:val="18"/>
                <w:color w:val="auto"/>
              </w:rPr>
            </w:pPr>
          </w:p>
        </w:tc>
        <w:tc>
          <w:tcPr>
            <w:tcW w:w="2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7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4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tcBorders>
            <w:shd w:val="clear" w:color="auto" w:fill="000000"/>
          </w:tcPr>
          <w:p>
            <w:pPr>
              <w:spacing w:after="0"/>
              <w:rPr>
                <w:sz w:val="2"/>
                <w:szCs w:val="2"/>
                <w:color w:val="auto"/>
              </w:rPr>
            </w:pPr>
          </w:p>
        </w:tc>
        <w:tc>
          <w:tcPr>
            <w:tcW w:w="500" w:type="dxa"/>
            <w:vAlign w:val="bottom"/>
            <w:tcBorders>
              <w:bottom w:val="single" w:sz="8" w:color="DBDBDB"/>
              <w:right w:val="single" w:sz="8" w:color="auto"/>
            </w:tcBorders>
            <w:shd w:val="clear" w:color="auto" w:fill="DBDBDB"/>
          </w:tcPr>
          <w:p>
            <w:pPr>
              <w:spacing w:after="0"/>
              <w:rPr>
                <w:sz w:val="2"/>
                <w:szCs w:val="2"/>
                <w:color w:val="auto"/>
              </w:rPr>
            </w:pPr>
          </w:p>
        </w:tc>
        <w:tc>
          <w:tcPr>
            <w:tcW w:w="280" w:type="dxa"/>
            <w:vAlign w:val="bottom"/>
            <w:tcBorders>
              <w:bottom w:val="single" w:sz="8" w:color="DBDBDB"/>
              <w:right w:val="single" w:sz="8" w:color="auto"/>
            </w:tcBorders>
            <w:shd w:val="clear" w:color="auto" w:fill="000000"/>
          </w:tcPr>
          <w:p>
            <w:pPr>
              <w:spacing w:after="0"/>
              <w:rPr>
                <w:sz w:val="2"/>
                <w:szCs w:val="2"/>
                <w:color w:val="auto"/>
              </w:rPr>
            </w:pPr>
          </w:p>
        </w:tc>
        <w:tc>
          <w:tcPr>
            <w:tcW w:w="220" w:type="dxa"/>
            <w:vAlign w:val="bottom"/>
            <w:tcBorders>
              <w:bottom w:val="single" w:sz="8" w:color="DBDBDB"/>
            </w:tcBorders>
            <w:shd w:val="clear" w:color="auto" w:fill="DBDBDB"/>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80" w:type="dxa"/>
            <w:vAlign w:val="bottom"/>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3"/>
              </w:rPr>
              <w:t>***</w:t>
            </w:r>
          </w:p>
        </w:tc>
        <w:tc>
          <w:tcPr>
            <w:tcW w:w="780" w:type="dxa"/>
            <w:vAlign w:val="bottom"/>
            <w:gridSpan w:val="2"/>
          </w:tcPr>
          <w:p>
            <w:pPr>
              <w:jc w:val="center"/>
              <w:ind w:left="38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center"/>
              <w:ind w:right="240"/>
              <w:spacing w:after="0" w:line="216" w:lineRule="exact"/>
              <w:rPr>
                <w:sz w:val="20"/>
                <w:szCs w:val="20"/>
                <w:color w:val="auto"/>
              </w:rPr>
            </w:pPr>
            <w:r>
              <w:rPr>
                <w:rFonts w:ascii="Times New Roman" w:cs="Times New Roman" w:eastAsia="Times New Roman" w:hAnsi="Times New Roman"/>
                <w:sz w:val="20"/>
                <w:szCs w:val="20"/>
                <w:b w:val="1"/>
                <w:bCs w:val="1"/>
                <w:color w:val="auto"/>
                <w:w w:val="93"/>
              </w:rPr>
              <w:t>***</w:t>
            </w:r>
          </w:p>
        </w:tc>
        <w:tc>
          <w:tcPr>
            <w:tcW w:w="540" w:type="dxa"/>
            <w:vAlign w:val="bottom"/>
            <w:gridSpan w:val="2"/>
          </w:tcPr>
          <w:p>
            <w:pPr>
              <w:jc w:val="center"/>
              <w:ind w:left="14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gridSpan w:val="3"/>
          </w:tcPr>
          <w:p>
            <w:pPr>
              <w:jc w:val="center"/>
              <w:ind w:left="1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40" w:type="dxa"/>
            <w:vAlign w:val="bottom"/>
            <w:gridSpan w:val="2"/>
          </w:tcPr>
          <w:p>
            <w:pPr>
              <w:jc w:val="center"/>
              <w:ind w:left="14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000" w:type="dxa"/>
            <w:vAlign w:val="bottom"/>
            <w:gridSpan w:val="3"/>
          </w:tcPr>
          <w:p>
            <w:pPr>
              <w:jc w:val="center"/>
              <w:ind w:left="1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720" w:type="dxa"/>
            <w:vAlign w:val="bottom"/>
            <w:gridSpan w:val="3"/>
          </w:tcPr>
          <w:p>
            <w:pPr>
              <w:jc w:val="center"/>
              <w:ind w:left="323"/>
              <w:spacing w:after="0" w:line="21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rPr>
                <w:sz w:val="1"/>
                <w:szCs w:val="1"/>
                <w:color w:val="auto"/>
              </w:rPr>
            </w:pPr>
          </w:p>
        </w:tc>
      </w:tr>
      <w:tr>
        <w:trPr>
          <w:trHeight w:val="20"/>
        </w:trPr>
        <w:tc>
          <w:tcPr>
            <w:tcW w:w="2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340" w:space="160"/>
            <w:col w:w="6639"/>
          </w:cols>
          <w:pgMar w:left="320" w:top="1094" w:right="1440" w:bottom="8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Detail for ***: *** quantities of *** 737-*** Aircraft and 737-*** Aircraft:</w:t>
      </w:r>
    </w:p>
    <w:p>
      <w:pPr>
        <w:sectPr>
          <w:pgSz w:w="11900" w:h="16838" w:orient="portrait"/>
          <w:cols w:equalWidth="0" w:num="1">
            <w:col w:w="10139"/>
          </w:cols>
          <w:pgMar w:left="320" w:top="1094" w:right="1440" w:bottom="85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1 to Memorandum of Understanding</w:t>
      </w:r>
    </w:p>
    <w:p>
      <w:pPr>
        <w:spacing w:after="0" w:line="5" w:lineRule="exact"/>
        <w:rPr>
          <w:sz w:val="20"/>
          <w:szCs w:val="20"/>
          <w:color w:val="auto"/>
        </w:rPr>
      </w:pPr>
    </w:p>
    <w:p>
      <w:pPr>
        <w:jc w:val="right"/>
        <w:ind w:right="1999"/>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0139"/>
          </w:cols>
          <w:pgMar w:left="320" w:top="1094" w:right="1440" w:bottom="857" w:gutter="0" w:footer="0" w:header="0"/>
          <w:type w:val="continuous"/>
        </w:sectPr>
      </w:pPr>
    </w:p>
    <w:bookmarkStart w:id="47" w:name="page48"/>
    <w:bookmarkEnd w:id="47"/>
    <w:tbl>
      <w:tblPr>
        <w:tblLayout w:type="fixed"/>
        <w:tblInd w:w="10" w:type="dxa"/>
        <w:tblCellMar>
          <w:top w:w="0" w:type="dxa"/>
          <w:left w:w="0" w:type="dxa"/>
          <w:bottom w:w="0" w:type="dxa"/>
          <w:right w:w="0" w:type="dxa"/>
        </w:tblCellMar>
      </w:tblPr>
      <w:tr>
        <w:trPr>
          <w:trHeight w:val="216"/>
        </w:trPr>
        <w:tc>
          <w:tcPr>
            <w:tcW w:w="2420" w:type="dxa"/>
            <w:vAlign w:val="bottom"/>
            <w:tcBorders>
              <w:top w:val="single" w:sz="8" w:color="auto"/>
              <w:left w:val="single" w:sz="8" w:color="auto"/>
            </w:tcBorders>
          </w:tcPr>
          <w:p>
            <w:pPr>
              <w:spacing w:after="0"/>
              <w:rPr>
                <w:sz w:val="18"/>
                <w:szCs w:val="18"/>
                <w:color w:val="auto"/>
              </w:rPr>
            </w:pPr>
          </w:p>
        </w:tc>
        <w:tc>
          <w:tcPr>
            <w:tcW w:w="1040" w:type="dxa"/>
            <w:vAlign w:val="bottom"/>
            <w:tcBorders>
              <w:top w:val="single" w:sz="8" w:color="auto"/>
            </w:tcBorders>
            <w:gridSpan w:val="4"/>
          </w:tcPr>
          <w:p>
            <w:pPr>
              <w:jc w:val="center"/>
              <w:ind w:left="64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600" w:type="dxa"/>
            <w:vAlign w:val="bottom"/>
            <w:tcBorders>
              <w:top w:val="single" w:sz="8" w:color="auto"/>
            </w:tcBorders>
            <w:gridSpan w:val="3"/>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3"/>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4"/>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600" w:type="dxa"/>
            <w:vAlign w:val="bottom"/>
            <w:tcBorders>
              <w:top w:val="single" w:sz="8" w:color="auto"/>
            </w:tcBorders>
            <w:gridSpan w:val="3"/>
          </w:tcPr>
          <w:p>
            <w:pPr>
              <w:jc w:val="center"/>
              <w:ind w:left="183"/>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4"/>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600" w:type="dxa"/>
            <w:vAlign w:val="bottom"/>
            <w:tcBorders>
              <w:top w:val="single" w:sz="8" w:color="auto"/>
            </w:tcBorders>
            <w:gridSpan w:val="4"/>
          </w:tcPr>
          <w:p>
            <w:pPr>
              <w:jc w:val="center"/>
              <w:ind w:left="203"/>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gridSpan w:val="4"/>
          </w:tcPr>
          <w:p>
            <w:pPr>
              <w:jc w:val="center"/>
              <w:ind w:left="204"/>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600" w:type="dxa"/>
            <w:vAlign w:val="bottom"/>
            <w:tcBorders>
              <w:top w:val="single" w:sz="8" w:color="auto"/>
            </w:tcBorders>
            <w:gridSpan w:val="4"/>
          </w:tcPr>
          <w:p>
            <w:pPr>
              <w:jc w:val="center"/>
              <w:ind w:left="204"/>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600" w:type="dxa"/>
            <w:vAlign w:val="bottom"/>
            <w:tcBorders>
              <w:top w:val="single" w:sz="8" w:color="auto"/>
            </w:tcBorders>
            <w:gridSpan w:val="3"/>
          </w:tcPr>
          <w:p>
            <w:pPr>
              <w:jc w:val="center"/>
              <w:ind w:left="184"/>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6"/>
              </w:rPr>
              <w:t>***</w:t>
            </w:r>
          </w:p>
        </w:tc>
        <w:tc>
          <w:tcPr>
            <w:tcW w:w="4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Borders>
              <w:lef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420" w:type="dxa"/>
            <w:vAlign w:val="bottom"/>
            <w:tcBorders>
              <w:left w:val="single" w:sz="8" w:color="auto"/>
            </w:tcBorders>
            <w:vMerge w:val="restart"/>
          </w:tcPr>
          <w:p>
            <w:pPr>
              <w:jc w:val="right"/>
              <w:ind w:right="1941"/>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4"/>
            <w:vMerge w:val="restart"/>
          </w:tcPr>
          <w:p>
            <w:pPr>
              <w:jc w:val="center"/>
              <w:ind w:left="643"/>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gridSpan w:val="3"/>
            <w:vMerge w:val="restart"/>
          </w:tcPr>
          <w:p>
            <w:pPr>
              <w:jc w:val="center"/>
              <w:ind w:left="183"/>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4"/>
            <w:vMerge w:val="restart"/>
          </w:tcPr>
          <w:p>
            <w:pPr>
              <w:jc w:val="center"/>
              <w:ind w:left="203"/>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3"/>
            <w:vMerge w:val="restart"/>
          </w:tcPr>
          <w:p>
            <w:pPr>
              <w:jc w:val="center"/>
              <w:ind w:left="203"/>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4"/>
            <w:vMerge w:val="restart"/>
          </w:tcPr>
          <w:p>
            <w:pPr>
              <w:jc w:val="center"/>
              <w:ind w:left="203"/>
              <w:spacing w:after="0"/>
              <w:rPr>
                <w:sz w:val="20"/>
                <w:szCs w:val="20"/>
                <w:color w:val="auto"/>
              </w:rPr>
            </w:pPr>
            <w:r>
              <w:rPr>
                <w:rFonts w:ascii="Times New Roman" w:cs="Times New Roman" w:eastAsia="Times New Roman" w:hAnsi="Times New Roman"/>
                <w:sz w:val="20"/>
                <w:szCs w:val="20"/>
                <w:color w:val="auto"/>
                <w:w w:val="99"/>
              </w:rPr>
              <w:t>***</w:t>
            </w:r>
          </w:p>
        </w:tc>
        <w:tc>
          <w:tcPr>
            <w:tcW w:w="600" w:type="dxa"/>
            <w:vAlign w:val="bottom"/>
            <w:gridSpan w:val="4"/>
            <w:vMerge w:val="restart"/>
          </w:tcPr>
          <w:p>
            <w:pPr>
              <w:jc w:val="center"/>
              <w:ind w:left="203"/>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Borders>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rPr>
                <w:sz w:val="1"/>
                <w:szCs w:val="1"/>
                <w:color w:val="auto"/>
              </w:rPr>
            </w:pPr>
          </w:p>
        </w:tc>
      </w:tr>
      <w:tr>
        <w:trPr>
          <w:trHeight w:val="291"/>
        </w:trPr>
        <w:tc>
          <w:tcPr>
            <w:tcW w:w="2420" w:type="dxa"/>
            <w:vAlign w:val="bottom"/>
            <w:tcBorders>
              <w:left w:val="single" w:sz="8" w:color="auto"/>
            </w:tcBorders>
            <w:vMerge w:val="continue"/>
          </w:tcPr>
          <w:p>
            <w:pPr>
              <w:spacing w:after="0"/>
              <w:rPr>
                <w:sz w:val="24"/>
                <w:szCs w:val="24"/>
                <w:color w:val="auto"/>
              </w:rPr>
            </w:pPr>
          </w:p>
        </w:tc>
        <w:tc>
          <w:tcPr>
            <w:tcW w:w="1040" w:type="dxa"/>
            <w:vAlign w:val="bottom"/>
            <w:gridSpan w:val="4"/>
            <w:vMerge w:val="continue"/>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600" w:type="dxa"/>
            <w:vAlign w:val="bottom"/>
            <w:gridSpan w:val="4"/>
            <w:vMerge w:val="continue"/>
          </w:tcPr>
          <w:p>
            <w:pPr>
              <w:spacing w:after="0"/>
              <w:rPr>
                <w:sz w:val="24"/>
                <w:szCs w:val="24"/>
                <w:color w:val="auto"/>
              </w:rPr>
            </w:pPr>
          </w:p>
        </w:tc>
        <w:tc>
          <w:tcPr>
            <w:tcW w:w="600" w:type="dxa"/>
            <w:vAlign w:val="bottom"/>
            <w:gridSpan w:val="3"/>
            <w:vMerge w:val="continue"/>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600" w:type="dxa"/>
            <w:vAlign w:val="bottom"/>
            <w:gridSpan w:val="4"/>
            <w:vMerge w:val="continue"/>
          </w:tcPr>
          <w:p>
            <w:pPr>
              <w:spacing w:after="0"/>
              <w:rPr>
                <w:sz w:val="24"/>
                <w:szCs w:val="24"/>
                <w:color w:val="auto"/>
              </w:rPr>
            </w:pPr>
          </w:p>
        </w:tc>
        <w:tc>
          <w:tcPr>
            <w:tcW w:w="60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DBDBDB"/>
            </w:tcBorders>
            <w:shd w:val="clear" w:color="auto" w:fill="DBDBDB"/>
          </w:tcPr>
          <w:p>
            <w:pPr>
              <w:spacing w:after="0"/>
              <w:rPr>
                <w:sz w:val="24"/>
                <w:szCs w:val="24"/>
                <w:color w:val="auto"/>
              </w:rPr>
            </w:pPr>
          </w:p>
        </w:tc>
        <w:tc>
          <w:tcPr>
            <w:tcW w:w="28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spacing w:after="0"/>
              <w:rPr>
                <w:sz w:val="24"/>
                <w:szCs w:val="24"/>
                <w:color w:val="auto"/>
              </w:rPr>
            </w:pPr>
          </w:p>
        </w:tc>
        <w:tc>
          <w:tcPr>
            <w:tcW w:w="280" w:type="dxa"/>
            <w:vAlign w:val="bottom"/>
            <w:tcBorders>
              <w:bottom w:val="single" w:sz="8" w:color="DBDBDB"/>
            </w:tcBorders>
            <w:shd w:val="clear" w:color="auto" w:fill="DBDBDB"/>
          </w:tcPr>
          <w:p>
            <w:pPr>
              <w:spacing w:after="0"/>
              <w:rPr>
                <w:sz w:val="24"/>
                <w:szCs w:val="24"/>
                <w:color w:val="auto"/>
              </w:rPr>
            </w:pPr>
          </w:p>
        </w:tc>
        <w:tc>
          <w:tcPr>
            <w:tcW w:w="2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DBDBDB"/>
            </w:tcBorders>
            <w:shd w:val="clear" w:color="auto" w:fill="DBDBDB"/>
          </w:tcPr>
          <w:p>
            <w:pPr>
              <w:spacing w:after="0"/>
              <w:rPr>
                <w:sz w:val="24"/>
                <w:szCs w:val="24"/>
                <w:color w:val="auto"/>
              </w:rPr>
            </w:pPr>
          </w:p>
        </w:tc>
        <w:tc>
          <w:tcPr>
            <w:tcW w:w="1120" w:type="dxa"/>
            <w:vAlign w:val="bottom"/>
            <w:tcBorders>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420" w:type="dxa"/>
            <w:vAlign w:val="bottom"/>
            <w:tcBorders>
              <w:left w:val="single" w:sz="8" w:color="auto"/>
            </w:tcBorders>
          </w:tcPr>
          <w:p>
            <w:pPr>
              <w:jc w:val="right"/>
              <w:ind w:right="661"/>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gridSpan w:val="4"/>
          </w:tcPr>
          <w:p>
            <w:pPr>
              <w:jc w:val="center"/>
              <w:ind w:left="64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3"/>
          </w:tcPr>
          <w:p>
            <w:pPr>
              <w:jc w:val="center"/>
              <w:ind w:left="20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80" w:type="dxa"/>
            <w:vAlign w:val="bottom"/>
            <w:gridSpan w:val="3"/>
          </w:tcPr>
          <w:p>
            <w:pPr>
              <w:jc w:val="center"/>
              <w:ind w:left="18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4"/>
          </w:tcPr>
          <w:p>
            <w:pPr>
              <w:jc w:val="center"/>
              <w:ind w:left="20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3"/>
          </w:tcPr>
          <w:p>
            <w:pPr>
              <w:jc w:val="center"/>
              <w:ind w:left="20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8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4"/>
          </w:tcPr>
          <w:p>
            <w:pPr>
              <w:jc w:val="center"/>
              <w:ind w:left="20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4"/>
          </w:tcPr>
          <w:p>
            <w:pPr>
              <w:jc w:val="center"/>
              <w:ind w:left="203"/>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Pr>
          <w:p>
            <w:pPr>
              <w:spacing w:after="0"/>
              <w:rPr>
                <w:sz w:val="21"/>
                <w:szCs w:val="21"/>
                <w:color w:val="auto"/>
              </w:rPr>
            </w:pPr>
          </w:p>
        </w:tc>
        <w:tc>
          <w:tcPr>
            <w:tcW w:w="4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gridSpan w:val="4"/>
          </w:tcPr>
          <w:p>
            <w:pPr>
              <w:jc w:val="center"/>
              <w:ind w:left="204"/>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4"/>
          </w:tcPr>
          <w:p>
            <w:pPr>
              <w:jc w:val="center"/>
              <w:ind w:left="204"/>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gridSpan w:val="3"/>
          </w:tcPr>
          <w:p>
            <w:pPr>
              <w:jc w:val="center"/>
              <w:ind w:left="204"/>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Pr>
          <w:p>
            <w:pPr>
              <w:spacing w:after="0"/>
              <w:rPr>
                <w:sz w:val="21"/>
                <w:szCs w:val="21"/>
                <w:color w:val="auto"/>
              </w:rPr>
            </w:pPr>
          </w:p>
        </w:tc>
        <w:tc>
          <w:tcPr>
            <w:tcW w:w="1120" w:type="dxa"/>
            <w:vAlign w:val="bottom"/>
            <w:tcBorders>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0" w:type="dxa"/>
            <w:vAlign w:val="bottom"/>
          </w:tcPr>
          <w:p>
            <w:pPr>
              <w:spacing w:after="0"/>
              <w:rPr>
                <w:sz w:val="1"/>
                <w:szCs w:val="1"/>
                <w:color w:val="auto"/>
              </w:rPr>
            </w:pPr>
          </w:p>
        </w:tc>
      </w:tr>
      <w:tr>
        <w:trPr>
          <w:trHeight w:val="41"/>
        </w:trPr>
        <w:tc>
          <w:tcPr>
            <w:tcW w:w="2420" w:type="dxa"/>
            <w:vAlign w:val="bottom"/>
            <w:tcBorders>
              <w:left w:val="single" w:sz="8" w:color="auto"/>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2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420" w:type="dxa"/>
            <w:vAlign w:val="bottom"/>
            <w:tcBorders>
              <w:left w:val="single" w:sz="8" w:color="auto"/>
              <w:bottom w:val="single" w:sz="8" w:color="auto"/>
            </w:tcBorders>
          </w:tcPr>
          <w:p>
            <w:pPr>
              <w:jc w:val="right"/>
              <w:ind w:right="661"/>
              <w:spacing w:after="0" w:line="196" w:lineRule="exact"/>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gridSpan w:val="4"/>
          </w:tcPr>
          <w:p>
            <w:pPr>
              <w:jc w:val="center"/>
              <w:ind w:left="64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3"/>
          </w:tcPr>
          <w:p>
            <w:pPr>
              <w:jc w:val="center"/>
              <w:ind w:left="20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80" w:type="dxa"/>
            <w:vAlign w:val="bottom"/>
            <w:tcBorders>
              <w:bottom w:val="single" w:sz="8" w:color="auto"/>
            </w:tcBorders>
            <w:gridSpan w:val="3"/>
          </w:tcPr>
          <w:p>
            <w:pPr>
              <w:jc w:val="center"/>
              <w:ind w:left="18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4"/>
          </w:tcPr>
          <w:p>
            <w:pPr>
              <w:jc w:val="center"/>
              <w:ind w:left="20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3"/>
          </w:tcPr>
          <w:p>
            <w:pPr>
              <w:jc w:val="center"/>
              <w:ind w:left="20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5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gridSpan w:val="4"/>
          </w:tcPr>
          <w:p>
            <w:pPr>
              <w:jc w:val="center"/>
              <w:ind w:left="20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4"/>
          </w:tcPr>
          <w:p>
            <w:pPr>
              <w:jc w:val="center"/>
              <w:ind w:left="203"/>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20"/>
                <w:szCs w:val="20"/>
                <w:b w:val="1"/>
                <w:bCs w:val="1"/>
                <w:color w:val="auto"/>
              </w:rPr>
              <w:t>***</w:t>
            </w:r>
          </w:p>
        </w:tc>
        <w:tc>
          <w:tcPr>
            <w:tcW w:w="600" w:type="dxa"/>
            <w:vAlign w:val="bottom"/>
            <w:tcBorders>
              <w:bottom w:val="single" w:sz="8" w:color="auto"/>
            </w:tcBorders>
            <w:gridSpan w:val="4"/>
          </w:tcPr>
          <w:p>
            <w:pPr>
              <w:jc w:val="center"/>
              <w:ind w:left="204"/>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4"/>
          </w:tcPr>
          <w:p>
            <w:pPr>
              <w:jc w:val="center"/>
              <w:ind w:left="204"/>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600" w:type="dxa"/>
            <w:vAlign w:val="bottom"/>
            <w:tcBorders>
              <w:bottom w:val="single" w:sz="8" w:color="auto"/>
            </w:tcBorders>
            <w:gridSpan w:val="3"/>
          </w:tcPr>
          <w:p>
            <w:pPr>
              <w:jc w:val="center"/>
              <w:ind w:left="204"/>
              <w:spacing w:after="0" w:line="196" w:lineRule="exact"/>
              <w:rPr>
                <w:sz w:val="20"/>
                <w:szCs w:val="20"/>
                <w:color w:val="auto"/>
              </w:rPr>
            </w:pPr>
            <w:r>
              <w:rPr>
                <w:rFonts w:ascii="Times New Roman" w:cs="Times New Roman" w:eastAsia="Times New Roman" w:hAnsi="Times New Roman"/>
                <w:sz w:val="20"/>
                <w:szCs w:val="20"/>
                <w:b w:val="1"/>
                <w:bCs w:val="1"/>
                <w:color w:val="auto"/>
                <w:w w:val="99"/>
              </w:rPr>
              <w:t>***</w:t>
            </w: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shd w:val="clear" w:color="auto" w:fill="DBDBDB"/>
          </w:tcPr>
          <w:p>
            <w:pPr>
              <w:spacing w:after="0"/>
              <w:rPr>
                <w:sz w:val="24"/>
                <w:szCs w:val="24"/>
                <w:color w:val="auto"/>
              </w:rPr>
            </w:pPr>
          </w:p>
        </w:tc>
        <w:tc>
          <w:tcPr>
            <w:tcW w:w="300" w:type="dxa"/>
            <w:vAlign w:val="bottom"/>
            <w:tcBorders>
              <w:bottom w:val="single" w:sz="8" w:color="auto"/>
            </w:tcBorders>
            <w:shd w:val="clear" w:color="auto" w:fill="DBDBDB"/>
          </w:tcPr>
          <w:p>
            <w:pPr>
              <w:spacing w:after="0"/>
              <w:rPr>
                <w:sz w:val="24"/>
                <w:szCs w:val="24"/>
                <w:color w:val="auto"/>
              </w:rPr>
            </w:pPr>
          </w:p>
        </w:tc>
        <w:tc>
          <w:tcPr>
            <w:tcW w:w="42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6434455</wp:posOffset>
            </wp:positionH>
            <wp:positionV relativeFrom="paragraph">
              <wp:posOffset>-196215</wp:posOffset>
            </wp:positionV>
            <wp:extent cx="825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-170815</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-153670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-136525</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-119380</wp:posOffset>
            </wp:positionV>
            <wp:extent cx="825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-102235</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-85090</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-67945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-50800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-33655</wp:posOffset>
            </wp:positionV>
            <wp:extent cx="825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-16510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-196215</wp:posOffset>
            </wp:positionV>
            <wp:extent cx="825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-153670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-136525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-119380</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-102235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-85090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-67945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-50800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-33655</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-16510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-196215</wp:posOffset>
            </wp:positionV>
            <wp:extent cx="889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-153670</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-136525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-119380</wp:posOffset>
            </wp:positionV>
            <wp:extent cx="88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-102235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-85090</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-67945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-50800</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-33655</wp:posOffset>
            </wp:positionV>
            <wp:extent cx="889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-16510</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-196215</wp:posOffset>
            </wp:positionV>
            <wp:extent cx="8255"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-153670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-119380</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-102235</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-85090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-67945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-50800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-33655</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-16510</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-196215</wp:posOffset>
            </wp:positionV>
            <wp:extent cx="889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-153670</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-136525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-119380</wp:posOffset>
            </wp:positionV>
            <wp:extent cx="88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-102235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-85090</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-67945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-50800</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-33655</wp:posOffset>
            </wp:positionV>
            <wp:extent cx="889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-16510</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-196215</wp:posOffset>
            </wp:positionV>
            <wp:extent cx="8255"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-153670</wp:posOffset>
            </wp:positionV>
            <wp:extent cx="8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-136525</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-119380</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-102235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-85090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-67945</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-50800</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-33655</wp:posOffset>
            </wp:positionV>
            <wp:extent cx="82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-16510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-196215</wp:posOffset>
            </wp:positionV>
            <wp:extent cx="889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-153670</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-136525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-119380</wp:posOffset>
            </wp:positionV>
            <wp:extent cx="889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-102235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-85090</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-67945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-50800</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-33655</wp:posOffset>
            </wp:positionV>
            <wp:extent cx="889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-16510</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-196215</wp:posOffset>
            </wp:positionV>
            <wp:extent cx="825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-170815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-153670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-136525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-119380</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-102235</wp:posOffset>
            </wp:positionV>
            <wp:extent cx="8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-85090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-67945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-50800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-33655</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-16510</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-196215</wp:posOffset>
            </wp:positionV>
            <wp:extent cx="889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-153670</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-119380</wp:posOffset>
            </wp:positionV>
            <wp:extent cx="889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-85090</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-50800</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88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-16510</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-196215</wp:posOffset>
            </wp:positionV>
            <wp:extent cx="825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-170815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-153670</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-136525</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-119380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-102235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-85090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-67945</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-50800</wp:posOffset>
            </wp:positionV>
            <wp:extent cx="8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-33655</wp:posOffset>
            </wp:positionV>
            <wp:extent cx="825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-16510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-196215</wp:posOffset>
            </wp:positionV>
            <wp:extent cx="889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-170815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-153670</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-136525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-119380</wp:posOffset>
            </wp:positionV>
            <wp:extent cx="889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-102235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-85090</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-67945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-50800</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-33655</wp:posOffset>
            </wp:positionV>
            <wp:extent cx="88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-16510</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-196215</wp:posOffset>
            </wp:positionV>
            <wp:extent cx="889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2">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-170815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-153670</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-136525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-119380</wp:posOffset>
            </wp:positionV>
            <wp:extent cx="889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-102235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-85090</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-67945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-50800</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-33655</wp:posOffset>
            </wp:positionV>
            <wp:extent cx="889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-16510</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-196215</wp:posOffset>
            </wp:positionV>
            <wp:extent cx="8890"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-170815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-153670</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-136525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-119380</wp:posOffset>
            </wp:positionV>
            <wp:extent cx="889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-102235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-85090</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-67945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-50800</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-33655</wp:posOffset>
            </wp:positionV>
            <wp:extent cx="889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-16510</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-556895</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-539115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-521970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-505460</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-487680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-471170</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-453390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-436245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-419735</wp:posOffset>
            </wp:positionV>
            <wp:extent cx="825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-401955</wp:posOffset>
            </wp:positionV>
            <wp:extent cx="825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-385445</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-556895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-539115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-521970</wp:posOffset>
            </wp:positionV>
            <wp:extent cx="825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-505460</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-487680</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-471170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-453390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-436245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-419735</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-401955</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-385445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-556895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-539115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-521970</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-505460</wp:posOffset>
            </wp:positionV>
            <wp:extent cx="889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-487680</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-471170</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-453390</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-436245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-419735</wp:posOffset>
            </wp:positionV>
            <wp:extent cx="88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-401955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-385445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-539115</wp:posOffset>
            </wp:positionV>
            <wp:extent cx="82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-521970</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-505460</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-487680</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-471170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-453390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-436245</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-419735</wp:posOffset>
            </wp:positionV>
            <wp:extent cx="825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-401955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-385445</wp:posOffset>
            </wp:positionV>
            <wp:extent cx="825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-556895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-539115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-521970</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-505460</wp:posOffset>
            </wp:positionV>
            <wp:extent cx="88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-487680</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-471170</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-453390</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-436245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-419735</wp:posOffset>
            </wp:positionV>
            <wp:extent cx="88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-401955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-385445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-556895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-539115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-521970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-505460</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-487680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-471170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-453390</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-436245</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-419735</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-401955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-385445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-556895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-539115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-521970</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-505460</wp:posOffset>
            </wp:positionV>
            <wp:extent cx="88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-487680</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-471170</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-453390</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-436245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-419735</wp:posOffset>
            </wp:positionV>
            <wp:extent cx="889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-401955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-385445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-556895</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-539115</wp:posOffset>
            </wp:positionV>
            <wp:extent cx="825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-521970</wp:posOffset>
            </wp:positionV>
            <wp:extent cx="825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-505460</wp:posOffset>
            </wp:positionV>
            <wp:extent cx="825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-487680</wp:posOffset>
            </wp:positionV>
            <wp:extent cx="825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-471170</wp:posOffset>
            </wp:positionV>
            <wp:extent cx="825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-453390</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-436245</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-419735</wp:posOffset>
            </wp:positionV>
            <wp:extent cx="825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-401955</wp:posOffset>
            </wp:positionV>
            <wp:extent cx="825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-385445</wp:posOffset>
            </wp:positionV>
            <wp:extent cx="825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-556895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-539115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-521970</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-505460</wp:posOffset>
            </wp:positionV>
            <wp:extent cx="88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-471170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-453390</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-436245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-419735</wp:posOffset>
            </wp:positionV>
            <wp:extent cx="889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-401955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-385445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-556895</wp:posOffset>
            </wp:positionV>
            <wp:extent cx="825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-539115</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-521970</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-505460</wp:posOffset>
            </wp:positionV>
            <wp:extent cx="8255"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-487680</wp:posOffset>
            </wp:positionV>
            <wp:extent cx="825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-471170</wp:posOffset>
            </wp:positionV>
            <wp:extent cx="825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-453390</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-436245</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-419735</wp:posOffset>
            </wp:positionV>
            <wp:extent cx="825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-401955</wp:posOffset>
            </wp:positionV>
            <wp:extent cx="825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-385445</wp:posOffset>
            </wp:positionV>
            <wp:extent cx="825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-556895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-539115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-521970</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-505460</wp:posOffset>
            </wp:positionV>
            <wp:extent cx="88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-487680</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-471170</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-453390</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-436245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-419735</wp:posOffset>
            </wp:positionV>
            <wp:extent cx="889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-401955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-385445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-556895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-539115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-521970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-505460</wp:posOffset>
            </wp:positionV>
            <wp:extent cx="889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-487680</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-471170</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-453390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-436245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-419735</wp:posOffset>
            </wp:positionV>
            <wp:extent cx="889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-401955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-385445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-556895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-539115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-521970</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-505460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-487680</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-471170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-453390</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-436245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-419735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-401955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-385445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-950595</wp:posOffset>
            </wp:positionV>
            <wp:extent cx="7123430" cy="38608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7">
                      <a:extLst>
                        <a:ext uri="{28A0092B-C50C-407E-A947-70E740481C1C}"/>
                      </a:extLst>
                    </a:blip>
                    <a:srcRect/>
                    <a:stretch>
                      <a:fillRect/>
                    </a:stretch>
                  </pic:blipFill>
                  <pic:spPr bwMode="auto">
                    <a:xfrm>
                      <a:off x="0" y="0"/>
                      <a:ext cx="712343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7</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Attachment 1 to Memorandum of Understanding</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1260"/>
          </w:cols>
          <w:pgMar w:left="320" w:top="1362" w:right="319" w:bottom="1440" w:gutter="0" w:footer="0" w:header="0"/>
        </w:sectPr>
      </w:pPr>
    </w:p>
    <w:bookmarkStart w:id="48" w:name="page49"/>
    <w:bookmarkEnd w:id="48"/>
    <w:p>
      <w:pPr>
        <w:jc w:val="center"/>
        <w:ind w:right="-1100"/>
        <w:spacing w:after="0"/>
        <w:rPr>
          <w:sz w:val="20"/>
          <w:szCs w:val="20"/>
          <w:color w:val="auto"/>
        </w:rPr>
      </w:pPr>
      <w:r>
        <w:rPr>
          <w:rFonts w:ascii="Times New Roman" w:cs="Times New Roman" w:eastAsia="Times New Roman" w:hAnsi="Times New Roman"/>
          <w:sz w:val="22"/>
          <w:szCs w:val="22"/>
          <w:u w:val="single" w:color="auto"/>
          <w:color w:val="444444"/>
        </w:rPr>
        <w:t>Appendices to the Agreement</w:t>
      </w:r>
    </w:p>
    <w:p>
      <w:pPr>
        <w:spacing w:after="0" w:line="247"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22"/>
          <w:szCs w:val="22"/>
          <w:u w:val="single" w:color="auto"/>
          <w:color w:val="444444"/>
        </w:rPr>
        <w:t>Form of revisions to letter Agreements for the Test Aircraft are attached as Appendix 1 and Appendix 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UAL-MISC-2401633</w:t>
      </w:r>
      <w:r>
        <w:rPr>
          <w:sz w:val="20"/>
          <w:szCs w:val="20"/>
          <w:color w:val="auto"/>
        </w:rPr>
        <w:tab/>
      </w:r>
      <w:r>
        <w:rPr>
          <w:rFonts w:ascii="Times New Roman" w:cs="Times New Roman" w:eastAsia="Times New Roman" w:hAnsi="Times New Roman"/>
          <w:sz w:val="21"/>
          <w:szCs w:val="21"/>
          <w:color w:val="auto"/>
        </w:rPr>
        <w:t>Page 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Appendices to the Agreement</w:t>
      </w:r>
    </w:p>
    <w:p>
      <w:pPr>
        <w:spacing w:after="0" w:line="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BOEING/UNITED AIRLINES, INC. PROPRIETARY</w:t>
      </w:r>
    </w:p>
    <w:p>
      <w:pPr>
        <w:sectPr>
          <w:pgSz w:w="11900" w:h="16838" w:orient="portrait"/>
          <w:cols w:equalWidth="0" w:num="1">
            <w:col w:w="10139"/>
          </w:cols>
          <w:pgMar w:left="320" w:top="1273" w:right="1440" w:bottom="1440" w:gutter="0" w:footer="0" w:header="0"/>
        </w:sectPr>
      </w:pPr>
    </w:p>
    <w:bookmarkStart w:id="49" w:name="page50"/>
    <w:bookmarkEnd w:id="49"/>
    <w:p>
      <w:pPr>
        <w:ind w:left="64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The Boeing Company</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6480"/>
        <w:spacing w:after="0"/>
        <w:rPr>
          <w:sz w:val="20"/>
          <w:szCs w:val="20"/>
          <w:color w:val="auto"/>
        </w:rPr>
      </w:pPr>
      <w:r>
        <w:rPr>
          <w:rFonts w:ascii="Arial" w:cs="Arial" w:eastAsia="Arial" w:hAnsi="Arial"/>
          <w:sz w:val="13"/>
          <w:szCs w:val="13"/>
          <w:color w:val="808080"/>
        </w:rPr>
        <w:t>Seattle, WA 98124-2207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Appendix 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Form of Revised Model 737-*** Flight Test Certification Program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-29210</wp:posOffset>
            </wp:positionV>
            <wp:extent cx="477266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9">
                      <a:extLst>
                        <a:ext uri="{28A0092B-C50C-407E-A947-70E740481C1C}"/>
                      </a:extLst>
                    </a:blip>
                    <a:srcRect/>
                    <a:stretch>
                      <a:fillRect/>
                    </a:stretch>
                  </pic:blipFill>
                  <pic:spPr bwMode="auto">
                    <a:xfrm>
                      <a:off x="0" y="0"/>
                      <a:ext cx="477266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UAL-LA-1703800R3</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200" w:lineRule="exact"/>
        <w:rPr>
          <w:sz w:val="20"/>
          <w:szCs w:val="20"/>
          <w:color w:val="auto"/>
        </w:rPr>
      </w:pPr>
    </w:p>
    <w:p>
      <w:pPr>
        <w:spacing w:after="0" w:line="223"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Model 737-*** Flight Test Certification Program</w:t>
      </w:r>
    </w:p>
    <w:p>
      <w:pPr>
        <w:spacing w:after="0" w:line="324" w:lineRule="exact"/>
        <w:rPr>
          <w:sz w:val="20"/>
          <w:szCs w:val="20"/>
          <w:color w:val="auto"/>
        </w:rPr>
      </w:pPr>
    </w:p>
    <w:p>
      <w:pPr>
        <w:ind w:left="1400" w:hanging="1943"/>
        <w:spacing w:after="0" w:line="275" w:lineRule="auto"/>
        <w:tabs>
          <w:tab w:leader="none" w:pos="1380" w:val="left"/>
        </w:tabs>
        <w:rPr>
          <w:sz w:val="20"/>
          <w:szCs w:val="20"/>
          <w:color w:val="auto"/>
        </w:rPr>
      </w:pPr>
      <w:r>
        <w:rPr>
          <w:rFonts w:ascii="Times New Roman" w:cs="Times New Roman" w:eastAsia="Times New Roman" w:hAnsi="Times New Roman"/>
          <w:sz w:val="22"/>
          <w:szCs w:val="22"/>
          <w:color w:val="auto"/>
        </w:rPr>
        <w:t>References:</w:t>
      </w:r>
      <w:r>
        <w:rPr>
          <w:sz w:val="20"/>
          <w:szCs w:val="20"/>
          <w:color w:val="auto"/>
        </w:rPr>
        <w:tab/>
      </w:r>
      <w:r>
        <w:rPr>
          <w:rFonts w:ascii="Times New Roman" w:cs="Times New Roman" w:eastAsia="Times New Roman" w:hAnsi="Times New Roman"/>
          <w:sz w:val="22"/>
          <w:szCs w:val="22"/>
          <w:color w:val="auto"/>
        </w:rPr>
        <w:t>(1) Aircraft General Terms Agreement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identified as AGTA-CAL (</w:t>
      </w:r>
      <w:r>
        <w:rPr>
          <w:rFonts w:ascii="Times New Roman" w:cs="Times New Roman" w:eastAsia="Times New Roman" w:hAnsi="Times New Roman"/>
          <w:sz w:val="22"/>
          <w:szCs w:val="22"/>
          <w:b w:val="1"/>
          <w:bCs w:val="1"/>
          <w:color w:val="auto"/>
        </w:rPr>
        <w:t>AGTA</w:t>
      </w:r>
      <w:r>
        <w:rPr>
          <w:rFonts w:ascii="Times New Roman" w:cs="Times New Roman" w:eastAsia="Times New Roman" w:hAnsi="Times New Roman"/>
          <w:sz w:val="22"/>
          <w:szCs w:val="22"/>
          <w:color w:val="auto"/>
        </w:rPr>
        <w:t>); and</w:t>
      </w:r>
    </w:p>
    <w:p>
      <w:pPr>
        <w:spacing w:after="0" w:line="95" w:lineRule="exact"/>
        <w:rPr>
          <w:sz w:val="20"/>
          <w:szCs w:val="20"/>
          <w:color w:val="auto"/>
        </w:rPr>
      </w:pPr>
    </w:p>
    <w:p>
      <w:pPr>
        <w:ind w:left="1960" w:hanging="409"/>
        <w:spacing w:after="0" w:line="287" w:lineRule="auto"/>
        <w:tabs>
          <w:tab w:leader="none" w:pos="204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Agreement No. 04761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between Boeing and Customer relating to Model 737 MAX aircraft (</w:t>
      </w:r>
      <w:r>
        <w:rPr>
          <w:rFonts w:ascii="Times New Roman" w:cs="Times New Roman" w:eastAsia="Times New Roman" w:hAnsi="Times New Roman"/>
          <w:sz w:val="22"/>
          <w:szCs w:val="22"/>
          <w:b w:val="1"/>
          <w:bCs w:val="1"/>
          <w:color w:val="auto"/>
        </w:rPr>
        <w:t>Aircraft</w:t>
      </w:r>
      <w:r>
        <w:rPr>
          <w:rFonts w:ascii="Times New Roman" w:cs="Times New Roman" w:eastAsia="Times New Roman" w:hAnsi="Times New Roman"/>
          <w:sz w:val="22"/>
          <w:szCs w:val="22"/>
          <w:color w:val="auto"/>
        </w:rPr>
        <w: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2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This letter agreement (</w:t>
      </w:r>
      <w:r>
        <w:rPr>
          <w:rFonts w:ascii="Times New Roman" w:cs="Times New Roman" w:eastAsia="Times New Roman" w:hAnsi="Times New Roman"/>
          <w:sz w:val="22"/>
          <w:szCs w:val="22"/>
          <w:b w:val="1"/>
          <w:bCs w:val="1"/>
          <w:color w:val="auto"/>
        </w:rPr>
        <w:t>Letter Agreement</w:t>
      </w:r>
      <w:r>
        <w:rPr>
          <w:rFonts w:ascii="Times New Roman" w:cs="Times New Roman" w:eastAsia="Times New Roman" w:hAnsi="Times New Roman"/>
          <w:sz w:val="22"/>
          <w:szCs w:val="22"/>
          <w:color w:val="auto"/>
        </w:rPr>
        <w:t>) supplements the Purchase Agreement, and documents the agreement between the parties in connection with Boeing’s use of *** 737-*** Aircraft for flight and ground testing required to support the development, testing and certification of the 737-*** aircraft, as more fully described below. All terms used but not defined in this Letter Agreement shall have the same meaning as in the Purchase Agreement. This Letter Agreement supersedes and replaces in its entirety Letter Agreement UAL-LA-1703800R2 dated April 25, 2022.</w:t>
      </w:r>
    </w:p>
    <w:p>
      <w:pPr>
        <w:spacing w:after="0" w:line="177"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Boeing and Customer agree that *** Boeing Model 737-*** Aircraft scheduled to deliver in *** and *** (tentatively identifying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tentatively identifying ***; and tentatively identifying *** respectively) (such delivery *** are also shown in Column 5 of Figure 1) will be used by Boeing in its flight test program prior to delivery of such Aircraft for obtaining (i) the FAA Type and Airworthiness Certificates for the standard Model 737-*** aircraft, (ii) for any other testing required by the FAA for certification of the Model 737-*** aircraft, (iii) for any testing required by the European Aviation Safety Agency (EASA),</w:t>
      </w:r>
    </w:p>
    <w:p>
      <w:pPr>
        <w:spacing w:after="0" w:line="2" w:lineRule="exact"/>
        <w:rPr>
          <w:sz w:val="20"/>
          <w:szCs w:val="20"/>
          <w:color w:val="auto"/>
        </w:rPr>
      </w:pPr>
    </w:p>
    <w:p>
      <w:pPr>
        <w:ind w:right="20" w:firstLine="8"/>
        <w:spacing w:after="0" w:line="248" w:lineRule="auto"/>
        <w:tabs>
          <w:tab w:leader="none" w:pos="40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ETOPS program testing and (v) for any other tests as may be mutually agreed. The ***, the *** and the *** are hereinafter collectively</w:t>
      </w:r>
    </w:p>
    <w:p>
      <w:pPr>
        <w:sectPr>
          <w:pgSz w:w="11900" w:h="16838" w:orient="portrait"/>
          <w:cols w:equalWidth="0" w:num="1">
            <w:col w:w="11240"/>
          </w:cols>
          <w:pgMar w:left="320" w:top="7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2"/>
          <w:szCs w:val="22"/>
          <w:color w:val="auto"/>
        </w:rPr>
        <w:t>UAL-LA-1703800R3</w:t>
      </w:r>
      <w:r>
        <w:rPr>
          <w:sz w:val="20"/>
          <w:szCs w:val="20"/>
          <w:color w:val="auto"/>
        </w:rPr>
        <w:tab/>
      </w:r>
      <w:r>
        <w:rPr>
          <w:rFonts w:ascii="Times New Roman" w:cs="Times New Roman" w:eastAsia="Times New Roman" w:hAnsi="Times New Roman"/>
          <w:sz w:val="21"/>
          <w:szCs w:val="21"/>
          <w:color w:val="auto"/>
        </w:rPr>
        <w:t>Appendix 1</w:t>
      </w:r>
    </w:p>
    <w:p>
      <w:pPr>
        <w:spacing w:after="0" w:line="28" w:lineRule="exact"/>
        <w:rPr>
          <w:sz w:val="20"/>
          <w:szCs w:val="20"/>
          <w:color w:val="auto"/>
        </w:rPr>
      </w:pPr>
    </w:p>
    <w:p>
      <w:pPr>
        <w:jc w:val="right"/>
        <w:ind w:right="2800"/>
        <w:spacing w:after="0"/>
        <w:tabs>
          <w:tab w:leader="none" w:pos="920" w:val="left"/>
        </w:tabs>
        <w:rPr>
          <w:sz w:val="20"/>
          <w:szCs w:val="20"/>
          <w:color w:val="auto"/>
        </w:rPr>
      </w:pPr>
      <w:r>
        <w:rPr>
          <w:rFonts w:ascii="Times New Roman" w:cs="Times New Roman" w:eastAsia="Times New Roman" w:hAnsi="Times New Roman"/>
          <w:sz w:val="22"/>
          <w:szCs w:val="22"/>
          <w:color w:val="auto"/>
        </w:rPr>
        <w:t>Model 737-*** Flight Test Certification Program</w:t>
      </w:r>
      <w:r>
        <w:rPr>
          <w:sz w:val="20"/>
          <w:szCs w:val="20"/>
          <w:color w:val="auto"/>
        </w:rPr>
        <w:tab/>
      </w:r>
      <w:r>
        <w:rPr>
          <w:rFonts w:ascii="Times New Roman" w:cs="Times New Roman" w:eastAsia="Times New Roman" w:hAnsi="Times New Roman"/>
          <w:sz w:val="21"/>
          <w:szCs w:val="21"/>
          <w:color w:val="auto"/>
        </w:rPr>
        <w:t>LA Page 1</w:t>
      </w:r>
    </w:p>
    <w:p>
      <w:pPr>
        <w:sectPr>
          <w:pgSz w:w="11900" w:h="16838" w:orient="portrait"/>
          <w:cols w:equalWidth="0" w:num="1">
            <w:col w:w="11240"/>
          </w:cols>
          <w:pgMar w:left="320" w:top="761" w:right="339" w:bottom="1440" w:gutter="0" w:footer="0" w:header="0"/>
          <w:type w:val="continuous"/>
        </w:sectPr>
      </w:pPr>
    </w:p>
    <w:bookmarkStart w:id="50" w:name="page51"/>
    <w:bookmarkEnd w:id="5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 xml:space="preserve">referred to as the </w:t>
      </w:r>
      <w:r>
        <w:rPr>
          <w:rFonts w:ascii="Times New Roman" w:cs="Times New Roman" w:eastAsia="Times New Roman" w:hAnsi="Times New Roman"/>
          <w:sz w:val="22"/>
          <w:szCs w:val="22"/>
          <w:b w:val="1"/>
          <w:bCs w:val="1"/>
          <w:color w:val="auto"/>
        </w:rPr>
        <w:t>Test Aircraft</w:t>
      </w:r>
      <w:r>
        <w:rPr>
          <w:rFonts w:ascii="Times New Roman" w:cs="Times New Roman" w:eastAsia="Times New Roman" w:hAnsi="Times New Roman"/>
          <w:sz w:val="22"/>
          <w:szCs w:val="22"/>
          <w:color w:val="auto"/>
        </w:rPr>
        <w:t xml:space="preserve"> and such test programs are hereinafter referred to collectively as the </w:t>
      </w:r>
      <w:r>
        <w:rPr>
          <w:rFonts w:ascii="Times New Roman" w:cs="Times New Roman" w:eastAsia="Times New Roman" w:hAnsi="Times New Roman"/>
          <w:sz w:val="22"/>
          <w:szCs w:val="22"/>
          <w:b w:val="1"/>
          <w:bCs w:val="1"/>
          <w:color w:val="auto"/>
        </w:rPr>
        <w:t>Test Program</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The Test Aircraft will be manufactured *** and delivered to Customer in their scheduled delivery *** pursuant to Table 1 of the Purchase Agreement. It is hereby agreed that Customer will accept delivery of the Test Aircraft *** thereof on account of the *** resulting from the Test Program subject to the provisions set forth herein. The Test Program for each *** specified in Column 2 of the following Figure 1.</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Figure 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Column 1</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Column 2</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9"/>
              </w:rPr>
              <w:t>Column 3</w:t>
            </w:r>
          </w:p>
        </w:tc>
        <w:tc>
          <w:tcPr>
            <w:tcW w:w="16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9"/>
              </w:rPr>
              <w:t>Column 4</w:t>
            </w:r>
          </w:p>
        </w:tc>
        <w:tc>
          <w:tcPr>
            <w:tcW w:w="2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i w:val="1"/>
                <w:iCs w:val="1"/>
                <w:color w:val="auto"/>
                <w:w w:val="97"/>
              </w:rPr>
              <w:t>Column 5</w:t>
            </w:r>
          </w:p>
        </w:tc>
      </w:tr>
      <w:tr>
        <w:trPr>
          <w:trHeight w:val="42"/>
        </w:trPr>
        <w:tc>
          <w:tcPr>
            <w:tcW w:w="2840" w:type="dxa"/>
            <w:vAlign w:val="bottom"/>
            <w:tcBorders>
              <w:left w:val="single" w:sz="8" w:color="auto"/>
              <w:bottom w:val="single" w:sz="8" w:color="auto"/>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2180" w:type="dxa"/>
            <w:vAlign w:val="bottom"/>
            <w:tcBorders>
              <w:bottom w:val="single" w:sz="8" w:color="auto"/>
              <w:right w:val="single" w:sz="8" w:color="auto"/>
            </w:tcBorders>
          </w:tcPr>
          <w:p>
            <w:pPr>
              <w:spacing w:after="0"/>
              <w:rPr>
                <w:sz w:val="3"/>
                <w:szCs w:val="3"/>
                <w:color w:val="auto"/>
              </w:rPr>
            </w:pPr>
          </w:p>
        </w:tc>
      </w:tr>
      <w:tr>
        <w:trPr>
          <w:trHeight w:val="300"/>
        </w:trPr>
        <w:tc>
          <w:tcPr>
            <w:tcW w:w="2840" w:type="dxa"/>
            <w:vAlign w:val="bottom"/>
            <w:tcBorders>
              <w:left w:val="single" w:sz="8" w:color="auto"/>
              <w:right w:val="single" w:sz="8" w:color="auto"/>
            </w:tcBorders>
          </w:tcPr>
          <w:p>
            <w:pPr>
              <w:spacing w:after="0"/>
              <w:rPr>
                <w:sz w:val="24"/>
                <w:szCs w:val="24"/>
                <w:color w:val="auto"/>
              </w:rPr>
            </w:pP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Target Delivery</w:t>
            </w:r>
          </w:p>
        </w:tc>
      </w:tr>
      <w:tr>
        <w:trPr>
          <w:trHeight w:val="286"/>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Aircraft</w:t>
            </w:r>
          </w:p>
        </w:tc>
        <w:tc>
          <w:tcPr>
            <w:tcW w:w="2840" w:type="dxa"/>
            <w:vAlign w:val="bottom"/>
            <w:tcBorders>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w:t>
            </w:r>
          </w:p>
        </w:tc>
      </w:tr>
      <w:tr>
        <w:trPr>
          <w:trHeight w:val="56"/>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284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r>
      <w:tr>
        <w:trPr>
          <w:trHeight w:val="289"/>
        </w:trPr>
        <w:tc>
          <w:tcPr>
            <w:tcW w:w="28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c>
          <w:tcPr>
            <w:tcW w:w="2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w:t>
            </w:r>
          </w:p>
        </w:tc>
      </w:tr>
      <w:tr>
        <w:trPr>
          <w:trHeight w:val="29"/>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r>
    </w:tbl>
    <w:p>
      <w:pPr>
        <w:spacing w:after="0" w:line="29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If, during the Test Program, Boeing determines it will *** specified in Figure 1 for an applicable Test Aircraft, then Boeing agrees to so notify Customer. In such an event, Boeing ***.</w:t>
      </w:r>
    </w:p>
    <w:p>
      <w:pPr>
        <w:spacing w:after="0" w:line="158" w:lineRule="exact"/>
        <w:rPr>
          <w:sz w:val="20"/>
          <w:szCs w:val="20"/>
          <w:color w:val="auto"/>
        </w:rPr>
      </w:pPr>
    </w:p>
    <w:p>
      <w:pPr>
        <w:ind w:left="1140" w:hanging="484"/>
        <w:spacing w:after="0"/>
        <w:tabs>
          <w:tab w:leader="none" w:pos="11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Test Aircraft Refurbishment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2"/>
          <w:szCs w:val="22"/>
          <w:color w:val="auto"/>
        </w:rPr>
        <w:t>Boeing will refurbish each Test Aircraft prior to the date of its first Customer demonstration flight under the Purchase Agreement to ensure such Test Aircraft is in compliance with the Detail Specification. ***. Analysis, inspections, and determination of repairs or replacements will be performed to Boeing standards and reasonably acceptable to Customer in accordance with the standard 737 customer inspection process. *** (if any) shall be subject to discussion between Boeing and Customer so as to determine the most reasonable and practicable ***, and Boeing shall be responsible for *** and reasonably acceptable to Customer in accordance with the standard 737 customer inspection process. Each *** will be in a flight test livery during the Test Program until such *** prior to delivery to Customer.</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UAL-LA-1703800R3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1</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Model 737-*** Flight Test Certification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 Page 2</w:t>
      </w:r>
    </w:p>
    <w:p>
      <w:pPr>
        <w:sectPr>
          <w:pgSz w:w="11900" w:h="16838" w:orient="portrait"/>
          <w:cols w:equalWidth="0" w:num="3">
            <w:col w:w="1900" w:space="420"/>
            <w:col w:w="4760" w:space="420"/>
            <w:col w:w="3760"/>
          </w:cols>
          <w:pgMar w:left="320" w:top="1440" w:right="319" w:bottom="1440"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322" w:lineRule="exact"/>
        <w:rPr>
          <w:sz w:val="20"/>
          <w:szCs w:val="20"/>
          <w:color w:val="auto"/>
        </w:rPr>
      </w:pPr>
    </w:p>
    <w:p>
      <w:pPr>
        <w:ind w:left="1140" w:hanging="484"/>
        <w:spacing w:after="0"/>
        <w:tabs>
          <w:tab w:leader="none" w:pos="11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of Wiring and Test Instrumentation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253"/>
        <w:spacing w:after="0" w:line="255" w:lineRule="auto"/>
        <w:rPr>
          <w:sz w:val="20"/>
          <w:szCs w:val="20"/>
          <w:color w:val="auto"/>
        </w:rPr>
      </w:pPr>
      <w:r>
        <w:rPr>
          <w:rFonts w:ascii="Times New Roman" w:cs="Times New Roman" w:eastAsia="Times New Roman" w:hAnsi="Times New Roman"/>
          <w:sz w:val="22"/>
          <w:szCs w:val="22"/>
          <w:color w:val="auto"/>
        </w:rPr>
        <w:t>The wiring installation in each Test Aircraft will be the same as in the other Aircraft being purchased by Customer under the Purchase Agreement, *** permitted by contract and ***. Boeing shall remove all flight test wiring and instrumentation to the extent practicable *** Test Aircraft under the Purchase Agreement. Boeing will provide Customer with a written report of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Test Aircraft. Boeing will ensure that *** Test Aircraft systems at delivery to Customer.</w:t>
      </w:r>
    </w:p>
    <w:p>
      <w:pPr>
        <w:spacing w:after="0" w:line="196"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Notice and Service Bulletin Incorporation</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During the refurbishment of the Test Aircraft, Boeing will incorporate all applicable Production Revision Records (</w:t>
      </w:r>
      <w:r>
        <w:rPr>
          <w:rFonts w:ascii="Times New Roman" w:cs="Times New Roman" w:eastAsia="Times New Roman" w:hAnsi="Times New Roman"/>
          <w:sz w:val="22"/>
          <w:szCs w:val="22"/>
          <w:b w:val="1"/>
          <w:bCs w:val="1"/>
          <w:color w:val="auto"/>
        </w:rPr>
        <w:t>PRR</w:t>
      </w:r>
      <w:r>
        <w:rPr>
          <w:rFonts w:ascii="Times New Roman" w:cs="Times New Roman" w:eastAsia="Times New Roman" w:hAnsi="Times New Roman"/>
          <w:sz w:val="22"/>
          <w:szCs w:val="22"/>
          <w:color w:val="auto"/>
        </w:rPr>
        <w:t>s) and service bulletins which are released by Boeing for incorporation in other Aircraft scheduled for delivery to Customer prior to the scheduled delivery of the Test Aircraft except for any such PRRs and/or service bulletins which *** on the Test Aircraft; provided, in *** of either Test Aircraft under the Purchase Agreement. Boeing will review its plans for incorporation of such PRRs and service bulletins with Customer prior to the refurbishment of the Test Aircraft. Any delay in the delivery of the Test Aircraft resulting from the incorporation of such PRRs and/or service bulletins shall be *** of the AGTA. If the reason for not incorporating any such PRR or service bulletin is the unavailability of ***, Boeing will ***.</w:t>
      </w:r>
    </w:p>
    <w:p>
      <w:pPr>
        <w:spacing w:after="0" w:line="184" w:lineRule="exact"/>
        <w:rPr>
          <w:sz w:val="20"/>
          <w:szCs w:val="20"/>
          <w:color w:val="auto"/>
        </w:rPr>
      </w:pPr>
    </w:p>
    <w:p>
      <w:pPr>
        <w:ind w:left="1140" w:hanging="484"/>
        <w:spacing w:after="0"/>
        <w:tabs>
          <w:tab w:leader="none" w:pos="11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Engine ***</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engines used for the Test Program will ***.</w:t>
      </w:r>
    </w:p>
    <w:p>
      <w:pPr>
        <w:spacing w:after="0" w:line="220" w:lineRule="exact"/>
        <w:rPr>
          <w:sz w:val="20"/>
          <w:szCs w:val="20"/>
          <w:color w:val="auto"/>
        </w:rPr>
      </w:pPr>
    </w:p>
    <w:p>
      <w:pPr>
        <w:ind w:left="1140" w:hanging="484"/>
        <w:spacing w:after="0"/>
        <w:tabs>
          <w:tab w:leader="none" w:pos="11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Life Limited Parts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Prior to delivery of Test Aircraft, Boeing will ***.</w:t>
      </w:r>
    </w:p>
    <w:p>
      <w:pPr>
        <w:spacing w:after="0" w:line="220" w:lineRule="exact"/>
        <w:rPr>
          <w:sz w:val="20"/>
          <w:szCs w:val="20"/>
          <w:color w:val="auto"/>
        </w:rPr>
      </w:pPr>
    </w:p>
    <w:p>
      <w:pPr>
        <w:ind w:left="1140" w:hanging="484"/>
        <w:spacing w:after="0"/>
        <w:tabs>
          <w:tab w:leader="none" w:pos="11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Aircraft Maintenance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Boeing will maintain the Test Aircraft to Boeing standards. Boeing will accomplish all required maintenance and inspections consistent with the accumulated hours, cycles and days on the Test Aircraft, prior to their delivery. At time of Test Aircraft delivery, Boeing will provide Customer a maintenance log in Customer's format with one Maintenance Check Completion Status Summary report provided in the delivery package. The Maintenance Review Board Report will be used to set the starting level of Customer's maintenance program at the time of Test Aircraft delivery.</w:t>
      </w:r>
    </w:p>
    <w:p>
      <w:pPr>
        <w:spacing w:after="0" w:line="1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All Maintenance Planning Document (</w:t>
      </w:r>
      <w:r>
        <w:rPr>
          <w:rFonts w:ascii="Times New Roman" w:cs="Times New Roman" w:eastAsia="Times New Roman" w:hAnsi="Times New Roman"/>
          <w:sz w:val="22"/>
          <w:szCs w:val="22"/>
          <w:b w:val="1"/>
          <w:bCs w:val="1"/>
          <w:color w:val="auto"/>
        </w:rPr>
        <w:t>MPD</w:t>
      </w:r>
      <w:r>
        <w:rPr>
          <w:rFonts w:ascii="Times New Roman" w:cs="Times New Roman" w:eastAsia="Times New Roman" w:hAnsi="Times New Roman"/>
          <w:sz w:val="22"/>
          <w:szCs w:val="22"/>
          <w:color w:val="auto"/>
        </w:rPr>
        <w:t>) scheduled maintenance tasks that are driven by calendar time will start at delivery of the Test Aircraft to Customer ***.</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UAL-LA-1703800R3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1</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Model 737-*** Flight Test Certification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 Page 3</w:t>
      </w:r>
    </w:p>
    <w:p>
      <w:pPr>
        <w:sectPr>
          <w:pgSz w:w="11900" w:h="16838" w:orient="portrait"/>
          <w:cols w:equalWidth="0" w:num="3">
            <w:col w:w="1900" w:space="420"/>
            <w:col w:w="4760" w:space="420"/>
            <w:col w:w="3740"/>
          </w:cols>
          <w:pgMar w:left="320" w:top="1440" w:right="33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14" w:lineRule="exact"/>
        <w:rPr>
          <w:sz w:val="20"/>
          <w:szCs w:val="20"/>
          <w:color w:val="auto"/>
        </w:rPr>
      </w:pPr>
    </w:p>
    <w:p>
      <w:pPr>
        <w:ind w:left="1140" w:hanging="484"/>
        <w:spacing w:after="0"/>
        <w:tabs>
          <w:tab w:leader="none" w:pos="11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terms and conditions of the Product Assurance Document (Exhibit C to the AGTA) will ***. If any Boeing supplier, except the engine manufacturer, refuses to honor any valid warranty claim submitted by Customer *** relating to the Test Program or refurbishment, Boeing will ***.</w:t>
      </w:r>
    </w:p>
    <w:p>
      <w:pPr>
        <w:spacing w:after="0" w:line="59" w:lineRule="exact"/>
        <w:rPr>
          <w:sz w:val="20"/>
          <w:szCs w:val="20"/>
          <w:color w:val="auto"/>
        </w:rPr>
      </w:pPr>
    </w:p>
    <w:p>
      <w:pPr>
        <w:ind w:left="1140" w:hanging="484"/>
        <w:spacing w:after="0"/>
        <w:tabs>
          <w:tab w:leader="none" w:pos="114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Flight Test BFE Matters</w:t>
      </w:r>
      <w:r>
        <w:rPr>
          <w:rFonts w:ascii="Times New Roman" w:cs="Times New Roman" w:eastAsia="Times New Roman" w:hAnsi="Times New Roman"/>
          <w:sz w:val="22"/>
          <w:szCs w:val="22"/>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Should there be any applicable Buyer Furnished Equipment (</w:t>
      </w:r>
      <w:r>
        <w:rPr>
          <w:rFonts w:ascii="Times New Roman" w:cs="Times New Roman" w:eastAsia="Times New Roman" w:hAnsi="Times New Roman"/>
          <w:sz w:val="22"/>
          <w:szCs w:val="22"/>
          <w:b w:val="1"/>
          <w:bCs w:val="1"/>
          <w:color w:val="auto"/>
        </w:rPr>
        <w:t>BFE</w:t>
      </w:r>
      <w:r>
        <w:rPr>
          <w:rFonts w:ascii="Times New Roman" w:cs="Times New Roman" w:eastAsia="Times New Roman" w:hAnsi="Times New Roman"/>
          <w:sz w:val="22"/>
          <w:szCs w:val="22"/>
          <w:color w:val="auto"/>
        </w:rPr>
        <w:t>) for Customer’s Aircraft, Customer will provide such BFE and any associated BFE spare parts (</w:t>
      </w:r>
      <w:r>
        <w:rPr>
          <w:rFonts w:ascii="Times New Roman" w:cs="Times New Roman" w:eastAsia="Times New Roman" w:hAnsi="Times New Roman"/>
          <w:sz w:val="22"/>
          <w:szCs w:val="22"/>
          <w:b w:val="1"/>
          <w:bCs w:val="1"/>
          <w:color w:val="auto"/>
        </w:rPr>
        <w:t>BFE Spares</w:t>
      </w:r>
      <w:r>
        <w:rPr>
          <w:rFonts w:ascii="Times New Roman" w:cs="Times New Roman" w:eastAsia="Times New Roman" w:hAnsi="Times New Roman"/>
          <w:sz w:val="22"/>
          <w:szCs w:val="22"/>
          <w:color w:val="auto"/>
        </w:rPr>
        <w:t>) for the Test Aircraft to meet the requirements mutually agreed to by Boeing and Customer. The identification and scheduled on dock requirement dates for such BFE and BFE Spares will be specified by Boeing in the BFE Document. Upon completion of the Test Program, any BFE Spares provided by Customer for the Test Program will be allocated to fulfill open production requirements for Customer’s Aircraft, or returned to Customer, at Customer’s option.</w:t>
      </w:r>
    </w:p>
    <w:p>
      <w:pPr>
        <w:spacing w:after="0" w:line="1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BFE provided by the Customer to Boeing for installation on a Test Aircraft is damaged or otherwise requires replacement prior to delivery of such Test Aircraft to Customer, and if Customer has the *** BFE at an ***, then Boeing *** by Customer to its BFE supplier(s).</w:t>
      </w:r>
    </w:p>
    <w:p>
      <w:pPr>
        <w:spacing w:after="0" w:line="132" w:lineRule="exact"/>
        <w:rPr>
          <w:sz w:val="20"/>
          <w:szCs w:val="20"/>
          <w:color w:val="auto"/>
        </w:rPr>
      </w:pPr>
    </w:p>
    <w:p>
      <w:pPr>
        <w:ind w:left="1140" w:hanging="484"/>
        <w:spacing w:after="0"/>
        <w:tabs>
          <w:tab w:leader="none" w:pos="11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Terms and Conditions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right="20" w:firstLine="1053"/>
        <w:spacing w:after="0" w:line="257" w:lineRule="auto"/>
        <w:rPr>
          <w:sz w:val="20"/>
          <w:szCs w:val="20"/>
          <w:color w:val="auto"/>
        </w:rPr>
      </w:pPr>
      <w:r>
        <w:rPr>
          <w:rFonts w:ascii="Times New Roman" w:cs="Times New Roman" w:eastAsia="Times New Roman" w:hAnsi="Times New Roman"/>
          <w:sz w:val="22"/>
          <w:szCs w:val="22"/>
          <w:color w:val="auto"/>
        </w:rPr>
        <w:t>9.1 All terms and conditions relating to the manufacture, sale and purchase of the Aircraft as set forth in the Purchase Agreement will remain in full force and effect for the Test Aircraft, except as supplemented by the provisions set forth herein.</w:t>
      </w:r>
    </w:p>
    <w:p>
      <w:pPr>
        <w:spacing w:after="0" w:line="173" w:lineRule="exact"/>
        <w:rPr>
          <w:sz w:val="20"/>
          <w:szCs w:val="20"/>
          <w:color w:val="auto"/>
        </w:rPr>
      </w:pPr>
    </w:p>
    <w:p>
      <w:pPr>
        <w:jc w:val="both"/>
        <w:ind w:firstLine="1053"/>
        <w:spacing w:after="0" w:line="284" w:lineRule="auto"/>
        <w:rPr>
          <w:sz w:val="20"/>
          <w:szCs w:val="20"/>
          <w:color w:val="auto"/>
        </w:rPr>
      </w:pPr>
      <w:r>
        <w:rPr>
          <w:rFonts w:ascii="Times New Roman" w:cs="Times New Roman" w:eastAsia="Times New Roman" w:hAnsi="Times New Roman"/>
          <w:sz w:val="22"/>
          <w:szCs w:val="22"/>
          <w:color w:val="auto"/>
        </w:rPr>
        <w:t>9.2 In consideration of Customer’s agreement to the terms and conditions herein, Boeing will *** the following items:</w:t>
      </w:r>
    </w:p>
    <w:p>
      <w:pPr>
        <w:spacing w:after="0" w:line="144" w:lineRule="exact"/>
        <w:rPr>
          <w:sz w:val="20"/>
          <w:szCs w:val="20"/>
          <w:color w:val="auto"/>
        </w:rPr>
      </w:pPr>
    </w:p>
    <w:p>
      <w:pPr>
        <w:ind w:left="1700" w:hanging="639"/>
        <w:spacing w:after="0"/>
        <w:tabs>
          <w:tab w:leader="none" w:pos="17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Master change no. 7200MK*** entitled “REVISE - GE ***” for Aircraft with variable block no. ***; and</w:t>
      </w:r>
    </w:p>
    <w:p>
      <w:pPr>
        <w:spacing w:after="0" w:line="219" w:lineRule="exact"/>
        <w:rPr>
          <w:rFonts w:ascii="Times New Roman" w:cs="Times New Roman" w:eastAsia="Times New Roman" w:hAnsi="Times New Roman"/>
          <w:sz w:val="22"/>
          <w:szCs w:val="22"/>
          <w:color w:val="auto"/>
        </w:rPr>
      </w:pPr>
    </w:p>
    <w:p>
      <w:pPr>
        <w:ind w:left="1700" w:hanging="639"/>
        <w:spacing w:after="0"/>
        <w:tabs>
          <w:tab w:leader="none" w:pos="17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of Customer’s *** 737-***/737-*** aircraft.</w:t>
      </w:r>
    </w:p>
    <w:p>
      <w:pPr>
        <w:spacing w:after="0" w:line="220" w:lineRule="exact"/>
        <w:rPr>
          <w:sz w:val="20"/>
          <w:szCs w:val="20"/>
          <w:color w:val="auto"/>
        </w:rPr>
      </w:pPr>
    </w:p>
    <w:p>
      <w:pPr>
        <w:ind w:right="20" w:firstLine="1053"/>
        <w:spacing w:after="0" w:line="271" w:lineRule="auto"/>
        <w:rPr>
          <w:sz w:val="20"/>
          <w:szCs w:val="20"/>
          <w:color w:val="auto"/>
        </w:rPr>
      </w:pPr>
      <w:r>
        <w:rPr>
          <w:rFonts w:ascii="Times New Roman" w:cs="Times New Roman" w:eastAsia="Times New Roman" w:hAnsi="Times New Roman"/>
          <w:sz w:val="22"/>
          <w:szCs w:val="22"/>
          <w:color w:val="auto"/>
        </w:rPr>
        <w:t>9.3 For the ***, in lieu of ***, Boeing will provide to Customer *** which will be issued to Customer at the time of delivery of the ***.</w:t>
      </w:r>
    </w:p>
    <w:p>
      <w:pPr>
        <w:spacing w:after="0" w:line="171" w:lineRule="exact"/>
        <w:rPr>
          <w:sz w:val="20"/>
          <w:szCs w:val="20"/>
          <w:color w:val="auto"/>
        </w:rPr>
      </w:pPr>
    </w:p>
    <w:p>
      <w:pPr>
        <w:ind w:left="1140" w:hanging="484"/>
        <w:spacing w:after="0"/>
        <w:tabs>
          <w:tab w:leader="none" w:pos="11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UAL-PA-04761-LA-1801470 of Purchase Agreement No 04761 between the parties relating to Model 737 aircraft entitled “</w:t>
      </w:r>
      <w:r>
        <w:rPr>
          <w:rFonts w:ascii="Times New Roman" w:cs="Times New Roman" w:eastAsia="Times New Roman" w:hAnsi="Times New Roman"/>
          <w:sz w:val="22"/>
          <w:szCs w:val="22"/>
          <w:u w:val="single" w:color="auto"/>
          <w:color w:val="auto"/>
        </w:rPr>
        <w:t>Privileged and Confidential Matters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UAL-LA-1703800R3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1</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Model 737-*** Flight Test Certification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 Page 4</w:t>
      </w:r>
    </w:p>
    <w:p>
      <w:pPr>
        <w:sectPr>
          <w:pgSz w:w="11900" w:h="16838" w:orient="portrait"/>
          <w:cols w:equalWidth="0" w:num="3">
            <w:col w:w="1900" w:space="420"/>
            <w:col w:w="4760" w:space="420"/>
            <w:col w:w="3740"/>
          </w:cols>
          <w:pgMar w:left="320" w:top="1440" w:right="33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3">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3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36830</wp:posOffset>
            </wp:positionV>
            <wp:extent cx="33604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21" w:lineRule="exact"/>
        <w:rPr>
          <w:sz w:val="20"/>
          <w:szCs w:val="20"/>
          <w:color w:val="auto"/>
        </w:rPr>
      </w:pPr>
    </w:p>
    <w:p>
      <w:pPr>
        <w:ind w:left="80"/>
        <w:spacing w:after="0"/>
        <w:tabs>
          <w:tab w:leader="none" w:pos="10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36830</wp:posOffset>
            </wp:positionV>
            <wp:extent cx="336042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5">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3940" w:val="left"/>
        </w:tabs>
        <w:rPr>
          <w:sz w:val="20"/>
          <w:szCs w:val="20"/>
          <w:color w:val="auto"/>
        </w:rPr>
      </w:pPr>
      <w:r>
        <w:rPr>
          <w:rFonts w:ascii="Times New Roman" w:cs="Times New Roman" w:eastAsia="Times New Roman" w:hAnsi="Times New Roman"/>
          <w:sz w:val="22"/>
          <w:szCs w:val="22"/>
          <w:color w:val="auto"/>
        </w:rPr>
        <w:t>AGREED AND ACCEPTED this _______</w:t>
      </w:r>
      <w:r>
        <w:rPr>
          <w:sz w:val="20"/>
          <w:szCs w:val="20"/>
          <w:color w:val="auto"/>
        </w:rPr>
        <w:tab/>
      </w:r>
      <w:r>
        <w:rPr>
          <w:rFonts w:ascii="Times New Roman" w:cs="Times New Roman" w:eastAsia="Times New Roman" w:hAnsi="Times New Roman"/>
          <w:sz w:val="21"/>
          <w:szCs w:val="21"/>
          <w:color w:val="auto"/>
        </w:rPr>
        <w:t>day of _______ of 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13716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7432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7">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2743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UAL-LA-1703800R3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Appendix 1</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Model 737-*** Flight Test Certification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 Page 5</w:t>
      </w:r>
    </w:p>
    <w:p>
      <w:pPr>
        <w:sectPr>
          <w:pgSz w:w="11900" w:h="16838" w:orient="portrait"/>
          <w:cols w:equalWidth="0" w:num="3">
            <w:col w:w="1900" w:space="420"/>
            <w:col w:w="4760" w:space="420"/>
            <w:col w:w="2639"/>
          </w:cols>
          <w:pgMar w:left="320" w:top="1440" w:right="1440" w:bottom="1440" w:gutter="0" w:footer="0" w:header="0"/>
          <w:type w:val="continuous"/>
        </w:sectPr>
      </w:pPr>
    </w:p>
    <w:bookmarkStart w:id="54" w:name="page55"/>
    <w:bookmarkEnd w:id="54"/>
    <w:p>
      <w:pPr>
        <w:ind w:left="6480"/>
        <w:spacing w:after="0"/>
        <w:rPr>
          <w:sz w:val="20"/>
          <w:szCs w:val="20"/>
          <w:color w:val="auto"/>
        </w:rPr>
      </w:pPr>
      <w:r>
        <w:rPr>
          <w:rFonts w:ascii="Arial" w:cs="Arial" w:eastAsia="Arial" w:hAnsi="Arial"/>
          <w:sz w:val="13"/>
          <w:szCs w:val="13"/>
          <w:color w:val="808080"/>
        </w:rPr>
        <w:drawing>
          <wp:anchor simplePos="0" relativeHeight="251657728" behindDoc="1" locked="0" layoutInCell="0" allowOverlap="1">
            <wp:simplePos x="0" y="0"/>
            <wp:positionH relativeFrom="page">
              <wp:posOffset>208280</wp:posOffset>
            </wp:positionH>
            <wp:positionV relativeFrom="page">
              <wp:posOffset>397510</wp:posOffset>
            </wp:positionV>
            <wp:extent cx="1474470" cy="3429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t>The Boeing Company</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3"/>
          <w:szCs w:val="13"/>
          <w:color w:val="808080"/>
        </w:rPr>
        <w:t>P.O. Box 3707</w:t>
      </w:r>
    </w:p>
    <w:p>
      <w:pPr>
        <w:spacing w:after="0" w:line="13" w:lineRule="exact"/>
        <w:rPr>
          <w:sz w:val="20"/>
          <w:szCs w:val="20"/>
          <w:color w:val="auto"/>
        </w:rPr>
      </w:pPr>
    </w:p>
    <w:p>
      <w:pPr>
        <w:ind w:left="6480"/>
        <w:spacing w:after="0"/>
        <w:rPr>
          <w:sz w:val="20"/>
          <w:szCs w:val="20"/>
          <w:color w:val="auto"/>
        </w:rPr>
      </w:pPr>
      <w:r>
        <w:rPr>
          <w:rFonts w:ascii="Arial" w:cs="Arial" w:eastAsia="Arial" w:hAnsi="Arial"/>
          <w:sz w:val="13"/>
          <w:szCs w:val="13"/>
          <w:color w:val="808080"/>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8635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Appendix 2</w:t>
      </w:r>
    </w:p>
    <w:p>
      <w:pPr>
        <w:spacing w:after="0" w:line="3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Form of Revised Model 737-*** Flight Test Aircraft *** Letter Agreement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UAL-LA-18008018R1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Airlines,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233 South Wacker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Illinois 60606</w:t>
      </w:r>
    </w:p>
    <w:p>
      <w:pPr>
        <w:spacing w:after="0" w:line="30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Subject:</w:t>
      </w:r>
      <w:r>
        <w:rPr>
          <w:sz w:val="20"/>
          <w:szCs w:val="20"/>
          <w:color w:val="auto"/>
        </w:rPr>
        <w:tab/>
      </w:r>
      <w:r>
        <w:rPr>
          <w:rFonts w:ascii="Times New Roman" w:cs="Times New Roman" w:eastAsia="Times New Roman" w:hAnsi="Times New Roman"/>
          <w:sz w:val="21"/>
          <w:szCs w:val="21"/>
          <w:color w:val="auto"/>
        </w:rPr>
        <w:t>737-*** Flight Test Aircraft ***</w:t>
      </w:r>
    </w:p>
    <w:p>
      <w:pPr>
        <w:spacing w:after="0" w:line="175" w:lineRule="exact"/>
        <w:rPr>
          <w:sz w:val="20"/>
          <w:szCs w:val="20"/>
          <w:color w:val="auto"/>
        </w:rPr>
      </w:pPr>
    </w:p>
    <w:p>
      <w:pPr>
        <w:jc w:val="both"/>
        <w:ind w:left="1340" w:hanging="1619"/>
        <w:spacing w:after="0" w:line="259" w:lineRule="auto"/>
        <w:tabs>
          <w:tab w:leader="none" w:pos="1320" w:val="left"/>
        </w:tabs>
        <w:rPr>
          <w:sz w:val="20"/>
          <w:szCs w:val="20"/>
          <w:color w:val="auto"/>
        </w:rPr>
      </w:pPr>
      <w:r>
        <w:rPr>
          <w:rFonts w:ascii="Times New Roman" w:cs="Times New Roman" w:eastAsia="Times New Roman" w:hAnsi="Times New Roman"/>
          <w:sz w:val="22"/>
          <w:szCs w:val="22"/>
          <w:color w:val="auto"/>
        </w:rPr>
        <w:t>References:</w:t>
        <w:tab/>
        <w:t>(1) Purchase Agreement No. 04761 (</w:t>
      </w:r>
      <w:r>
        <w:rPr>
          <w:rFonts w:ascii="Times New Roman" w:cs="Times New Roman" w:eastAsia="Times New Roman" w:hAnsi="Times New Roman"/>
          <w:sz w:val="22"/>
          <w:szCs w:val="22"/>
          <w:b w:val="1"/>
          <w:bCs w:val="1"/>
          <w:color w:val="auto"/>
        </w:rPr>
        <w:t>Second MAX Purchase Agreement</w:t>
      </w:r>
      <w:r>
        <w:rPr>
          <w:rFonts w:ascii="Times New Roman" w:cs="Times New Roman" w:eastAsia="Times New Roman" w:hAnsi="Times New Roman"/>
          <w:sz w:val="22"/>
          <w:szCs w:val="22"/>
          <w:color w:val="auto"/>
        </w:rPr>
        <w:t>) between The Boeing Company (</w:t>
      </w:r>
      <w:r>
        <w:rPr>
          <w:rFonts w:ascii="Times New Roman" w:cs="Times New Roman" w:eastAsia="Times New Roman" w:hAnsi="Times New Roman"/>
          <w:sz w:val="22"/>
          <w:szCs w:val="22"/>
          <w:b w:val="1"/>
          <w:bCs w:val="1"/>
          <w:color w:val="auto"/>
        </w:rPr>
        <w:t>Boeing</w:t>
      </w:r>
      <w:r>
        <w:rPr>
          <w:rFonts w:ascii="Times New Roman" w:cs="Times New Roman" w:eastAsia="Times New Roman" w:hAnsi="Times New Roman"/>
          <w:sz w:val="22"/>
          <w:szCs w:val="22"/>
          <w:color w:val="auto"/>
        </w:rPr>
        <w:t>) and United Airlines, Inc. (</w:t>
      </w:r>
      <w:r>
        <w:rPr>
          <w:rFonts w:ascii="Times New Roman" w:cs="Times New Roman" w:eastAsia="Times New Roman" w:hAnsi="Times New Roman"/>
          <w:sz w:val="22"/>
          <w:szCs w:val="22"/>
          <w:b w:val="1"/>
          <w:bCs w:val="1"/>
          <w:color w:val="auto"/>
        </w:rPr>
        <w:t>Customer</w:t>
      </w:r>
      <w:r>
        <w:rPr>
          <w:rFonts w:ascii="Times New Roman" w:cs="Times New Roman" w:eastAsia="Times New Roman" w:hAnsi="Times New Roman"/>
          <w:sz w:val="22"/>
          <w:szCs w:val="22"/>
          <w:color w:val="auto"/>
        </w:rPr>
        <w:t>) relating to Model 737 MAX aircraft as amended and supplemented;</w:t>
      </w:r>
    </w:p>
    <w:p>
      <w:pPr>
        <w:spacing w:after="0" w:line="112" w:lineRule="exact"/>
        <w:rPr>
          <w:sz w:val="20"/>
          <w:szCs w:val="20"/>
          <w:color w:val="auto"/>
        </w:rPr>
      </w:pPr>
    </w:p>
    <w:p>
      <w:pPr>
        <w:ind w:left="1620" w:right="20" w:hanging="316"/>
        <w:spacing w:after="0" w:line="275" w:lineRule="auto"/>
        <w:tabs>
          <w:tab w:leader="none" w:pos="201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UAL-PA-04761-LA-1801473 between the parties entitled “737-10 Aircraft ***” (</w:t>
      </w:r>
      <w:r>
        <w:rPr>
          <w:rFonts w:ascii="Times New Roman" w:cs="Times New Roman" w:eastAsia="Times New Roman" w:hAnsi="Times New Roman"/>
          <w:sz w:val="22"/>
          <w:szCs w:val="22"/>
          <w:b w:val="1"/>
          <w:bCs w:val="1"/>
          <w:color w:val="auto"/>
        </w:rPr>
        <w:t>Second ***</w:t>
      </w:r>
      <w:r>
        <w:rPr>
          <w:rFonts w:ascii="Times New Roman" w:cs="Times New Roman" w:eastAsia="Times New Roman" w:hAnsi="Times New Roman"/>
          <w:sz w:val="22"/>
          <w:szCs w:val="22"/>
          <w:color w:val="auto"/>
        </w:rPr>
        <w:t>), including any successor thereof which incorporates any of the Reference 737-*** Aircraft;</w:t>
      </w:r>
    </w:p>
    <w:p>
      <w:pPr>
        <w:spacing w:after="0" w:line="112" w:lineRule="exact"/>
        <w:rPr>
          <w:rFonts w:ascii="Times New Roman" w:cs="Times New Roman" w:eastAsia="Times New Roman" w:hAnsi="Times New Roman"/>
          <w:sz w:val="22"/>
          <w:szCs w:val="22"/>
          <w:color w:val="auto"/>
        </w:rPr>
      </w:pPr>
    </w:p>
    <w:p>
      <w:pPr>
        <w:ind w:left="1620" w:right="20" w:hanging="316"/>
        <w:spacing w:after="0" w:line="271" w:lineRule="auto"/>
        <w:tabs>
          <w:tab w:leader="none" w:pos="181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UAL-LA-1703800R2, between the parties entitled “Model 737-*** Flight Test Certification Program” (as amended and supplemented </w:t>
      </w:r>
      <w:r>
        <w:rPr>
          <w:rFonts w:ascii="Times New Roman" w:cs="Times New Roman" w:eastAsia="Times New Roman" w:hAnsi="Times New Roman"/>
          <w:sz w:val="22"/>
          <w:szCs w:val="22"/>
          <w:b w:val="1"/>
          <w:bCs w:val="1"/>
          <w:color w:val="auto"/>
        </w:rPr>
        <w:t>*** Flight Test Agreement</w:t>
      </w:r>
      <w:r>
        <w:rPr>
          <w:rFonts w:ascii="Times New Roman" w:cs="Times New Roman" w:eastAsia="Times New Roman" w:hAnsi="Times New Roman"/>
          <w:sz w:val="22"/>
          <w:szCs w:val="22"/>
          <w:color w:val="auto"/>
        </w:rPr>
        <w:t>);</w:t>
      </w:r>
    </w:p>
    <w:p>
      <w:pPr>
        <w:spacing w:after="0" w:line="99" w:lineRule="exact"/>
        <w:rPr>
          <w:rFonts w:ascii="Times New Roman" w:cs="Times New Roman" w:eastAsia="Times New Roman" w:hAnsi="Times New Roman"/>
          <w:sz w:val="22"/>
          <w:szCs w:val="22"/>
          <w:color w:val="auto"/>
        </w:rPr>
      </w:pPr>
    </w:p>
    <w:p>
      <w:pPr>
        <w:jc w:val="both"/>
        <w:ind w:left="1620" w:hanging="316"/>
        <w:spacing w:after="0" w:line="258" w:lineRule="auto"/>
        <w:tabs>
          <w:tab w:leader="none" w:pos="1872"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Agreement No. 03776 (</w:t>
      </w:r>
      <w:r>
        <w:rPr>
          <w:rFonts w:ascii="Times New Roman" w:cs="Times New Roman" w:eastAsia="Times New Roman" w:hAnsi="Times New Roman"/>
          <w:sz w:val="22"/>
          <w:szCs w:val="22"/>
          <w:b w:val="1"/>
          <w:bCs w:val="1"/>
          <w:color w:val="auto"/>
        </w:rPr>
        <w:t>First MAX Purchase Agreement</w:t>
      </w:r>
      <w:r>
        <w:rPr>
          <w:rFonts w:ascii="Times New Roman" w:cs="Times New Roman" w:eastAsia="Times New Roman" w:hAnsi="Times New Roman"/>
          <w:sz w:val="22"/>
          <w:szCs w:val="22"/>
          <w:color w:val="auto"/>
        </w:rPr>
        <w:t xml:space="preserve">) between Boeing and Customer relating to Model 737 MAX aircraft, including any successor thereof which incorporates any of the Reference 737-*** Aircraft (together with the Second MAX Purchase Agreement, each a </w:t>
      </w:r>
      <w:r>
        <w:rPr>
          <w:rFonts w:ascii="Times New Roman" w:cs="Times New Roman" w:eastAsia="Times New Roman" w:hAnsi="Times New Roman"/>
          <w:sz w:val="22"/>
          <w:szCs w:val="22"/>
          <w:b w:val="1"/>
          <w:bCs w:val="1"/>
          <w:color w:val="auto"/>
        </w:rPr>
        <w:t>MAX 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Agreement </w:t>
      </w:r>
      <w:r>
        <w:rPr>
          <w:rFonts w:ascii="Times New Roman" w:cs="Times New Roman" w:eastAsia="Times New Roman" w:hAnsi="Times New Roman"/>
          <w:sz w:val="22"/>
          <w:szCs w:val="22"/>
          <w:color w:val="auto"/>
        </w:rPr>
        <w:t>and collectively the MAX Purchase Agreements); AND</w:t>
      </w:r>
    </w:p>
    <w:p>
      <w:pPr>
        <w:spacing w:after="0" w:line="113" w:lineRule="exact"/>
        <w:rPr>
          <w:rFonts w:ascii="Times New Roman" w:cs="Times New Roman" w:eastAsia="Times New Roman" w:hAnsi="Times New Roman"/>
          <w:sz w:val="22"/>
          <w:szCs w:val="22"/>
          <w:color w:val="auto"/>
        </w:rPr>
      </w:pPr>
    </w:p>
    <w:p>
      <w:pPr>
        <w:jc w:val="both"/>
        <w:ind w:left="1620" w:hanging="316"/>
        <w:spacing w:after="0" w:line="259" w:lineRule="auto"/>
        <w:tabs>
          <w:tab w:leader="none" w:pos="184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UAL-PA-3776-LA-1703685 between the parties entitled “737-10 Aircraft ***” (</w:t>
      </w:r>
      <w:r>
        <w:rPr>
          <w:rFonts w:ascii="Times New Roman" w:cs="Times New Roman" w:eastAsia="Times New Roman" w:hAnsi="Times New Roman"/>
          <w:sz w:val="22"/>
          <w:szCs w:val="22"/>
          <w:b w:val="1"/>
          <w:bCs w:val="1"/>
          <w:color w:val="auto"/>
        </w:rPr>
        <w:t>First ***</w:t>
      </w:r>
      <w:r>
        <w:rPr>
          <w:rFonts w:ascii="Times New Roman" w:cs="Times New Roman" w:eastAsia="Times New Roman" w:hAnsi="Times New Roman"/>
          <w:sz w:val="22"/>
          <w:szCs w:val="22"/>
          <w:color w:val="auto"/>
        </w:rPr>
        <w:t xml:space="preserve">) including any successor thereof which incorporates any of the Reference 737-*** Aircraft (together with the Second MAX 10 *** referred to herein as the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w:t>
      </w:r>
    </w:p>
    <w:p>
      <w:pPr>
        <w:sectPr>
          <w:pgSz w:w="11900" w:h="16838" w:orient="portrait"/>
          <w:cols w:equalWidth="0" w:num="1">
            <w:col w:w="10840"/>
          </w:cols>
          <w:pgMar w:left="320" w:top="124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2"/>
          <w:szCs w:val="22"/>
          <w:color w:val="auto"/>
        </w:rPr>
        <w:t>UAL-LA-18008018R1 737-*** Flight Test Aircraft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Appendix 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 Page 1</w:t>
      </w:r>
    </w:p>
    <w:p>
      <w:pPr>
        <w:spacing w:after="0" w:line="5" w:lineRule="exact"/>
        <w:rPr>
          <w:sz w:val="20"/>
          <w:szCs w:val="20"/>
          <w:color w:val="auto"/>
        </w:rPr>
      </w:pPr>
    </w:p>
    <w:p>
      <w:pPr>
        <w:sectPr>
          <w:pgSz w:w="11900" w:h="16838" w:orient="portrait"/>
          <w:cols w:equalWidth="0" w:num="2">
            <w:col w:w="2820" w:space="220"/>
            <w:col w:w="7800"/>
          </w:cols>
          <w:pgMar w:left="320" w:top="1247" w:right="739" w:bottom="1440" w:gutter="0" w:footer="0" w:header="0"/>
          <w:type w:val="continuous"/>
        </w:sectPr>
      </w:pPr>
    </w:p>
    <w:p>
      <w:pPr>
        <w:jc w:val="center"/>
        <w:ind w:right="-399"/>
        <w:spacing w:after="0"/>
        <w:rPr>
          <w:sz w:val="20"/>
          <w:szCs w:val="20"/>
          <w:color w:val="auto"/>
        </w:rPr>
      </w:pPr>
      <w:r>
        <w:rPr>
          <w:rFonts w:ascii="Times New Roman" w:cs="Times New Roman" w:eastAsia="Times New Roman" w:hAnsi="Times New Roman"/>
          <w:sz w:val="21"/>
          <w:szCs w:val="21"/>
          <w:b w:val="1"/>
          <w:bCs w:val="1"/>
          <w:color w:val="auto"/>
        </w:rPr>
        <w:t>BOEING PROPRIETARY</w:t>
      </w:r>
    </w:p>
    <w:p>
      <w:pPr>
        <w:sectPr>
          <w:pgSz w:w="11900" w:h="16838" w:orient="portrait"/>
          <w:cols w:equalWidth="0" w:num="1">
            <w:col w:w="10840"/>
          </w:cols>
          <w:pgMar w:left="320" w:top="1247" w:right="73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1">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letter agreement (</w:t>
      </w:r>
      <w:r>
        <w:rPr>
          <w:rFonts w:ascii="Times New Roman" w:cs="Times New Roman" w:eastAsia="Times New Roman" w:hAnsi="Times New Roman"/>
          <w:sz w:val="21"/>
          <w:szCs w:val="21"/>
          <w:b w:val="1"/>
          <w:bCs w:val="1"/>
          <w:color w:val="auto"/>
        </w:rPr>
        <w:t>Letter Agreement</w:t>
      </w:r>
      <w:r>
        <w:rPr>
          <w:rFonts w:ascii="Times New Roman" w:cs="Times New Roman" w:eastAsia="Times New Roman" w:hAnsi="Times New Roman"/>
          <w:sz w:val="21"/>
          <w:szCs w:val="21"/>
          <w:color w:val="auto"/>
        </w:rPr>
        <w:t>) amends and supplements the applicable MAX Purchase Agreement. All terms used but not defined in this Letter Agreement will have the same meaning as in the (i) Second MAX Purchase Agreement; (ii)</w:t>
      </w:r>
    </w:p>
    <w:p>
      <w:pPr>
        <w:spacing w:after="0" w:line="2" w:lineRule="exact"/>
        <w:rPr>
          <w:sz w:val="20"/>
          <w:szCs w:val="20"/>
          <w:color w:val="auto"/>
        </w:rPr>
      </w:pPr>
    </w:p>
    <w:p>
      <w:pPr>
        <w:ind w:firstLine="8"/>
        <w:spacing w:after="0" w:line="261" w:lineRule="auto"/>
        <w:tabs>
          <w:tab w:leader="none" w:pos="385"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Agreement; (iii) the *** Flight Test Agreement; or (iv) First MAX Purchase Agreement, as the context requires. This Letter Agreement supersedes and replaces in its entirety Letter Agreement UAL-LA-18008018 dated May 15, 2018.</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Reference 737-*** Aircraft </w:t>
      </w:r>
      <w:r>
        <w:rPr>
          <w:rFonts w:ascii="Times New Roman" w:cs="Times New Roman" w:eastAsia="Times New Roman" w:hAnsi="Times New Roman"/>
          <w:sz w:val="22"/>
          <w:szCs w:val="22"/>
          <w:color w:val="auto"/>
        </w:rPr>
        <w:t>shall mean the *** 737-*** non-Test Aircraft to be delivered to Customer in a configuration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matching that of the Test Aircraft (including, without limitation, such aircraft being delivered ***).</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737-*** Flight Test Aircraft *** </w:t>
      </w:r>
      <w:r>
        <w:rPr>
          <w:rFonts w:ascii="Times New Roman" w:cs="Times New Roman" w:eastAsia="Times New Roman" w:hAnsi="Times New Roman"/>
          <w:sz w:val="22"/>
          <w:szCs w:val="22"/>
          <w:color w:val="auto"/>
        </w:rPr>
        <w:t>is defined as ***.</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 737-*** Aircraft MEW </w:t>
      </w:r>
      <w:r>
        <w:rPr>
          <w:rFonts w:ascii="Times New Roman" w:cs="Times New Roman" w:eastAsia="Times New Roman" w:hAnsi="Times New Roman"/>
          <w:sz w:val="22"/>
          <w:szCs w:val="22"/>
          <w:color w:val="auto"/>
        </w:rPr>
        <w:t>is determined by ***.</w:t>
      </w:r>
    </w:p>
    <w:p>
      <w:pPr>
        <w:spacing w:after="0" w:line="224"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Background</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Customer has requested a *** relating to the *** of each of the </w:t>
      </w:r>
      <w:r>
        <w:rPr>
          <w:rFonts w:ascii="Times New Roman" w:cs="Times New Roman" w:eastAsia="Times New Roman" w:hAnsi="Times New Roman"/>
          <w:sz w:val="22"/>
          <w:szCs w:val="22"/>
          <w:b w:val="1"/>
          <w:bCs w:val="1"/>
          <w:color w:val="auto"/>
        </w:rPr>
        <w:t>Test Aircraft</w:t>
      </w:r>
      <w:r>
        <w:rPr>
          <w:rFonts w:ascii="Times New Roman" w:cs="Times New Roman" w:eastAsia="Times New Roman" w:hAnsi="Times New Roman"/>
          <w:sz w:val="22"/>
          <w:szCs w:val="22"/>
          <w:color w:val="auto"/>
        </w:rPr>
        <w:t xml:space="preserve"> (as that term is defined in the *** Flight Test Agreement). Boeing agrees to provide Customer with the *** defined below in this Letter Agreement applicable to the Test Aircraft (</w:t>
      </w:r>
      <w:r>
        <w:rPr>
          <w:rFonts w:ascii="Times New Roman" w:cs="Times New Roman" w:eastAsia="Times New Roman" w:hAnsi="Times New Roman"/>
          <w:sz w:val="22"/>
          <w:szCs w:val="22"/>
          <w:b w:val="1"/>
          <w:bCs w:val="1"/>
          <w:color w:val="auto"/>
        </w:rPr>
        <w:t>737-*** Flight Test Aircraft ***</w:t>
      </w:r>
      <w:r>
        <w:rPr>
          <w:rFonts w:ascii="Times New Roman" w:cs="Times New Roman" w:eastAsia="Times New Roman" w:hAnsi="Times New Roman"/>
          <w:sz w:val="22"/>
          <w:szCs w:val="22"/>
          <w:color w:val="auto"/>
        </w:rPr>
        <w:t>). These *** are *** at the later of (i) *** to Customer pursuant to Section 2.2 of this Letter Agreement and (ii) ***, if any.</w:t>
      </w:r>
    </w:p>
    <w:p>
      <w:pPr>
        <w:spacing w:after="0" w:line="193"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737-*** Flight Test Aircraft ***.</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737-*** Flight Test Aircraft ***</w:t>
      </w:r>
      <w:r>
        <w:rPr>
          <w:rFonts w:ascii="Times New Roman" w:cs="Times New Roman" w:eastAsia="Times New Roman" w:hAnsi="Times New Roman"/>
          <w:sz w:val="22"/>
          <w:szCs w:val="22"/>
          <w:color w:val="auto"/>
        </w:rPr>
        <w:t>. The Test Aircraft will have a Manufacturer’s Empty Weight (</w:t>
      </w:r>
      <w:r>
        <w:rPr>
          <w:rFonts w:ascii="Times New Roman" w:cs="Times New Roman" w:eastAsia="Times New Roman" w:hAnsi="Times New Roman"/>
          <w:sz w:val="22"/>
          <w:szCs w:val="22"/>
          <w:b w:val="1"/>
          <w:bCs w:val="1"/>
          <w:color w:val="auto"/>
        </w:rPr>
        <w:t>MEW</w:t>
      </w:r>
      <w:r>
        <w:rPr>
          <w:rFonts w:ascii="Times New Roman" w:cs="Times New Roman" w:eastAsia="Times New Roman" w:hAnsi="Times New Roman"/>
          <w:sz w:val="22"/>
          <w:szCs w:val="22"/>
          <w:color w:val="auto"/>
        </w:rPr>
        <w:t>) of *** than the *** 737-*** Aircraft MEW. The *** define the standard assumptions, conditions, operating rules and method of compliance for all Test Aircraft and *** 737-*** Aircraft.</w:t>
      </w:r>
    </w:p>
    <w:p>
      <w:pPr>
        <w:spacing w:after="0" w:line="1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u w:val="single" w:color="auto"/>
          <w:color w:val="auto"/>
        </w:rPr>
        <w:t>*** with the 737-*** Flight Test Aircraft ***</w:t>
      </w:r>
      <w:r>
        <w:rPr>
          <w:rFonts w:ascii="Times New Roman" w:cs="Times New Roman" w:eastAsia="Times New Roman" w:hAnsi="Times New Roman"/>
          <w:sz w:val="22"/>
          <w:szCs w:val="22"/>
          <w:color w:val="auto"/>
        </w:rPr>
        <w:t>. Boeing will provide a *** report analyzing the MEW *** for the</w:t>
      </w:r>
    </w:p>
    <w:p>
      <w:pPr>
        <w:spacing w:after="0" w:line="29" w:lineRule="exact"/>
        <w:rPr>
          <w:sz w:val="20"/>
          <w:szCs w:val="20"/>
          <w:color w:val="auto"/>
        </w:rPr>
      </w:pPr>
    </w:p>
    <w:p>
      <w:pPr>
        <w:jc w:val="both"/>
        <w:ind w:firstLine="8"/>
        <w:spacing w:after="0" w:line="260" w:lineRule="auto"/>
        <w:tabs>
          <w:tab w:leader="none" w:pos="38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737-*** Aircraft and *** </w:t>
      </w:r>
      <w:r>
        <w:rPr>
          <w:rFonts w:ascii="Times New Roman" w:cs="Times New Roman" w:eastAsia="Times New Roman" w:hAnsi="Times New Roman"/>
          <w:sz w:val="21"/>
          <w:szCs w:val="21"/>
          <w:b w:val="1"/>
          <w:bCs w:val="1"/>
          <w:color w:val="auto"/>
        </w:rPr>
        <w:t>Report)</w:t>
      </w:r>
      <w:r>
        <w:rPr>
          <w:rFonts w:ascii="Times New Roman" w:cs="Times New Roman" w:eastAsia="Times New Roman" w:hAnsi="Times New Roman"/>
          <w:sz w:val="21"/>
          <w:szCs w:val="21"/>
          <w:color w:val="auto"/>
        </w:rPr>
        <w:t xml:space="preserve"> to the 737-*** Flight Test Aircraft ***. For avoidance of doubt, the information used for such analysis is based on ***. Such *** Report will be completed within *** after the date by which the *** 737-*** Aircraft</w:t>
      </w:r>
    </w:p>
    <w:p>
      <w:pPr>
        <w:spacing w:after="0" w:line="1" w:lineRule="exact"/>
        <w:rPr>
          <w:rFonts w:ascii="Times New Roman" w:cs="Times New Roman" w:eastAsia="Times New Roman" w:hAnsi="Times New Roman"/>
          <w:sz w:val="21"/>
          <w:szCs w:val="21"/>
          <w:color w:val="auto"/>
        </w:rPr>
      </w:pPr>
    </w:p>
    <w:p>
      <w:pPr>
        <w:ind w:left="2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delivered to Customer.</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Remedy</w:t>
      </w:r>
      <w:r>
        <w:rPr>
          <w:rFonts w:ascii="Times New Roman" w:cs="Times New Roman" w:eastAsia="Times New Roman" w:hAnsi="Times New Roman"/>
          <w:sz w:val="22"/>
          <w:szCs w:val="22"/>
          <w:color w:val="auto"/>
        </w:rPr>
        <w:t>. In the event that the *** Report provided to Customer pursuant to paragraph 2.2 above shows MEW for a Test Aircraft is *** with the 737-*** Flight Test Aircraft *** will be confirmed for such Test Aircraft and no remedy will be required. In the event that the *** Report shows MEW for any Test Aircraft that *** are described in Attachment A to this Letter Agreement.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2"/>
          <w:szCs w:val="22"/>
          <w:color w:val="auto"/>
        </w:rPr>
        <w:t>UAL-LA-18008018R1</w:t>
      </w:r>
      <w:r>
        <w:rPr>
          <w:sz w:val="20"/>
          <w:szCs w:val="20"/>
          <w:color w:val="auto"/>
        </w:rPr>
        <w:tab/>
      </w:r>
      <w:r>
        <w:rPr>
          <w:rFonts w:ascii="Times New Roman" w:cs="Times New Roman" w:eastAsia="Times New Roman" w:hAnsi="Times New Roman"/>
          <w:sz w:val="21"/>
          <w:szCs w:val="21"/>
          <w:color w:val="auto"/>
        </w:rPr>
        <w:t>Appendix 2</w:t>
      </w:r>
    </w:p>
    <w:p>
      <w:pPr>
        <w:spacing w:after="0" w:line="2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737-*** Flight Test Aircraft ***</w:t>
      </w:r>
      <w:r>
        <w:rPr>
          <w:sz w:val="20"/>
          <w:szCs w:val="20"/>
          <w:color w:val="auto"/>
        </w:rPr>
        <w:tab/>
      </w:r>
      <w:r>
        <w:rPr>
          <w:rFonts w:ascii="Times New Roman" w:cs="Times New Roman" w:eastAsia="Times New Roman" w:hAnsi="Times New Roman"/>
          <w:sz w:val="21"/>
          <w:szCs w:val="21"/>
          <w:color w:val="auto"/>
        </w:rPr>
        <w:t>LA Page 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Boeing and Customer agree it is not the intent of the parties to provide benefits hereunder that potentially could be viewed as providing *** to be provided (a) by Boeing under the applicable MAX Purchase Agreement or any other agreement between Boeing and Customer, or (b) by *** under any agreement between *** and Customer *** due to the Aircraft not satisfying any performance metric similar to the 737-*** Flight Test Aircraft *** or any performance metric that is impacted by *** For the avoidance of doubt, the provisions herein ***.</w:t>
      </w:r>
    </w:p>
    <w:p>
      <w:pPr>
        <w:spacing w:after="0" w:line="179" w:lineRule="exact"/>
        <w:rPr>
          <w:sz w:val="20"/>
          <w:szCs w:val="20"/>
          <w:color w:val="auto"/>
        </w:rPr>
      </w:pPr>
    </w:p>
    <w:p>
      <w:pPr>
        <w:ind w:left="1300" w:hanging="1292"/>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Customer agrees that the *** contained in paragraphs Attachment A herein are *** for purposes of *** with respect to the 737-*** Flight Test Aircraft *** of Customer’s Test Aircraft and are *** of any and all of Boeing’s *** and *** to Customer in connection therewith. Customer *** Boeing and *** 737-*** Flight Test Aircraft ***.</w:t>
      </w:r>
    </w:p>
    <w:p>
      <w:pPr>
        <w:spacing w:after="0" w:line="167"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Except as provided in Letter Agreement No. UAL-PA-04761-LA-1801472, the rights and obligations described in this Letter Agreement are provided to Customer in consideration of Customer’s ***.</w:t>
      </w:r>
    </w:p>
    <w:p>
      <w:pPr>
        <w:spacing w:after="0" w:line="158"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Treatment</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Customer and Boeing understand that certain commercial and financial information contained in this Letter Agreement are considered by Boeing and Customer as confidential and are subject to the terms and conditions set forth in Letter Agreement No. UAL-PA-04761-LA-1801470.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THE BOEING COMPANY</w:t>
      </w:r>
    </w:p>
    <w:p>
      <w:pPr>
        <w:spacing w:after="0" w:line="3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349758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1" w:lineRule="exact"/>
        <w:rPr>
          <w:sz w:val="20"/>
          <w:szCs w:val="20"/>
          <w:color w:val="auto"/>
        </w:rPr>
      </w:pPr>
    </w:p>
    <w:p>
      <w:pPr>
        <w:ind w:left="80"/>
        <w:spacing w:after="0"/>
        <w:tabs>
          <w:tab w:leader="none" w:pos="8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3497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2"/>
          <w:szCs w:val="22"/>
          <w:color w:val="auto"/>
        </w:rPr>
        <w:t>UAL-LA-18008018R1</w:t>
      </w:r>
      <w:r>
        <w:rPr>
          <w:sz w:val="20"/>
          <w:szCs w:val="20"/>
          <w:color w:val="auto"/>
        </w:rPr>
        <w:tab/>
      </w:r>
      <w:r>
        <w:rPr>
          <w:rFonts w:ascii="Times New Roman" w:cs="Times New Roman" w:eastAsia="Times New Roman" w:hAnsi="Times New Roman"/>
          <w:sz w:val="21"/>
          <w:szCs w:val="21"/>
          <w:color w:val="auto"/>
        </w:rPr>
        <w:t>Appendix 2</w:t>
      </w:r>
    </w:p>
    <w:p>
      <w:pPr>
        <w:spacing w:after="0" w:line="28"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737-*** Flight Test Aircraft ***</w:t>
      </w:r>
      <w:r>
        <w:rPr>
          <w:sz w:val="20"/>
          <w:szCs w:val="20"/>
          <w:color w:val="auto"/>
        </w:rPr>
        <w:tab/>
      </w:r>
      <w:r>
        <w:rPr>
          <w:rFonts w:ascii="Times New Roman" w:cs="Times New Roman" w:eastAsia="Times New Roman" w:hAnsi="Times New Roman"/>
          <w:sz w:val="21"/>
          <w:szCs w:val="21"/>
          <w:color w:val="auto"/>
        </w:rPr>
        <w:t>LA Page 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74470" cy="3429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5">
                      <a:clrChange>
                        <a:clrFrom>
                          <a:srgbClr val="FFFFFF"/>
                        </a:clrFrom>
                        <a:clrTo>
                          <a:srgbClr val="FFFFFF">
                            <a:alpha val="0"/>
                          </a:srgbClr>
                        </a:clrTo>
                      </a:clrChange>
                      <a:extLst>
                        <a:ext uri="{28A0092B-C50C-407E-A947-70E740481C1C}"/>
                      </a:extLst>
                    </a:blip>
                    <a:srcRect/>
                    <a:stretch>
                      <a:fillRect/>
                    </a:stretch>
                  </pic:blipFill>
                  <pic:spPr bwMode="auto">
                    <a:xfrm>
                      <a:off x="0" y="0"/>
                      <a:ext cx="14744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ACCEPTED AND AGREED TO this</w:t>
      </w:r>
    </w:p>
    <w:p>
      <w:pPr>
        <w:spacing w:after="0" w:line="3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36830</wp:posOffset>
            </wp:positionV>
            <wp:extent cx="328295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7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349758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7">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36830</wp:posOffset>
            </wp:positionV>
            <wp:extent cx="3497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8">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2460" w:val="left"/>
        </w:tabs>
        <w:rPr>
          <w:sz w:val="20"/>
          <w:szCs w:val="20"/>
          <w:color w:val="auto"/>
        </w:rPr>
      </w:pPr>
      <w:r>
        <w:rPr>
          <w:rFonts w:ascii="Times New Roman" w:cs="Times New Roman" w:eastAsia="Times New Roman" w:hAnsi="Times New Roman"/>
          <w:sz w:val="22"/>
          <w:szCs w:val="22"/>
          <w:color w:val="auto"/>
        </w:rPr>
        <w:t>UAL-LA-18008018R1</w:t>
      </w:r>
      <w:r>
        <w:rPr>
          <w:sz w:val="20"/>
          <w:szCs w:val="20"/>
          <w:color w:val="auto"/>
        </w:rPr>
        <w:tab/>
      </w:r>
      <w:r>
        <w:rPr>
          <w:rFonts w:ascii="Times New Roman" w:cs="Times New Roman" w:eastAsia="Times New Roman" w:hAnsi="Times New Roman"/>
          <w:sz w:val="21"/>
          <w:szCs w:val="21"/>
          <w:color w:val="auto"/>
        </w:rPr>
        <w:t>Appendix 2</w:t>
      </w:r>
    </w:p>
    <w:p>
      <w:pPr>
        <w:spacing w:after="0" w:line="29"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737-*** Flight Test Aircraft ***</w:t>
      </w:r>
      <w:r>
        <w:rPr>
          <w:sz w:val="20"/>
          <w:szCs w:val="20"/>
          <w:color w:val="auto"/>
        </w:rPr>
        <w:tab/>
      </w:r>
      <w:r>
        <w:rPr>
          <w:rFonts w:ascii="Times New Roman" w:cs="Times New Roman" w:eastAsia="Times New Roman" w:hAnsi="Times New Roman"/>
          <w:sz w:val="21"/>
          <w:szCs w:val="21"/>
          <w:color w:val="auto"/>
        </w:rPr>
        <w:t>LA Page 4</w:t>
      </w:r>
    </w:p>
    <w:p>
      <w:pPr>
        <w:spacing w:after="0" w:line="15" w:lineRule="exact"/>
        <w:rPr>
          <w:sz w:val="20"/>
          <w:szCs w:val="20"/>
          <w:color w:val="auto"/>
        </w:rPr>
      </w:pPr>
    </w:p>
    <w:p>
      <w:pPr>
        <w:jc w:val="right"/>
        <w:ind w:right="3279"/>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0139"/>
          </w:cols>
          <w:pgMar w:left="320" w:top="1440" w:right="1440"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Attachment A to Letter Agreement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No. UAL- LA-18008018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LEAP-1B28B1 Engines</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ATTACHMENT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737-*** FLIGHT TEST AIRCRAFT *** REMEDIES</w:t>
      </w:r>
    </w:p>
    <w:p>
      <w:pPr>
        <w:spacing w:after="0" w:line="196" w:lineRule="exact"/>
        <w:rPr>
          <w:sz w:val="20"/>
          <w:szCs w:val="20"/>
          <w:color w:val="auto"/>
        </w:rPr>
      </w:pPr>
    </w:p>
    <w:p>
      <w:pPr>
        <w:ind w:firstLine="648"/>
        <w:spacing w:after="0" w:line="272" w:lineRule="auto"/>
        <w:rPr>
          <w:sz w:val="20"/>
          <w:szCs w:val="20"/>
          <w:color w:val="auto"/>
        </w:rPr>
      </w:pPr>
      <w:r>
        <w:rPr>
          <w:rFonts w:ascii="Arial" w:cs="Arial" w:eastAsia="Arial" w:hAnsi="Arial"/>
          <w:sz w:val="22"/>
          <w:szCs w:val="22"/>
          <w:color w:val="auto"/>
        </w:rPr>
        <w:t>Boeing offers the following items in the event that the Compliance Report furnished to Customer for each Test Aircraft pursuant to Section 2.2 of the Letter Agreement shows ***.</w:t>
      </w:r>
    </w:p>
    <w:p>
      <w:pPr>
        <w:spacing w:after="0" w:line="168"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1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Test Aircraft Delivery</w:t>
      </w:r>
      <w:r>
        <w:rPr>
          <w:rFonts w:ascii="Times New Roman" w:cs="Times New Roman" w:eastAsia="Times New Roman" w:hAnsi="Times New Roman"/>
          <w:sz w:val="22"/>
          <w:szCs w:val="22"/>
          <w:color w:val="auto"/>
        </w:rPr>
        <w:t>. In the event of a *** for any Test Aircraft *** set forth in paragraph 2 below. ***.</w:t>
      </w:r>
    </w:p>
    <w:p>
      <w:pPr>
        <w:spacing w:after="0" w:line="219" w:lineRule="exact"/>
        <w:rPr>
          <w:rFonts w:ascii="Times New Roman" w:cs="Times New Roman" w:eastAsia="Times New Roman" w:hAnsi="Times New Roman"/>
          <w:sz w:val="22"/>
          <w:szCs w:val="22"/>
          <w:color w:val="auto"/>
        </w:rPr>
      </w:pPr>
    </w:p>
    <w:p>
      <w:pPr>
        <w:ind w:left="1060" w:hanging="971"/>
        <w:spacing w:after="0"/>
        <w:tabs>
          <w:tab w:leader="none" w:pos="106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u w:val="single" w:color="auto"/>
          <w:color w:val="auto"/>
        </w:rPr>
        <w:t>737-*** Flight Test Aircraft ***</w:t>
      </w:r>
      <w:r>
        <w:rPr>
          <w:rFonts w:ascii="Times New Roman" w:cs="Times New Roman" w:eastAsia="Times New Roman" w:hAnsi="Times New Roman"/>
          <w:sz w:val="21"/>
          <w:szCs w:val="21"/>
          <w:color w:val="auto"/>
        </w:rPr>
        <w:t>. ***.</w:t>
      </w:r>
    </w:p>
    <w:p>
      <w:pPr>
        <w:spacing w:after="0" w:line="11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u w:val="single" w:color="auto"/>
          <w:color w:val="auto"/>
        </w:rPr>
        <w:t>737-*** Flight Test Aircraft ***</w:t>
      </w:r>
      <w:r>
        <w:rPr>
          <w:rFonts w:ascii="Times New Roman" w:cs="Times New Roman" w:eastAsia="Times New Roman" w:hAnsi="Times New Roman"/>
          <w:sz w:val="21"/>
          <w:szCs w:val="2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20"/>
        <w:spacing w:after="0"/>
        <w:tabs>
          <w:tab w:leader="none" w:pos="4480" w:val="left"/>
        </w:tabs>
        <w:rPr>
          <w:sz w:val="20"/>
          <w:szCs w:val="20"/>
          <w:color w:val="auto"/>
        </w:rPr>
      </w:pPr>
      <w:r>
        <w:rPr>
          <w:rFonts w:ascii="Times New Roman" w:cs="Times New Roman" w:eastAsia="Times New Roman" w:hAnsi="Times New Roman"/>
          <w:sz w:val="22"/>
          <w:szCs w:val="22"/>
          <w:color w:val="auto"/>
        </w:rPr>
        <w:t>Attachment A to UAL-LA-18008018R1</w:t>
      </w:r>
      <w:r>
        <w:rPr>
          <w:sz w:val="20"/>
          <w:szCs w:val="20"/>
          <w:color w:val="auto"/>
        </w:rPr>
        <w:tab/>
      </w:r>
      <w:r>
        <w:rPr>
          <w:rFonts w:ascii="Times New Roman" w:cs="Times New Roman" w:eastAsia="Times New Roman" w:hAnsi="Times New Roman"/>
          <w:sz w:val="21"/>
          <w:szCs w:val="21"/>
          <w:color w:val="auto"/>
        </w:rPr>
        <w:t>Appendix 2</w:t>
      </w:r>
    </w:p>
    <w:p>
      <w:pPr>
        <w:spacing w:after="0" w:line="28" w:lineRule="exact"/>
        <w:rPr>
          <w:sz w:val="20"/>
          <w:szCs w:val="20"/>
          <w:color w:val="auto"/>
        </w:rPr>
      </w:pPr>
    </w:p>
    <w:p>
      <w:pPr>
        <w:ind w:left="820"/>
        <w:spacing w:after="0"/>
        <w:tabs>
          <w:tab w:leader="none" w:pos="3820" w:val="left"/>
        </w:tabs>
        <w:rPr>
          <w:sz w:val="20"/>
          <w:szCs w:val="20"/>
          <w:color w:val="auto"/>
        </w:rPr>
      </w:pPr>
      <w:r>
        <w:rPr>
          <w:rFonts w:ascii="Times New Roman" w:cs="Times New Roman" w:eastAsia="Times New Roman" w:hAnsi="Times New Roman"/>
          <w:sz w:val="22"/>
          <w:szCs w:val="22"/>
          <w:color w:val="auto"/>
        </w:rPr>
        <w:t>737-*** Flight Test Aircraft ***</w:t>
      </w:r>
      <w:r>
        <w:rPr>
          <w:sz w:val="20"/>
          <w:szCs w:val="20"/>
          <w:color w:val="auto"/>
        </w:rPr>
        <w:tab/>
      </w:r>
      <w:r>
        <w:rPr>
          <w:rFonts w:ascii="Times New Roman" w:cs="Times New Roman" w:eastAsia="Times New Roman" w:hAnsi="Times New Roman"/>
          <w:sz w:val="21"/>
          <w:szCs w:val="21"/>
          <w:color w:val="auto"/>
        </w:rPr>
        <w:t>Attachment A, Page 1</w:t>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BOEING PROPRIETARY</w:t>
      </w:r>
    </w:p>
    <w:p>
      <w:pPr>
        <w:sectPr>
          <w:pgSz w:w="11900" w:h="16838" w:orient="portrait"/>
          <w:cols w:equalWidth="0" w:num="1">
            <w:col w:w="11240"/>
          </w:cols>
          <w:pgMar w:left="320" w:top="12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INCREASE JOINDER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AMENDED AND RESTATED REVOLVING CREDIT AND GUARANTY AGREEMENT</w:t>
      </w:r>
    </w:p>
    <w:p>
      <w:pPr>
        <w:spacing w:after="0" w:line="196"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22"/>
          <w:szCs w:val="22"/>
          <w:color w:val="auto"/>
        </w:rPr>
        <w:t>This INCREASE JOINDER, dated as of April 16, 2024 (the “</w:t>
      </w:r>
      <w:r>
        <w:rPr>
          <w:rFonts w:ascii="Times New Roman" w:cs="Times New Roman" w:eastAsia="Times New Roman" w:hAnsi="Times New Roman"/>
          <w:sz w:val="22"/>
          <w:szCs w:val="22"/>
          <w:u w:val="single" w:color="auto"/>
          <w:color w:val="auto"/>
        </w:rPr>
        <w:t>Increase Joinder</w:t>
      </w:r>
      <w:r>
        <w:rPr>
          <w:rFonts w:ascii="Times New Roman" w:cs="Times New Roman" w:eastAsia="Times New Roman" w:hAnsi="Times New Roman"/>
          <w:sz w:val="22"/>
          <w:szCs w:val="22"/>
          <w:color w:val="auto"/>
        </w:rPr>
        <w:t>”) amends the Amended and Restated Revolving Credit and Guaranty Agreement, dated as of February 15, 2024 (as amended, restated, amended and restated, supplemented, modified or extended from time to time in accordance with its terms,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among United Airlines, Inc., as borrower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United Airlines Holdings, Inc., as parent and a guarantor, the subsidiaries of the parent party thereto other than the Borrower, as guarantors, the lenders party thereto, JPMorgan Chase Bank, N.A.,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Wilmington Trust, National Association, not in its individual capacity, except as expressly stated therein, but solely as Collateral Trustee. Capitalized terms used but not defined herein shall have the meanings given to such terms in the Credit Agreement.</w:t>
      </w:r>
    </w:p>
    <w:p>
      <w:pPr>
        <w:spacing w:after="0" w:line="187" w:lineRule="exact"/>
        <w:rPr>
          <w:sz w:val="20"/>
          <w:szCs w:val="20"/>
          <w:color w:val="auto"/>
        </w:rPr>
      </w:pPr>
    </w:p>
    <w:p>
      <w:pPr>
        <w:ind w:right="3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WHEREAS, subject to the terms of </w:t>
      </w:r>
      <w:r>
        <w:rPr>
          <w:rFonts w:ascii="Times New Roman" w:cs="Times New Roman" w:eastAsia="Times New Roman" w:hAnsi="Times New Roman"/>
          <w:sz w:val="22"/>
          <w:szCs w:val="22"/>
          <w:u w:val="single" w:color="auto"/>
          <w:color w:val="auto"/>
        </w:rPr>
        <w:t>Section 2.27</w:t>
      </w:r>
      <w:r>
        <w:rPr>
          <w:rFonts w:ascii="Times New Roman" w:cs="Times New Roman" w:eastAsia="Times New Roman" w:hAnsi="Times New Roman"/>
          <w:sz w:val="22"/>
          <w:szCs w:val="22"/>
          <w:color w:val="auto"/>
        </w:rPr>
        <w:t xml:space="preserve"> of the Credit Agreement, the Credit Agreement contemplates that the Borrower may request an increase to the Revolving Commitments available thereunder by causing an Increase Joinder to be executed and delivered to the Administrative Agent;</w:t>
      </w:r>
    </w:p>
    <w:p>
      <w:pPr>
        <w:spacing w:after="0" w:line="173" w:lineRule="exact"/>
        <w:rPr>
          <w:sz w:val="20"/>
          <w:szCs w:val="20"/>
          <w:color w:val="auto"/>
        </w:rPr>
      </w:pPr>
    </w:p>
    <w:p>
      <w:pPr>
        <w:ind w:right="60" w:firstLine="648"/>
        <w:spacing w:after="0" w:line="309" w:lineRule="auto"/>
        <w:rPr>
          <w:sz w:val="20"/>
          <w:szCs w:val="20"/>
          <w:color w:val="auto"/>
        </w:rPr>
      </w:pPr>
      <w:r>
        <w:rPr>
          <w:rFonts w:ascii="Times New Roman" w:cs="Times New Roman" w:eastAsia="Times New Roman" w:hAnsi="Times New Roman"/>
          <w:sz w:val="21"/>
          <w:szCs w:val="21"/>
          <w:color w:val="auto"/>
        </w:rPr>
        <w:t xml:space="preserve">WHEREAS, the Borrower wishes to increase the Revolving Commitments available pursuant to the Credit Agreement by an amount equal to the Revolving Commitment set forth on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and hereto (the “</w:t>
      </w:r>
      <w:r>
        <w:rPr>
          <w:rFonts w:ascii="Times New Roman" w:cs="Times New Roman" w:eastAsia="Times New Roman" w:hAnsi="Times New Roman"/>
          <w:sz w:val="21"/>
          <w:szCs w:val="21"/>
          <w:u w:val="single" w:color="auto"/>
          <w:color w:val="auto"/>
        </w:rPr>
        <w:t>Revolving Commitment Increase</w:t>
      </w:r>
      <w:r>
        <w:rPr>
          <w:rFonts w:ascii="Times New Roman" w:cs="Times New Roman" w:eastAsia="Times New Roman" w:hAnsi="Times New Roman"/>
          <w:sz w:val="21"/>
          <w:szCs w:val="21"/>
          <w:color w:val="auto"/>
        </w:rPr>
        <w:t>”); and</w:t>
      </w:r>
    </w:p>
    <w:p>
      <w:pPr>
        <w:spacing w:after="0" w:line="121"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the Increasing Lender identified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to this Increase Joinder (the “</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xml:space="preserve">”) wishes to increase its existing Revolving Commitment and Issuing Lender Commitment pursuant to the Credit Agreement by an amount equal to the Issuing Lender Commitment set forth on the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u w:val="single" w:color="auto"/>
          <w:color w:val="auto"/>
        </w:rPr>
        <w:t>Issuing Lender Commitment Increase</w:t>
      </w:r>
      <w:r>
        <w:rPr>
          <w:rFonts w:ascii="Times New Roman" w:cs="Times New Roman" w:eastAsia="Times New Roman" w:hAnsi="Times New Roman"/>
          <w:sz w:val="22"/>
          <w:szCs w:val="22"/>
          <w:color w:val="auto"/>
        </w:rPr>
        <w:t>”, collectively with the Revolving Commitment Increase, the “</w:t>
      </w:r>
      <w:r>
        <w:rPr>
          <w:rFonts w:ascii="Times New Roman" w:cs="Times New Roman" w:eastAsia="Times New Roman" w:hAnsi="Times New Roman"/>
          <w:sz w:val="22"/>
          <w:szCs w:val="22"/>
          <w:u w:val="single" w:color="auto"/>
          <w:color w:val="auto"/>
        </w:rPr>
        <w:t>New Commitments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Increasing Lender, the Borrower and the Administrative Agent hereby agree as follows:</w:t>
      </w:r>
    </w:p>
    <w:p>
      <w:pPr>
        <w:spacing w:after="0" w:line="220"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Increased Commitments; Increase Effective Date</w:t>
      </w:r>
      <w:r>
        <w:rPr>
          <w:rFonts w:ascii="Times New Roman" w:cs="Times New Roman" w:eastAsia="Times New Roman" w:hAnsi="Times New Roman"/>
          <w:sz w:val="21"/>
          <w:szCs w:val="21"/>
          <w:color w:val="auto"/>
        </w:rPr>
        <w:t xml:space="preserve">. Subject to the terms and conditions hereof and of the Credit Agreement, the Increasing Lender agrees to provide New Commitments in the amount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of this Increase Joinder (the “</w:t>
      </w:r>
      <w:r>
        <w:rPr>
          <w:rFonts w:ascii="Times New Roman" w:cs="Times New Roman" w:eastAsia="Times New Roman" w:hAnsi="Times New Roman"/>
          <w:sz w:val="21"/>
          <w:szCs w:val="21"/>
          <w:u w:val="single" w:color="auto"/>
          <w:color w:val="auto"/>
        </w:rPr>
        <w:t>Commitment Increase</w:t>
      </w:r>
      <w:r>
        <w:rPr>
          <w:rFonts w:ascii="Times New Roman" w:cs="Times New Roman" w:eastAsia="Times New Roman" w:hAnsi="Times New Roman"/>
          <w:sz w:val="21"/>
          <w:szCs w:val="21"/>
          <w:color w:val="auto"/>
        </w:rPr>
        <w:t xml:space="preserve">”) pursuant to </w:t>
      </w:r>
      <w:r>
        <w:rPr>
          <w:rFonts w:ascii="Times New Roman" w:cs="Times New Roman" w:eastAsia="Times New Roman" w:hAnsi="Times New Roman"/>
          <w:sz w:val="21"/>
          <w:szCs w:val="21"/>
          <w:u w:val="single" w:color="auto"/>
          <w:color w:val="auto"/>
        </w:rPr>
        <w:t>Section 2.27</w:t>
      </w:r>
      <w:r>
        <w:rPr>
          <w:rFonts w:ascii="Times New Roman" w:cs="Times New Roman" w:eastAsia="Times New Roman" w:hAnsi="Times New Roman"/>
          <w:sz w:val="21"/>
          <w:szCs w:val="21"/>
          <w:color w:val="auto"/>
        </w:rPr>
        <w:t xml:space="preserve"> of the Credit Agreement. The Commitment Increase Effective Date for the New Commitments contemplated by this Increase Joinder is April 16, 2024 (the “</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Amendments to Credit Agreement and Loan Documents</w:t>
      </w:r>
      <w:r>
        <w:rPr>
          <w:rFonts w:ascii="Times New Roman" w:cs="Times New Roman" w:eastAsia="Times New Roman" w:hAnsi="Times New Roman"/>
          <w:sz w:val="22"/>
          <w:szCs w:val="22"/>
          <w:color w:val="auto"/>
        </w:rPr>
        <w:t xml:space="preserve">. Effective as of the Increase Effective Date, (1) the Revolving Commitment Increase shall be a “Commitment” and a “Revolving Commitment” under the Loan Documents, (2) the Issuing Lender Commitment Increase shall be an “Issuing Lender Commitment” under the Loan Documents, (3) </w:t>
      </w:r>
      <w:r>
        <w:rPr>
          <w:rFonts w:ascii="Times New Roman" w:cs="Times New Roman" w:eastAsia="Times New Roman" w:hAnsi="Times New Roman"/>
          <w:sz w:val="22"/>
          <w:szCs w:val="22"/>
          <w:u w:val="single" w:color="auto"/>
          <w:color w:val="auto"/>
        </w:rPr>
        <w:t>Section A</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of the Credit Agreement shall be amended to reflect the Increasing Lender’s Revolving Commitment and the total Revolving Commitments as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and (4) </w:t>
      </w:r>
      <w:r>
        <w:rPr>
          <w:rFonts w:ascii="Times New Roman" w:cs="Times New Roman" w:eastAsia="Times New Roman" w:hAnsi="Times New Roman"/>
          <w:sz w:val="22"/>
          <w:szCs w:val="22"/>
          <w:u w:val="single" w:color="auto"/>
          <w:color w:val="auto"/>
        </w:rPr>
        <w:t>Section B</w:t>
      </w:r>
    </w:p>
    <w:p>
      <w:pPr>
        <w:sectPr>
          <w:pgSz w:w="11900" w:h="16838" w:orient="portrait"/>
          <w:cols w:equalWidth="0" w:num="1">
            <w:col w:w="11240"/>
          </w:cols>
          <w:pgMar w:left="320" w:top="122" w:right="339" w:bottom="1440" w:gutter="0" w:footer="0" w:header="0"/>
        </w:sectPr>
      </w:pPr>
    </w:p>
    <w:bookmarkStart w:id="60" w:name="page61"/>
    <w:bookmarkEnd w:id="60"/>
    <w:p>
      <w:pPr>
        <w:spacing w:after="0" w:line="14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of the Credit Agreement shall be amended to reflect the Increasing Lender’s Issuing Lender Commitment and the total Issuing Lender Commitments as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04"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Representations and Warranties of the Borrower</w:t>
      </w:r>
      <w:r>
        <w:rPr>
          <w:rFonts w:ascii="Times New Roman" w:cs="Times New Roman" w:eastAsia="Times New Roman" w:hAnsi="Times New Roman"/>
          <w:sz w:val="22"/>
          <w:szCs w:val="22"/>
          <w:color w:val="auto"/>
        </w:rPr>
        <w:t xml:space="preserve">. The Borrower hereby certifies by its signature to this Increase Joinder that: (A) each of the conditions set forth in </w:t>
      </w:r>
      <w:r>
        <w:rPr>
          <w:rFonts w:ascii="Times New Roman" w:cs="Times New Roman" w:eastAsia="Times New Roman" w:hAnsi="Times New Roman"/>
          <w:sz w:val="22"/>
          <w:szCs w:val="22"/>
          <w:u w:val="single" w:color="auto"/>
          <w:color w:val="auto"/>
        </w:rPr>
        <w:t>Section 2.27(b)</w:t>
      </w:r>
      <w:r>
        <w:rPr>
          <w:rFonts w:ascii="Times New Roman" w:cs="Times New Roman" w:eastAsia="Times New Roman" w:hAnsi="Times New Roman"/>
          <w:sz w:val="22"/>
          <w:szCs w:val="22"/>
          <w:color w:val="auto"/>
        </w:rPr>
        <w:t xml:space="preserve"> of the Credit Agreement applicable to the Commitment Increase, including but not limited to the satisfaction of the conditions required under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the Credit Agreement, have been satisfied on or prior to the Increase Effective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satisfaction of the conditions in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of the Credit Agreement, references therein to the making of a Loan or Borrowing or issuance of a Letter of Credit shall be deemed instead to be references to the effectiveness of the Commitment Increase and the notice of Commitment Increase delivered pursuant to </w:t>
      </w:r>
      <w:r>
        <w:rPr>
          <w:rFonts w:ascii="Times New Roman" w:cs="Times New Roman" w:eastAsia="Times New Roman" w:hAnsi="Times New Roman"/>
          <w:sz w:val="22"/>
          <w:szCs w:val="22"/>
          <w:u w:val="single" w:color="auto"/>
          <w:color w:val="auto"/>
        </w:rPr>
        <w:t>Section 2.27(a)</w:t>
      </w:r>
      <w:r>
        <w:rPr>
          <w:rFonts w:ascii="Times New Roman" w:cs="Times New Roman" w:eastAsia="Times New Roman" w:hAnsi="Times New Roman"/>
          <w:sz w:val="22"/>
          <w:szCs w:val="22"/>
          <w:color w:val="auto"/>
        </w:rPr>
        <w:t xml:space="preserve"> shall be deemed to satisfy the notice requirement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4.02(a)</w:t>
      </w:r>
      <w:r>
        <w:rPr>
          <w:rFonts w:ascii="Times New Roman" w:cs="Times New Roman" w:eastAsia="Times New Roman" w:hAnsi="Times New Roman"/>
          <w:sz w:val="22"/>
          <w:szCs w:val="22"/>
          <w:color w:val="auto"/>
        </w:rPr>
        <w:t xml:space="preserve">), and (B) the Borrower has delivered to the Administrative Agent the notice in respect of the Commitment Increase required pursuant to </w:t>
      </w:r>
      <w:r>
        <w:rPr>
          <w:rFonts w:ascii="Times New Roman" w:cs="Times New Roman" w:eastAsia="Times New Roman" w:hAnsi="Times New Roman"/>
          <w:sz w:val="22"/>
          <w:szCs w:val="22"/>
          <w:u w:val="single" w:color="auto"/>
          <w:color w:val="auto"/>
        </w:rPr>
        <w:t>Section 2.27(a)</w:t>
      </w:r>
      <w:r>
        <w:rPr>
          <w:rFonts w:ascii="Times New Roman" w:cs="Times New Roman" w:eastAsia="Times New Roman" w:hAnsi="Times New Roman"/>
          <w:sz w:val="22"/>
          <w:szCs w:val="22"/>
          <w:color w:val="auto"/>
        </w:rPr>
        <w:t>.</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Limited Amendments; Confirmation</w:t>
      </w:r>
      <w:r>
        <w:rPr>
          <w:rFonts w:ascii="Times New Roman" w:cs="Times New Roman" w:eastAsia="Times New Roman" w:hAnsi="Times New Roman"/>
          <w:sz w:val="22"/>
          <w:szCs w:val="22"/>
          <w:color w:val="auto"/>
        </w:rPr>
        <w:t xml:space="preserve">. Other than as expressly set forth in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herein, the agreements contained herein shall not constitute, and are not intended to be, an amendment to the Credit Agreement, and all provisions of the Credit Agreement are and shall remain in full force and effect in accordance with the terms thereof. The Increasing Lender agrees that from and after the Increase Effective Date, its New Commitments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shall be included in its Commitment and Issuing Lender Commitment, as applicable, and be governed for all purposes by the Credit Agreement and the other Loan Documents.</w:t>
      </w:r>
    </w:p>
    <w:p>
      <w:pPr>
        <w:spacing w:after="0" w:line="12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SECTION 6. </w:t>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Increase Joinder shall be governed by, and construed in accordance with, the law of the State of New York. Each party hereto consents to the exclusive jurisdiction of the Supreme Court of the State of New York sitting in New York County and of the United States District Court of the Southern District of New York, and any appellate court from any thereof and irrevocably and unconditionally waives, to the fullest extent permitted by law, any objection to the laying of venue of any such suit, action or proceeding brought in any such court and any claim that any such suit, action or proceeding has been brought in an inconvenient forum. EACH PARTY HERETO IRREVOCABLY WAIVES, TO THE FULLEST EXTENT PERMITTED BY APPLICABLE LAW, ANY RIGHT IT MAY HAVE TO A TRIAL BY JURY IN ANY SUIT, ACTION OR PROCEEDING ARISING OUT OF OR RELATING TO THIS INCREASE JOINDER OR THE TRANSACTIONS CONTEMPLATED HEREBY (WHETHER BASED ON CONTRACT, TORT OR ANY OTHER THEORY).</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This Increase Joinder shall be a Loan Document.</w:t>
      </w:r>
    </w:p>
    <w:p>
      <w:pPr>
        <w:spacing w:after="0" w:line="22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Execution in Counterparts; Integration; Effectiveness</w:t>
      </w:r>
      <w:r>
        <w:rPr>
          <w:rFonts w:ascii="Times New Roman" w:cs="Times New Roman" w:eastAsia="Times New Roman" w:hAnsi="Times New Roman"/>
          <w:sz w:val="22"/>
          <w:szCs w:val="22"/>
          <w:color w:val="auto"/>
        </w:rPr>
        <w:t>. This Increase Joinder may be executed in any number of counterparts, each of which shall be an original, and all of which, when taken together, shall constitute one agreement. This Increase Joinder constitutes the entire contract among the parties relating to the subject matter hereof and supersedes any and all previous agreements and understandings, oral or written, relating to the</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9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 xml:space="preserve">subject matter hereof. Subject to the conditions of </w:t>
      </w:r>
      <w:r>
        <w:rPr>
          <w:rFonts w:ascii="Times New Roman" w:cs="Times New Roman" w:eastAsia="Times New Roman" w:hAnsi="Times New Roman"/>
          <w:sz w:val="22"/>
          <w:szCs w:val="22"/>
          <w:u w:val="single" w:color="auto"/>
          <w:color w:val="auto"/>
        </w:rPr>
        <w:t>Section 2.27(b)</w:t>
      </w:r>
      <w:r>
        <w:rPr>
          <w:rFonts w:ascii="Times New Roman" w:cs="Times New Roman" w:eastAsia="Times New Roman" w:hAnsi="Times New Roman"/>
          <w:sz w:val="22"/>
          <w:szCs w:val="22"/>
          <w:color w:val="auto"/>
        </w:rPr>
        <w:t xml:space="preserve"> of the Credit Agreement, this Increase Joinder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signature page of this Increase Joinder by electronic transmission shall be effective as delivery of a manually executed counterpart hereof. The words “execution,” “signed,” “signature,” and words of like import in Increase Joinder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9"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Section headings used herein are for convenience only and are not to affect the construction of or be taken into consideration in interpreting this Increase Joinder.</w:t>
      </w:r>
    </w:p>
    <w:p>
      <w:pPr>
        <w:spacing w:after="0" w:line="158"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Additional Provisions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Sections 10.03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10.09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10.11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10.16</w:t>
      </w:r>
      <w:r>
        <w:rPr>
          <w:rFonts w:ascii="Times New Roman" w:cs="Times New Roman" w:eastAsia="Times New Roman" w:hAnsi="Times New Roman"/>
          <w:sz w:val="22"/>
          <w:szCs w:val="22"/>
          <w:color w:val="auto"/>
        </w:rPr>
        <w:t xml:space="preserve"> of the Credit Agreement are incorporated herein by reference as if the same were repeated herein in full,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[Signature Pages Follow]</w:t>
      </w:r>
    </w:p>
    <w:p>
      <w:pPr>
        <w:sectPr>
          <w:pgSz w:w="11900" w:h="16838" w:orient="portrait"/>
          <w:cols w:equalWidth="0" w:num="1">
            <w:col w:w="11160"/>
          </w:cols>
          <w:pgMar w:left="320" w:top="1440" w:right="419" w:bottom="1440" w:gutter="0" w:footer="0" w:header="0"/>
        </w:sectPr>
      </w:pPr>
    </w:p>
    <w:bookmarkStart w:id="62" w:name="page63"/>
    <w:bookmarkEnd w:id="62"/>
    <w:p>
      <w:pPr>
        <w:spacing w:after="0" w:line="19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caused this Increase Joinder to be duly executed and delivered by its duly authorized officer as of the date first above written.</w:t>
      </w:r>
    </w:p>
    <w:p>
      <w:pPr>
        <w:spacing w:after="0" w:line="3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UNITED AIRLINES, INC.</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Pamela S. Hendry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-13970</wp:posOffset>
            </wp:positionV>
            <wp:extent cx="129540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9">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Pamela S. Hendry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2874010</wp:posOffset>
            </wp:positionH>
            <wp:positionV relativeFrom="paragraph">
              <wp:posOffset>-29210</wp:posOffset>
            </wp:positionV>
            <wp:extent cx="113157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0">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-29210</wp:posOffset>
            </wp:positionV>
            <wp:extent cx="1719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1">
                      <a:extLst>
                        <a:ext uri="{28A0092B-C50C-407E-A947-70E740481C1C}"/>
                      </a:extLst>
                    </a:blip>
                    <a:srcRect/>
                    <a:stretch>
                      <a:fillRect/>
                    </a:stretch>
                  </pic:blipFill>
                  <pic:spPr bwMode="auto">
                    <a:xfrm>
                      <a:off x="0" y="0"/>
                      <a:ext cx="1719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Increase Joinder</w:t>
      </w:r>
    </w:p>
    <w:p>
      <w:pPr>
        <w:sectPr>
          <w:pgSz w:w="11900" w:h="16838" w:orient="portrait"/>
          <w:cols w:equalWidth="0" w:num="1">
            <w:col w:w="11180"/>
          </w:cols>
          <w:pgMar w:left="320" w:top="1440" w:right="3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BNP PARIBAS SA</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Increasing Lender</w:t>
      </w:r>
    </w:p>
    <w:p>
      <w:pPr>
        <w:spacing w:after="0" w:line="200" w:lineRule="exact"/>
        <w:rPr>
          <w:sz w:val="20"/>
          <w:szCs w:val="20"/>
          <w:color w:val="auto"/>
        </w:rPr>
      </w:pPr>
    </w:p>
    <w:p>
      <w:pPr>
        <w:spacing w:after="0" w:line="3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Robert Papas</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Robert Papas</w:t>
      </w:r>
    </w:p>
    <w:p>
      <w:pPr>
        <w:spacing w:after="0" w:line="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31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Timothy McNally</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 Timothy McNally</w:t>
      </w:r>
    </w:p>
    <w:p>
      <w:pPr>
        <w:spacing w:after="0" w:line="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Increase Joinder</w:t>
      </w:r>
    </w:p>
    <w:p>
      <w:pPr>
        <w:sectPr>
          <w:pgSz w:w="11900" w:h="16838" w:orient="portrait"/>
          <w:cols w:equalWidth="0" w:num="1">
            <w:col w:w="11020"/>
          </w:cols>
          <w:pgMar w:left="540" w:top="12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JPMORGAN CHASE BANK, N.A.</w:t>
      </w:r>
      <w:r>
        <w:rPr>
          <w:rFonts w:ascii="Times New Roman" w:cs="Times New Roman" w:eastAsia="Times New Roman" w:hAnsi="Times New Roman"/>
          <w:sz w:val="22"/>
          <w:szCs w:val="22"/>
          <w:color w:val="auto"/>
        </w:rPr>
        <w:t>, as Administrative Agent</w:t>
      </w:r>
    </w:p>
    <w:p>
      <w:pPr>
        <w:spacing w:after="0" w:line="200" w:lineRule="exact"/>
        <w:rPr>
          <w:sz w:val="20"/>
          <w:szCs w:val="20"/>
          <w:color w:val="auto"/>
        </w:rPr>
      </w:pPr>
    </w:p>
    <w:p>
      <w:pPr>
        <w:spacing w:after="0" w:line="240" w:lineRule="exact"/>
        <w:rPr>
          <w:sz w:val="20"/>
          <w:szCs w:val="20"/>
          <w:color w:val="auto"/>
        </w:rPr>
      </w:pPr>
    </w:p>
    <w:p>
      <w:pPr>
        <w:ind w:left="2780"/>
        <w:spacing w:after="0"/>
        <w:tabs>
          <w:tab w:leader="none" w:pos="3340" w:val="left"/>
        </w:tabs>
        <w:rPr>
          <w:sz w:val="20"/>
          <w:szCs w:val="20"/>
          <w:color w:val="auto"/>
        </w:rPr>
      </w:pPr>
      <w:r>
        <w:rPr>
          <w:rFonts w:ascii="Times New Roman" w:cs="Times New Roman" w:eastAsia="Times New Roman" w:hAnsi="Times New Roman"/>
          <w:sz w:val="22"/>
          <w:szCs w:val="22"/>
          <w:color w:val="auto"/>
        </w:rPr>
        <w:t>By:</w:t>
        <w:tab/>
        <w:t>/s/ James Shender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2132330</wp:posOffset>
            </wp:positionH>
            <wp:positionV relativeFrom="paragraph">
              <wp:posOffset>-13970</wp:posOffset>
            </wp:positionV>
            <wp:extent cx="112014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2">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James Shender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95631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3">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27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-21590</wp:posOffset>
            </wp:positionV>
            <wp:extent cx="1176655"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4">
                      <a:extLst>
                        <a:ext uri="{28A0092B-C50C-407E-A947-70E740481C1C}"/>
                      </a:extLst>
                    </a:blip>
                    <a:srcRect/>
                    <a:stretch>
                      <a:fillRect/>
                    </a:stretch>
                  </pic:blipFill>
                  <pic:spPr bwMode="auto">
                    <a:xfrm>
                      <a:off x="0" y="0"/>
                      <a:ext cx="1176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Increase Joinder</w:t>
      </w:r>
    </w:p>
    <w:p>
      <w:pPr>
        <w:sectPr>
          <w:pgSz w:w="11900" w:h="16838" w:orient="portrait"/>
          <w:cols w:equalWidth="0" w:num="1">
            <w:col w:w="10120"/>
          </w:cols>
          <w:pgMar w:left="1440" w:top="126" w:right="339" w:bottom="1440" w:gutter="0" w:footer="0" w:header="0"/>
        </w:sectPr>
      </w:pPr>
    </w:p>
    <w:bookmarkStart w:id="65" w:name="page66"/>
    <w:bookmarkEnd w:id="65"/>
    <w:p>
      <w:pPr>
        <w:spacing w:after="0" w:line="19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22"/>
          <w:szCs w:val="22"/>
          <w:u w:val="single" w:color="auto"/>
          <w:color w:val="auto"/>
        </w:rPr>
        <w:t>Schedule I</w:t>
      </w:r>
    </w:p>
    <w:p>
      <w:pPr>
        <w:spacing w:after="0" w:line="216" w:lineRule="exact"/>
        <w:rPr>
          <w:sz w:val="20"/>
          <w:szCs w:val="20"/>
          <w:color w:val="auto"/>
        </w:rPr>
      </w:pPr>
    </w:p>
    <w:p>
      <w:pPr>
        <w:ind w:left="640" w:hanging="308"/>
        <w:spacing w:after="0"/>
        <w:tabs>
          <w:tab w:leader="none" w:pos="64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Increasing Lender’s New Commitments</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460" w:type="dxa"/>
            <w:vAlign w:val="bottom"/>
            <w:tcBorders>
              <w:top w:val="single" w:sz="8" w:color="auto"/>
              <w:left w:val="single" w:sz="8" w:color="auto"/>
              <w:right w:val="single" w:sz="8" w:color="auto"/>
            </w:tcBorders>
          </w:tcPr>
          <w:p>
            <w:pPr>
              <w:ind w:left="80"/>
              <w:spacing w:after="0" w:line="216" w:lineRule="exact"/>
              <w:rPr>
                <w:sz w:val="20"/>
                <w:szCs w:val="20"/>
                <w:color w:val="auto"/>
              </w:rPr>
            </w:pPr>
            <w:r>
              <w:rPr>
                <w:rFonts w:ascii="Times New Roman" w:cs="Times New Roman" w:eastAsia="Times New Roman" w:hAnsi="Times New Roman"/>
                <w:sz w:val="20"/>
                <w:szCs w:val="20"/>
                <w:b w:val="1"/>
                <w:bCs w:val="1"/>
                <w:color w:val="auto"/>
              </w:rPr>
              <w:t>Increasing</w:t>
            </w:r>
          </w:p>
        </w:tc>
        <w:tc>
          <w:tcPr>
            <w:tcW w:w="238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Increasing Lender’s</w:t>
            </w:r>
          </w:p>
        </w:tc>
        <w:tc>
          <w:tcPr>
            <w:tcW w:w="304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Increasing Lender’s Total</w:t>
            </w:r>
          </w:p>
        </w:tc>
        <w:tc>
          <w:tcPr>
            <w:tcW w:w="196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Increasing Lender’s</w:t>
            </w:r>
          </w:p>
        </w:tc>
        <w:tc>
          <w:tcPr>
            <w:tcW w:w="2420" w:type="dxa"/>
            <w:vAlign w:val="bottom"/>
            <w:tcBorders>
              <w:top w:val="single" w:sz="8" w:color="auto"/>
              <w:right w:val="single" w:sz="8" w:color="auto"/>
            </w:tcBorders>
          </w:tcPr>
          <w:p>
            <w:pPr>
              <w:ind w:left="60"/>
              <w:spacing w:after="0" w:line="216" w:lineRule="exact"/>
              <w:rPr>
                <w:sz w:val="20"/>
                <w:szCs w:val="20"/>
                <w:color w:val="auto"/>
              </w:rPr>
            </w:pPr>
            <w:r>
              <w:rPr>
                <w:rFonts w:ascii="Times New Roman" w:cs="Times New Roman" w:eastAsia="Times New Roman" w:hAnsi="Times New Roman"/>
                <w:sz w:val="20"/>
                <w:szCs w:val="20"/>
                <w:b w:val="1"/>
                <w:bCs w:val="1"/>
                <w:color w:val="auto"/>
              </w:rPr>
              <w:t>Increasing Lender’s Total</w:t>
            </w:r>
          </w:p>
        </w:tc>
        <w:tc>
          <w:tcPr>
            <w:tcW w:w="0" w:type="dxa"/>
            <w:vAlign w:val="bottom"/>
          </w:tcPr>
          <w:p>
            <w:pPr>
              <w:spacing w:after="0"/>
              <w:rPr>
                <w:sz w:val="1"/>
                <w:szCs w:val="1"/>
                <w:color w:val="auto"/>
              </w:rPr>
            </w:pPr>
          </w:p>
        </w:tc>
      </w:tr>
      <w:tr>
        <w:trPr>
          <w:trHeight w:val="243"/>
        </w:trPr>
        <w:tc>
          <w:tcPr>
            <w:tcW w:w="146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Lender</w:t>
            </w:r>
          </w:p>
        </w:tc>
        <w:tc>
          <w:tcPr>
            <w:tcW w:w="2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Revolving Commitment</w:t>
            </w:r>
          </w:p>
        </w:tc>
        <w:tc>
          <w:tcPr>
            <w:tcW w:w="30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Revolving Commitment as of the</w:t>
            </w:r>
          </w:p>
        </w:tc>
        <w:tc>
          <w:tcPr>
            <w:tcW w:w="1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Issuing Lender</w:t>
            </w: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Issuing Lender</w:t>
            </w:r>
          </w:p>
        </w:tc>
        <w:tc>
          <w:tcPr>
            <w:tcW w:w="0" w:type="dxa"/>
            <w:vAlign w:val="bottom"/>
          </w:tcPr>
          <w:p>
            <w:pPr>
              <w:spacing w:after="0"/>
              <w:rPr>
                <w:sz w:val="1"/>
                <w:szCs w:val="1"/>
                <w:color w:val="auto"/>
              </w:rPr>
            </w:pPr>
          </w:p>
        </w:tc>
      </w:tr>
      <w:tr>
        <w:trPr>
          <w:trHeight w:val="149"/>
        </w:trPr>
        <w:tc>
          <w:tcPr>
            <w:tcW w:w="1460" w:type="dxa"/>
            <w:vAlign w:val="bottom"/>
            <w:tcBorders>
              <w:left w:val="single" w:sz="8" w:color="auto"/>
              <w:right w:val="single" w:sz="8" w:color="auto"/>
            </w:tcBorders>
          </w:tcPr>
          <w:p>
            <w:pPr>
              <w:spacing w:after="0"/>
              <w:rPr>
                <w:sz w:val="12"/>
                <w:szCs w:val="12"/>
                <w:color w:val="auto"/>
              </w:rPr>
            </w:pPr>
          </w:p>
        </w:tc>
        <w:tc>
          <w:tcPr>
            <w:tcW w:w="2380" w:type="dxa"/>
            <w:vAlign w:val="bottom"/>
            <w:tcBorders>
              <w:right w:val="single" w:sz="8" w:color="auto"/>
            </w:tcBorders>
          </w:tcPr>
          <w:p>
            <w:pPr>
              <w:ind w:left="60"/>
              <w:spacing w:after="0" w:line="14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3040" w:type="dxa"/>
            <w:vAlign w:val="bottom"/>
            <w:tcBorders>
              <w:right w:val="single" w:sz="8" w:color="auto"/>
            </w:tcBorders>
          </w:tcPr>
          <w:p>
            <w:pPr>
              <w:ind w:left="60"/>
              <w:spacing w:after="0" w:line="148" w:lineRule="exact"/>
              <w:rPr>
                <w:sz w:val="20"/>
                <w:szCs w:val="20"/>
                <w:color w:val="auto"/>
              </w:rPr>
            </w:pPr>
            <w:r>
              <w:rPr>
                <w:rFonts w:ascii="Times New Roman" w:cs="Times New Roman" w:eastAsia="Times New Roman" w:hAnsi="Times New Roman"/>
                <w:sz w:val="16"/>
                <w:szCs w:val="16"/>
                <w:b w:val="1"/>
                <w:bCs w:val="1"/>
                <w:color w:val="auto"/>
              </w:rPr>
              <w:t>Increase Effective Date</w:t>
            </w:r>
          </w:p>
        </w:tc>
        <w:tc>
          <w:tcPr>
            <w:tcW w:w="1960" w:type="dxa"/>
            <w:vAlign w:val="bottom"/>
            <w:tcBorders>
              <w:right w:val="single" w:sz="8" w:color="auto"/>
            </w:tcBorders>
          </w:tcPr>
          <w:p>
            <w:pPr>
              <w:ind w:left="60"/>
              <w:spacing w:after="0" w:line="148" w:lineRule="exact"/>
              <w:rPr>
                <w:sz w:val="20"/>
                <w:szCs w:val="20"/>
                <w:color w:val="auto"/>
              </w:rPr>
            </w:pPr>
            <w:r>
              <w:rPr>
                <w:rFonts w:ascii="Times New Roman" w:cs="Times New Roman" w:eastAsia="Times New Roman" w:hAnsi="Times New Roman"/>
                <w:sz w:val="16"/>
                <w:szCs w:val="16"/>
                <w:b w:val="1"/>
                <w:bCs w:val="1"/>
                <w:color w:val="auto"/>
              </w:rPr>
              <w:t>Commitment</w:t>
            </w:r>
          </w:p>
        </w:tc>
        <w:tc>
          <w:tcPr>
            <w:tcW w:w="2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Commitment as of the</w:t>
            </w: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Increase</w:t>
            </w:r>
          </w:p>
        </w:tc>
        <w:tc>
          <w:tcPr>
            <w:tcW w:w="2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460" w:type="dxa"/>
            <w:vAlign w:val="bottom"/>
            <w:tcBorders>
              <w:left w:val="single" w:sz="8" w:color="auto"/>
              <w:right w:val="single" w:sz="8" w:color="auto"/>
            </w:tcBorders>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3040" w:type="dxa"/>
            <w:vAlign w:val="bottom"/>
            <w:tcBorders>
              <w:right w:val="single" w:sz="8" w:color="auto"/>
            </w:tcBorders>
          </w:tcPr>
          <w:p>
            <w:pPr>
              <w:spacing w:after="0"/>
              <w:rPr>
                <w:sz w:val="12"/>
                <w:szCs w:val="12"/>
                <w:color w:val="auto"/>
              </w:rPr>
            </w:pPr>
          </w:p>
        </w:tc>
        <w:tc>
          <w:tcPr>
            <w:tcW w:w="1960" w:type="dxa"/>
            <w:vAlign w:val="bottom"/>
            <w:tcBorders>
              <w:right w:val="single" w:sz="8" w:color="auto"/>
            </w:tcBorders>
            <w:vMerge w:val="continue"/>
          </w:tcPr>
          <w:p>
            <w:pPr>
              <w:spacing w:after="0"/>
              <w:rPr>
                <w:sz w:val="12"/>
                <w:szCs w:val="12"/>
                <w:color w:val="auto"/>
              </w:rPr>
            </w:pPr>
          </w:p>
        </w:tc>
        <w:tc>
          <w:tcPr>
            <w:tcW w:w="2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Increase Effective Date</w:t>
            </w:r>
          </w:p>
        </w:tc>
        <w:tc>
          <w:tcPr>
            <w:tcW w:w="0" w:type="dxa"/>
            <w:vAlign w:val="bottom"/>
          </w:tcPr>
          <w:p>
            <w:pPr>
              <w:spacing w:after="0"/>
              <w:rPr>
                <w:sz w:val="1"/>
                <w:szCs w:val="1"/>
                <w:color w:val="auto"/>
              </w:rPr>
            </w:pPr>
          </w:p>
        </w:tc>
      </w:tr>
      <w:tr>
        <w:trPr>
          <w:trHeight w:val="122"/>
        </w:trPr>
        <w:tc>
          <w:tcPr>
            <w:tcW w:w="1460" w:type="dxa"/>
            <w:vAlign w:val="bottom"/>
            <w:tcBorders>
              <w:left w:val="single" w:sz="8" w:color="auto"/>
              <w:right w:val="single" w:sz="8" w:color="auto"/>
            </w:tcBorders>
          </w:tcPr>
          <w:p>
            <w:pPr>
              <w:spacing w:after="0"/>
              <w:rPr>
                <w:sz w:val="10"/>
                <w:szCs w:val="10"/>
                <w:color w:val="auto"/>
              </w:rPr>
            </w:pPr>
          </w:p>
        </w:tc>
        <w:tc>
          <w:tcPr>
            <w:tcW w:w="238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2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460" w:type="dxa"/>
            <w:vAlign w:val="bottom"/>
            <w:tcBorders>
              <w:left w:val="single" w:sz="8" w:color="auto"/>
              <w:bottom w:val="single" w:sz="8" w:color="auto"/>
              <w:right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spacing w:after="0"/>
              <w:rPr>
                <w:sz w:val="20"/>
                <w:szCs w:val="20"/>
                <w:color w:val="auto"/>
              </w:rPr>
            </w:pPr>
          </w:p>
        </w:tc>
        <w:tc>
          <w:tcPr>
            <w:tcW w:w="304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460" w:type="dxa"/>
            <w:vAlign w:val="bottom"/>
            <w:tcBorders>
              <w:left w:val="single" w:sz="8" w:color="auto"/>
              <w:right w:val="single" w:sz="8" w:color="auto"/>
            </w:tcBorders>
          </w:tcPr>
          <w:p>
            <w:pPr>
              <w:ind w:left="80"/>
              <w:spacing w:after="0" w:line="186" w:lineRule="exact"/>
              <w:rPr>
                <w:sz w:val="20"/>
                <w:szCs w:val="20"/>
                <w:color w:val="auto"/>
              </w:rPr>
            </w:pPr>
            <w:r>
              <w:rPr>
                <w:rFonts w:ascii="Times New Roman" w:cs="Times New Roman" w:eastAsia="Times New Roman" w:hAnsi="Times New Roman"/>
                <w:sz w:val="20"/>
                <w:szCs w:val="20"/>
                <w:color w:val="auto"/>
              </w:rPr>
              <w:t>BNP PARIBAS</w:t>
            </w:r>
          </w:p>
        </w:tc>
        <w:tc>
          <w:tcPr>
            <w:tcW w:w="238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$100,000,000</w:t>
            </w:r>
          </w:p>
        </w:tc>
        <w:tc>
          <w:tcPr>
            <w:tcW w:w="304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$200,000,000</w:t>
            </w:r>
          </w:p>
        </w:tc>
        <w:tc>
          <w:tcPr>
            <w:tcW w:w="196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$11,550,000</w:t>
            </w:r>
          </w:p>
        </w:tc>
        <w:tc>
          <w:tcPr>
            <w:tcW w:w="2420" w:type="dxa"/>
            <w:vAlign w:val="bottom"/>
            <w:tcBorders>
              <w:right w:val="single" w:sz="8" w:color="auto"/>
            </w:tcBorders>
          </w:tcPr>
          <w:p>
            <w:pPr>
              <w:ind w:left="60"/>
              <w:spacing w:after="0" w:line="186" w:lineRule="exact"/>
              <w:rPr>
                <w:sz w:val="20"/>
                <w:szCs w:val="20"/>
                <w:color w:val="auto"/>
              </w:rPr>
            </w:pPr>
            <w:r>
              <w:rPr>
                <w:rFonts w:ascii="Times New Roman" w:cs="Times New Roman" w:eastAsia="Times New Roman" w:hAnsi="Times New Roman"/>
                <w:sz w:val="20"/>
                <w:szCs w:val="20"/>
                <w:color w:val="auto"/>
              </w:rPr>
              <w:t>$30,050,000</w:t>
            </w:r>
          </w:p>
        </w:tc>
        <w:tc>
          <w:tcPr>
            <w:tcW w:w="0" w:type="dxa"/>
            <w:vAlign w:val="bottom"/>
          </w:tcPr>
          <w:p>
            <w:pPr>
              <w:spacing w:after="0"/>
              <w:rPr>
                <w:sz w:val="1"/>
                <w:szCs w:val="1"/>
                <w:color w:val="auto"/>
              </w:rPr>
            </w:pPr>
          </w:p>
        </w:tc>
      </w:tr>
      <w:tr>
        <w:trPr>
          <w:trHeight w:val="252"/>
        </w:trPr>
        <w:tc>
          <w:tcPr>
            <w:tcW w:w="14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SA</w:t>
            </w:r>
          </w:p>
        </w:tc>
        <w:tc>
          <w:tcPr>
            <w:tcW w:w="2380" w:type="dxa"/>
            <w:vAlign w:val="bottom"/>
            <w:tcBorders>
              <w:bottom w:val="single" w:sz="8" w:color="auto"/>
              <w:right w:val="single" w:sz="8" w:color="auto"/>
            </w:tcBorders>
          </w:tcPr>
          <w:p>
            <w:pPr>
              <w:spacing w:after="0"/>
              <w:rPr>
                <w:sz w:val="21"/>
                <w:szCs w:val="21"/>
                <w:color w:val="auto"/>
              </w:rPr>
            </w:pPr>
          </w:p>
        </w:tc>
        <w:tc>
          <w:tcPr>
            <w:tcW w:w="304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c>
          <w:tcPr>
            <w:tcW w:w="2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Total Commitments and Issuing Lender Commitments as of the Increase Effective Date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8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Total Revolving Commitments as of the Increase</w:t>
            </w:r>
          </w:p>
        </w:tc>
        <w:tc>
          <w:tcPr>
            <w:tcW w:w="3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Total Issuing Lender Commitments as</w:t>
            </w:r>
          </w:p>
        </w:tc>
        <w:tc>
          <w:tcPr>
            <w:tcW w:w="0" w:type="dxa"/>
            <w:vAlign w:val="bottom"/>
          </w:tcPr>
          <w:p>
            <w:pPr>
              <w:spacing w:after="0"/>
              <w:rPr>
                <w:sz w:val="1"/>
                <w:szCs w:val="1"/>
                <w:color w:val="auto"/>
              </w:rPr>
            </w:pPr>
          </w:p>
        </w:tc>
      </w:tr>
      <w:tr>
        <w:trPr>
          <w:trHeight w:val="243"/>
        </w:trPr>
        <w:tc>
          <w:tcPr>
            <w:tcW w:w="48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Effective Date</w:t>
            </w:r>
          </w:p>
        </w:tc>
        <w:tc>
          <w:tcPr>
            <w:tcW w:w="3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of the Increase Effective Date</w:t>
            </w:r>
          </w:p>
        </w:tc>
        <w:tc>
          <w:tcPr>
            <w:tcW w:w="0" w:type="dxa"/>
            <w:vAlign w:val="bottom"/>
          </w:tcPr>
          <w:p>
            <w:pPr>
              <w:spacing w:after="0"/>
              <w:rPr>
                <w:sz w:val="1"/>
                <w:szCs w:val="1"/>
                <w:color w:val="auto"/>
              </w:rPr>
            </w:pPr>
          </w:p>
        </w:tc>
      </w:tr>
      <w:tr>
        <w:trPr>
          <w:trHeight w:val="60"/>
        </w:trPr>
        <w:tc>
          <w:tcPr>
            <w:tcW w:w="4840" w:type="dxa"/>
            <w:vAlign w:val="bottom"/>
            <w:tcBorders>
              <w:left w:val="single" w:sz="8" w:color="auto"/>
              <w:right w:val="single" w:sz="8" w:color="auto"/>
            </w:tcBorders>
          </w:tcPr>
          <w:p>
            <w:pPr>
              <w:spacing w:after="0"/>
              <w:rPr>
                <w:sz w:val="5"/>
                <w:szCs w:val="5"/>
                <w:color w:val="auto"/>
              </w:rPr>
            </w:pPr>
          </w:p>
        </w:tc>
        <w:tc>
          <w:tcPr>
            <w:tcW w:w="33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4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$2,965,000,000</w:t>
            </w:r>
          </w:p>
        </w:tc>
        <w:tc>
          <w:tcPr>
            <w:tcW w:w="33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$500,000,000</w:t>
            </w:r>
          </w:p>
        </w:tc>
        <w:tc>
          <w:tcPr>
            <w:tcW w:w="0" w:type="dxa"/>
            <w:vAlign w:val="bottom"/>
          </w:tcPr>
          <w:p>
            <w:pPr>
              <w:spacing w:after="0"/>
              <w:rPr>
                <w:sz w:val="1"/>
                <w:szCs w:val="1"/>
                <w:color w:val="auto"/>
              </w:rPr>
            </w:pPr>
          </w:p>
        </w:tc>
      </w:tr>
    </w:tbl>
    <w:p>
      <w:pPr>
        <w:sectPr>
          <w:pgSz w:w="11900" w:h="16838" w:orient="portrait"/>
          <w:cols w:equalWidth="0" w:num="1">
            <w:col w:w="11260"/>
          </w:cols>
          <w:pgMar w:left="320" w:top="1440" w:right="3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900" w:right="740" w:hanging="487"/>
        <w:spacing w:after="0" w:line="282" w:lineRule="auto"/>
        <w:tabs>
          <w:tab w:leader="none" w:pos="8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United Airlines Holdings, Inc. (the "Company");</w:t>
      </w:r>
    </w:p>
    <w:p>
      <w:pPr>
        <w:spacing w:after="0" w:line="26" w:lineRule="exact"/>
        <w:rPr>
          <w:rFonts w:ascii="Times New Roman" w:cs="Times New Roman" w:eastAsia="Times New Roman" w:hAnsi="Times New Roman"/>
          <w:sz w:val="18"/>
          <w:szCs w:val="18"/>
          <w:color w:val="auto"/>
        </w:rPr>
      </w:pPr>
    </w:p>
    <w:p>
      <w:pPr>
        <w:ind w:left="900" w:right="160" w:hanging="487"/>
        <w:spacing w:after="0" w:line="266" w:lineRule="auto"/>
        <w:tabs>
          <w:tab w:leader="none" w:pos="8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900" w:right="200" w:hanging="487"/>
        <w:spacing w:after="0" w:line="282" w:lineRule="auto"/>
        <w:tabs>
          <w:tab w:leader="none" w:pos="80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900" w:right="160" w:hanging="487"/>
        <w:spacing w:after="0" w:line="276" w:lineRule="auto"/>
        <w:tabs>
          <w:tab w:leader="none" w:pos="8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380" w:right="40" w:hanging="481"/>
        <w:spacing w:after="0" w:line="266" w:lineRule="auto"/>
        <w:tabs>
          <w:tab w:leader="none" w:pos="12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380" w:right="140" w:hanging="481"/>
        <w:spacing w:after="0" w:line="266" w:lineRule="auto"/>
        <w:tabs>
          <w:tab w:leader="none" w:pos="12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ind w:left="1380" w:right="140" w:hanging="481"/>
        <w:spacing w:after="0" w:line="312" w:lineRule="auto"/>
        <w:tabs>
          <w:tab w:leader="none" w:pos="1274"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80" w:right="220" w:hanging="481"/>
        <w:spacing w:after="0" w:line="266" w:lineRule="auto"/>
        <w:tabs>
          <w:tab w:leader="none" w:pos="128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900" w:right="120" w:hanging="487"/>
        <w:spacing w:after="0" w:line="282"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380" w:right="480" w:hanging="481"/>
        <w:spacing w:after="0" w:line="282" w:lineRule="auto"/>
        <w:tabs>
          <w:tab w:leader="none" w:pos="126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80" w:right="160" w:hanging="481"/>
        <w:spacing w:after="0" w:line="282" w:lineRule="auto"/>
        <w:tabs>
          <w:tab w:leader="none" w:pos="127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90" w:lineRule="exact"/>
        <w:rPr>
          <w:sz w:val="20"/>
          <w:szCs w:val="20"/>
          <w:color w:val="auto"/>
        </w:rPr>
      </w:pPr>
    </w:p>
    <w:p>
      <w:pPr>
        <w:ind w:left="860" w:right="700" w:hanging="407"/>
        <w:spacing w:after="0" w:line="282" w:lineRule="auto"/>
        <w:tabs>
          <w:tab w:leader="none" w:pos="8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United Airlines Holdings, Inc. (the "Company");</w:t>
      </w:r>
    </w:p>
    <w:p>
      <w:pPr>
        <w:spacing w:after="0" w:line="13"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6"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58"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1420" w:right="440" w:hanging="481"/>
        <w:spacing w:after="0" w:line="282" w:lineRule="auto"/>
        <w:tabs>
          <w:tab w:leader="none" w:pos="130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420" w:right="120" w:hanging="481"/>
        <w:spacing w:after="0" w:line="282" w:lineRule="auto"/>
        <w:tabs>
          <w:tab w:leader="none" w:pos="131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203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ectPr>
          <w:pgSz w:w="11900" w:h="16838" w:orient="portrait"/>
          <w:cols w:equalWidth="0" w:num="1">
            <w:col w:w="11240"/>
          </w:cols>
          <w:pgMar w:left="320" w:top="1116"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Scott Kirby, certify that:</w:t>
      </w:r>
    </w:p>
    <w:p>
      <w:pPr>
        <w:spacing w:after="0" w:line="77" w:lineRule="exact"/>
        <w:rPr>
          <w:sz w:val="20"/>
          <w:szCs w:val="20"/>
          <w:color w:val="auto"/>
        </w:rPr>
      </w:pPr>
    </w:p>
    <w:p>
      <w:pPr>
        <w:ind w:left="840" w:hanging="387"/>
        <w:spacing w:after="0"/>
        <w:tabs>
          <w:tab w:leader="none" w:pos="8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United Airlines, Inc. (the "Company");</w:t>
      </w:r>
    </w:p>
    <w:p>
      <w:pPr>
        <w:spacing w:after="0" w:line="9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420" w:right="480" w:hanging="521"/>
        <w:spacing w:after="0" w:line="282" w:lineRule="auto"/>
        <w:tabs>
          <w:tab w:leader="none" w:pos="126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521"/>
        <w:spacing w:after="0" w:line="282" w:lineRule="auto"/>
        <w:tabs>
          <w:tab w:leader="none" w:pos="127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00375"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7">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15 U.S.C. 78m(a) or 78o(d)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Sarbanes-Oxley Act of 2002)</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Leskinen, certify that:</w:t>
      </w:r>
    </w:p>
    <w:p>
      <w:pPr>
        <w:spacing w:after="0" w:line="77" w:lineRule="exact"/>
        <w:rPr>
          <w:sz w:val="20"/>
          <w:szCs w:val="20"/>
          <w:color w:val="auto"/>
        </w:rPr>
      </w:pPr>
    </w:p>
    <w:p>
      <w:pPr>
        <w:ind w:left="840" w:hanging="387"/>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2024 of United Airlines, Inc. (the "Company");</w:t>
      </w:r>
    </w:p>
    <w:p>
      <w:pPr>
        <w:spacing w:after="0" w:line="90" w:lineRule="exact"/>
        <w:rPr>
          <w:rFonts w:ascii="Times New Roman" w:cs="Times New Roman" w:eastAsia="Times New Roman" w:hAnsi="Times New Roman"/>
          <w:sz w:val="18"/>
          <w:szCs w:val="18"/>
          <w:color w:val="auto"/>
        </w:rPr>
      </w:pPr>
    </w:p>
    <w:p>
      <w:pPr>
        <w:jc w:val="both"/>
        <w:ind w:left="860" w:right="200" w:hanging="407"/>
        <w:spacing w:after="0" w:line="266" w:lineRule="auto"/>
        <w:tabs>
          <w:tab w:leader="none" w:pos="8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 w:lineRule="exact"/>
        <w:rPr>
          <w:rFonts w:ascii="Times New Roman" w:cs="Times New Roman" w:eastAsia="Times New Roman" w:hAnsi="Times New Roman"/>
          <w:sz w:val="18"/>
          <w:szCs w:val="18"/>
          <w:color w:val="auto"/>
        </w:rPr>
      </w:pPr>
    </w:p>
    <w:p>
      <w:pPr>
        <w:ind w:left="860" w:right="160" w:hanging="407"/>
        <w:spacing w:after="0" w:line="282" w:lineRule="auto"/>
        <w:tabs>
          <w:tab w:leader="none" w:pos="8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 w:lineRule="exact"/>
        <w:rPr>
          <w:rFonts w:ascii="Times New Roman" w:cs="Times New Roman" w:eastAsia="Times New Roman" w:hAnsi="Times New Roman"/>
          <w:sz w:val="18"/>
          <w:szCs w:val="18"/>
          <w:color w:val="auto"/>
        </w:rPr>
      </w:pPr>
    </w:p>
    <w:p>
      <w:pPr>
        <w:ind w:left="860" w:right="120" w:hanging="407"/>
        <w:spacing w:after="0" w:line="276" w:lineRule="auto"/>
        <w:tabs>
          <w:tab w:leader="none" w:pos="84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Company and have:</w:t>
      </w:r>
    </w:p>
    <w:p>
      <w:pPr>
        <w:spacing w:after="0" w:line="71" w:lineRule="exact"/>
        <w:rPr>
          <w:rFonts w:ascii="Times New Roman" w:cs="Times New Roman" w:eastAsia="Times New Roman" w:hAnsi="Times New Roman"/>
          <w:sz w:val="17"/>
          <w:szCs w:val="17"/>
          <w:color w:val="auto"/>
        </w:rPr>
      </w:pPr>
    </w:p>
    <w:p>
      <w:pPr>
        <w:ind w:left="1420" w:right="220" w:hanging="400"/>
        <w:spacing w:after="0" w:line="266" w:lineRule="auto"/>
        <w:tabs>
          <w:tab w:leader="none" w:pos="139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7" w:lineRule="exact"/>
        <w:rPr>
          <w:rFonts w:ascii="Times New Roman" w:cs="Times New Roman" w:eastAsia="Times New Roman" w:hAnsi="Times New Roman"/>
          <w:sz w:val="18"/>
          <w:szCs w:val="18"/>
          <w:color w:val="auto"/>
        </w:rPr>
      </w:pPr>
    </w:p>
    <w:p>
      <w:pPr>
        <w:ind w:left="1420" w:right="20" w:hanging="400"/>
        <w:spacing w:after="0" w:line="266" w:lineRule="auto"/>
        <w:tabs>
          <w:tab w:leader="none" w:pos="140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7" w:lineRule="exact"/>
        <w:rPr>
          <w:rFonts w:ascii="Times New Roman" w:cs="Times New Roman" w:eastAsia="Times New Roman" w:hAnsi="Times New Roman"/>
          <w:sz w:val="18"/>
          <w:szCs w:val="18"/>
          <w:color w:val="auto"/>
        </w:rPr>
      </w:pPr>
    </w:p>
    <w:p>
      <w:pPr>
        <w:jc w:val="both"/>
        <w:ind w:left="1420" w:right="80" w:hanging="400"/>
        <w:spacing w:after="0" w:line="282" w:lineRule="auto"/>
        <w:tabs>
          <w:tab w:leader="none" w:pos="139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1420" w:right="100" w:hanging="400"/>
        <w:spacing w:after="0" w:line="266" w:lineRule="auto"/>
        <w:tabs>
          <w:tab w:leader="none" w:pos="1405"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7" w:lineRule="exact"/>
        <w:rPr>
          <w:rFonts w:ascii="Times New Roman" w:cs="Times New Roman" w:eastAsia="Times New Roman" w:hAnsi="Times New Roman"/>
          <w:sz w:val="18"/>
          <w:szCs w:val="18"/>
          <w:color w:val="auto"/>
        </w:rPr>
      </w:pPr>
    </w:p>
    <w:p>
      <w:pPr>
        <w:ind w:left="860" w:right="80" w:hanging="407"/>
        <w:spacing w:after="0" w:line="282" w:lineRule="auto"/>
        <w:tabs>
          <w:tab w:leader="none" w:pos="8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 w:lineRule="exact"/>
        <w:rPr>
          <w:rFonts w:ascii="Times New Roman" w:cs="Times New Roman" w:eastAsia="Times New Roman" w:hAnsi="Times New Roman"/>
          <w:sz w:val="18"/>
          <w:szCs w:val="18"/>
          <w:color w:val="auto"/>
        </w:rPr>
      </w:pPr>
    </w:p>
    <w:p>
      <w:pPr>
        <w:ind w:left="1420" w:right="480" w:hanging="521"/>
        <w:spacing w:after="0" w:line="282" w:lineRule="auto"/>
        <w:tabs>
          <w:tab w:leader="none" w:pos="126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420" w:right="160" w:hanging="521"/>
        <w:spacing w:after="0" w:line="282" w:lineRule="auto"/>
        <w:tabs>
          <w:tab w:leader="none" w:pos="12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094355"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quarterly report on Form 10-Q for the quarterly period ended June 30, 2024 of United Airlines Holdings, Inc. (the "Report"):</w:t>
      </w:r>
    </w:p>
    <w:p>
      <w:pPr>
        <w:spacing w:after="0" w:line="13" w:lineRule="exact"/>
        <w:rPr>
          <w:sz w:val="20"/>
          <w:szCs w:val="20"/>
          <w:color w:val="auto"/>
        </w:rPr>
      </w:pPr>
    </w:p>
    <w:p>
      <w:pPr>
        <w:ind w:left="840" w:hanging="387"/>
        <w:spacing w:after="0"/>
        <w:tabs>
          <w:tab w:leader="none" w:pos="8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Holdings,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9">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8610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United Airlines,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96"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Each undersigned officer certifies that to the best of his knowledge based on a review of the quarterly report on Form 10-Q for the quarterly period ended June 30, 2024 of United Airlines, Inc. (the "Report"):</w:t>
      </w:r>
    </w:p>
    <w:p>
      <w:pPr>
        <w:spacing w:after="0" w:line="13" w:lineRule="exact"/>
        <w:rPr>
          <w:sz w:val="20"/>
          <w:szCs w:val="20"/>
          <w:color w:val="auto"/>
        </w:rPr>
      </w:pPr>
    </w:p>
    <w:p>
      <w:pPr>
        <w:ind w:left="840" w:hanging="387"/>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860" w:right="460" w:hanging="407"/>
        <w:spacing w:after="0" w:line="282" w:lineRule="auto"/>
        <w:tabs>
          <w:tab w:leader="none" w:pos="84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United Airlines,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 Scott Kirby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1">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Scott Kirby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Leskinen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0689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2">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Leskinen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1)"/>
      <w:numFmt w:val="decimal"/>
      <w:start w:val="872"/>
    </w:lvl>
  </w:abstractNum>
  <w:abstractNum w:abstractNumId="3">
    <w:nsid w:val="614FD4A1"/>
    <w:multiLevelType w:val="hybridMultilevel"/>
    <w:lvl w:ilvl="0">
      <w:lvlJc w:val="left"/>
      <w:lvlText w:val="(%1)"/>
      <w:numFmt w:val="decimal"/>
      <w:start w:val="872"/>
    </w:lvl>
  </w:abstractNum>
  <w:abstractNum w:abstractNumId="4">
    <w:nsid w:val="419AC241"/>
    <w:multiLevelType w:val="hybridMultilevel"/>
    <w:lvl w:ilvl="0">
      <w:lvlJc w:val="left"/>
      <w:lvlText w:val="(%1)"/>
      <w:numFmt w:val="lowerLetter"/>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1)"/>
      <w:numFmt w:val="lowerLetter"/>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lowerLetter"/>
      <w:start w:val="1"/>
    </w:lvl>
  </w:abstractNum>
  <w:abstractNum w:abstractNumId="10">
    <w:nsid w:val="7724C67E"/>
    <w:multiLevelType w:val="hybridMultilevel"/>
    <w:lvl w:ilvl="0">
      <w:lvlJc w:val="left"/>
      <w:lvlText w:val="(%1)"/>
      <w:numFmt w:val="lowerLetter"/>
      <w:start w:val="1"/>
    </w:lvl>
  </w:abstractNum>
  <w:abstractNum w:abstractNumId="11">
    <w:nsid w:val="5C482A97"/>
    <w:multiLevelType w:val="hybridMultilevel"/>
    <w:lvl w:ilvl="0">
      <w:lvlJc w:val="left"/>
      <w:lvlText w:val="(%1)"/>
      <w:numFmt w:val="lowerLetter"/>
      <w:start w:val="1"/>
    </w:lvl>
  </w:abstractNum>
  <w:abstractNum w:abstractNumId="12">
    <w:nsid w:val="2463B9EA"/>
    <w:multiLevelType w:val="hybridMultilevel"/>
    <w:lvl w:ilvl="0">
      <w:lvlJc w:val="left"/>
      <w:lvlText w:val="%1"/>
      <w:numFmt w:val="decimal"/>
      <w:start w:val="10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1"/>
      <w:numFmt w:val="lowerLetter"/>
      <w:start w:val="1"/>
    </w:lvl>
    <w:lvl w:ilvl="1">
      <w:lvlJc w:val="left"/>
      <w:lvlText w:val="(%2)"/>
      <w:numFmt w:val="lowerLetter"/>
      <w:start w:val="1"/>
    </w:lvl>
  </w:abstractNum>
  <w:abstractNum w:abstractNumId="19">
    <w:nsid w:val="70A64E2A"/>
    <w:multiLevelType w:val="hybridMultilevel"/>
    <w:lvl w:ilvl="0">
      <w:lvlJc w:val="left"/>
      <w:lvlText w:val="(%1)"/>
      <w:numFmt w:val="lowerLetter"/>
      <w:start w:val="2"/>
    </w:lvl>
    <w:lvl w:ilvl="1">
      <w:lvlJc w:val="left"/>
      <w:lvlText w:val="%2"/>
      <w:numFmt w:val="lowerLetter"/>
      <w:start w:val="1"/>
    </w:lvl>
  </w:abstractNum>
  <w:abstractNum w:abstractNumId="20">
    <w:nsid w:val="6A2342EC"/>
    <w:multiLevelType w:val="hybridMultilevel"/>
    <w:lvl w:ilvl="0">
      <w:lvlJc w:val="left"/>
      <w:lvlText w:val="(%1)"/>
      <w:numFmt w:val="lowerLetter"/>
      <w:start w:val="1"/>
    </w:lvl>
  </w:abstractNum>
  <w:abstractNum w:abstractNumId="21">
    <w:nsid w:val="2A487CB0"/>
    <w:multiLevelType w:val="hybridMultilevel"/>
    <w:lvl w:ilvl="0">
      <w:lvlJc w:val="left"/>
      <w:lvlText w:val="(%1)"/>
      <w:numFmt w:val="lowerLetter"/>
      <w:start w:val="2"/>
    </w:lvl>
  </w:abstractNum>
  <w:abstractNum w:abstractNumId="22">
    <w:nsid w:val="1D4ED43B"/>
    <w:multiLevelType w:val="hybridMultilevel"/>
    <w:lvl w:ilvl="0">
      <w:lvlJc w:val="left"/>
      <w:lvlText w:val="(%1)"/>
      <w:numFmt w:val="lowerLetter"/>
      <w:start w:val="1"/>
    </w:lvl>
  </w:abstractNum>
  <w:abstractNum w:abstractNumId="23">
    <w:nsid w:val="725A06FB"/>
    <w:multiLevelType w:val="hybridMultilevel"/>
    <w:lvl w:ilvl="0">
      <w:lvlJc w:val="left"/>
      <w:lvlText w:val="(%1)"/>
      <w:numFmt w:val="lowerLetter"/>
      <w:start w:val="2"/>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
      <w:numFmt w:val="bullet"/>
      <w:start w:val="1"/>
    </w:lvl>
    <w:lvl w:ilvl="1">
      <w:lvlJc w:val="left"/>
      <w:lvlText w:val="(%2)"/>
      <w:numFmt w:val="lowerLetter"/>
      <w:start w:val="1"/>
    </w:lvl>
  </w:abstractNum>
  <w:abstractNum w:abstractNumId="26">
    <w:nsid w:val="7A6D8D3C"/>
    <w:multiLevelType w:val="hybridMultilevel"/>
    <w:lvl w:ilvl="0">
      <w:lvlJc w:val="left"/>
      <w:lvlText w:val="***"/>
      <w:numFmt w:val="bullet"/>
      <w:start w:val="1"/>
    </w:lvl>
    <w:lvl w:ilvl="1">
      <w:lvlJc w:val="left"/>
      <w:lvlText w:val="(%2)"/>
      <w:numFmt w:val="lowerLetter"/>
      <w:start w:val="2"/>
    </w:lvl>
  </w:abstractNum>
  <w:abstractNum w:abstractNumId="27">
    <w:nsid w:val="4B588F54"/>
    <w:multiLevelType w:val="hybridMultilevel"/>
    <w:lvl w:ilvl="0">
      <w:lvlJc w:val="left"/>
      <w:lvlText w:val="(%1)"/>
      <w:numFmt w:val="lowerLetter"/>
      <w:start w:val="3"/>
    </w:lvl>
  </w:abstractNum>
  <w:abstractNum w:abstractNumId="28">
    <w:nsid w:val="542289EC"/>
    <w:multiLevelType w:val="hybridMultilevel"/>
    <w:lvl w:ilvl="0">
      <w:lvlJc w:val="left"/>
      <w:lvlText w:val="(%1)"/>
      <w:numFmt w:val="lowerLetter"/>
      <w:start w:val="1"/>
    </w:lvl>
  </w:abstractNum>
  <w:abstractNum w:abstractNumId="29">
    <w:nsid w:val="6DE91B18"/>
    <w:multiLevelType w:val="hybridMultilevel"/>
    <w:lvl w:ilvl="0">
      <w:lvlJc w:val="left"/>
      <w:lvlText w:val="(%1)"/>
      <w:numFmt w:val="lowerLetter"/>
      <w:start w:val="1"/>
    </w:lvl>
    <w:lvl w:ilvl="1">
      <w:lvlJc w:val="left"/>
      <w:lvlText w:val="(%2)"/>
      <w:numFmt w:val="lowerRoman"/>
      <w:start w:val="1"/>
    </w:lvl>
  </w:abstractNum>
  <w:abstractNum w:abstractNumId="30">
    <w:nsid w:val="38437FDB"/>
    <w:multiLevelType w:val="hybridMultilevel"/>
    <w:lvl w:ilvl="0">
      <w:lvlJc w:val="left"/>
      <w:lvlText w:val="(%1)"/>
      <w:numFmt w:val="lowerLetter"/>
      <w:start w:val="1"/>
    </w:lvl>
  </w:abstractNum>
  <w:abstractNum w:abstractNumId="31">
    <w:nsid w:val="7644A45C"/>
    <w:multiLevelType w:val="hybridMultilevel"/>
    <w:lvl w:ilvl="0">
      <w:lvlJc w:val="left"/>
      <w:lvlText w:val="%1."/>
      <w:numFmt w:val="decimal"/>
      <w:start w:val="2"/>
    </w:lvl>
  </w:abstractNum>
  <w:abstractNum w:abstractNumId="32">
    <w:nsid w:val="32FFF902"/>
    <w:multiLevelType w:val="hybridMultilevel"/>
    <w:lvl w:ilvl="0">
      <w:lvlJc w:val="left"/>
      <w:lvlText w:val="&amp;"/>
      <w:numFmt w:val="bullet"/>
      <w:start w:val="1"/>
    </w:lvl>
  </w:abstractNum>
  <w:abstractNum w:abstractNumId="33">
    <w:nsid w:val="684A481A"/>
    <w:multiLevelType w:val="hybridMultilevel"/>
    <w:lvl w:ilvl="0">
      <w:lvlJc w:val="left"/>
      <w:lvlText w:val="(%1)"/>
      <w:numFmt w:val="decimal"/>
      <w:start w:val="2"/>
    </w:lvl>
  </w:abstractNum>
  <w:abstractNum w:abstractNumId="34">
    <w:nsid w:val="579478FE"/>
    <w:multiLevelType w:val="hybridMultilevel"/>
    <w:lvl w:ilvl="0">
      <w:lvlJc w:val="left"/>
      <w:lvlText w:val="(%1)"/>
      <w:numFmt w:val="lowerRoman"/>
      <w:start w:val="4"/>
    </w:lvl>
  </w:abstractNum>
  <w:abstractNum w:abstractNumId="35">
    <w:nsid w:val="749ABB43"/>
    <w:multiLevelType w:val="hybridMultilevel"/>
    <w:lvl w:ilvl="0">
      <w:lvlJc w:val="left"/>
      <w:lvlText w:val="%1."/>
      <w:numFmt w:val="decimal"/>
      <w:start w:val="1"/>
    </w:lvl>
  </w:abstractNum>
  <w:abstractNum w:abstractNumId="36">
    <w:nsid w:val="3DC240FB"/>
    <w:multiLevelType w:val="hybridMultilevel"/>
    <w:lvl w:ilvl="0">
      <w:lvlJc w:val="left"/>
      <w:lvlText w:val="%1."/>
      <w:numFmt w:val="decimal"/>
      <w:start w:val="2"/>
    </w:lvl>
  </w:abstractNum>
  <w:abstractNum w:abstractNumId="37">
    <w:nsid w:val="1BA026FA"/>
    <w:multiLevelType w:val="hybridMultilevel"/>
    <w:lvl w:ilvl="0">
      <w:lvlJc w:val="left"/>
      <w:lvlText w:val="%1."/>
      <w:numFmt w:val="decimal"/>
      <w:start w:val="3"/>
    </w:lvl>
  </w:abstractNum>
  <w:abstractNum w:abstractNumId="38">
    <w:nsid w:val="79A1DEAA"/>
    <w:multiLevelType w:val="hybridMultilevel"/>
    <w:lvl w:ilvl="0">
      <w:lvlJc w:val="left"/>
      <w:lvlText w:val="%1."/>
      <w:numFmt w:val="decimal"/>
      <w:start w:val="4"/>
    </w:lvl>
  </w:abstractNum>
  <w:abstractNum w:abstractNumId="39">
    <w:nsid w:val="75C6C33A"/>
    <w:multiLevelType w:val="hybridMultilevel"/>
    <w:lvl w:ilvl="0">
      <w:lvlJc w:val="left"/>
      <w:lvlText w:val="%1."/>
      <w:numFmt w:val="decimal"/>
      <w:start w:val="5"/>
    </w:lvl>
  </w:abstractNum>
  <w:abstractNum w:abstractNumId="40">
    <w:nsid w:val="12E685FB"/>
    <w:multiLevelType w:val="hybridMultilevel"/>
    <w:lvl w:ilvl="0">
      <w:lvlJc w:val="left"/>
      <w:lvlText w:val="%1."/>
      <w:numFmt w:val="decimal"/>
      <w:start w:val="6"/>
    </w:lvl>
  </w:abstractNum>
  <w:abstractNum w:abstractNumId="41">
    <w:nsid w:val="70C6A529"/>
    <w:multiLevelType w:val="hybridMultilevel"/>
    <w:lvl w:ilvl="0">
      <w:lvlJc w:val="left"/>
      <w:lvlText w:val="%1."/>
      <w:numFmt w:val="decimal"/>
      <w:start w:val="7"/>
    </w:lvl>
  </w:abstractNum>
  <w:abstractNum w:abstractNumId="42">
    <w:nsid w:val="520EEDD1"/>
    <w:multiLevelType w:val="hybridMultilevel"/>
    <w:lvl w:ilvl="0">
      <w:lvlJc w:val="left"/>
      <w:lvlText w:val="%1."/>
      <w:numFmt w:val="decimal"/>
      <w:start w:val="8"/>
    </w:lvl>
  </w:abstractNum>
  <w:abstractNum w:abstractNumId="43">
    <w:nsid w:val="374A3FE6"/>
    <w:multiLevelType w:val="hybridMultilevel"/>
    <w:lvl w:ilvl="0">
      <w:lvlJc w:val="left"/>
      <w:lvlText w:val="%1."/>
      <w:numFmt w:val="decimal"/>
      <w:start w:val="9"/>
    </w:lvl>
  </w:abstractNum>
  <w:abstractNum w:abstractNumId="44">
    <w:nsid w:val="4F4EF005"/>
    <w:multiLevelType w:val="hybridMultilevel"/>
    <w:lvl w:ilvl="0">
      <w:lvlJc w:val="left"/>
      <w:lvlText w:val="(%1)"/>
      <w:numFmt w:val="lowerRoman"/>
      <w:start w:val="1"/>
    </w:lvl>
  </w:abstractNum>
  <w:abstractNum w:abstractNumId="45">
    <w:nsid w:val="23F9C13C"/>
    <w:multiLevelType w:val="hybridMultilevel"/>
    <w:lvl w:ilvl="0">
      <w:lvlJc w:val="left"/>
      <w:lvlText w:val="%1."/>
      <w:numFmt w:val="decimal"/>
      <w:start w:val="10"/>
    </w:lvl>
  </w:abstractNum>
  <w:abstractNum w:abstractNumId="46">
    <w:nsid w:val="649BB77C"/>
    <w:multiLevelType w:val="hybridMultilevel"/>
    <w:lvl w:ilvl="0">
      <w:lvlJc w:val="left"/>
      <w:lvlText w:val="(%1)"/>
      <w:numFmt w:val="decimal"/>
      <w:start w:val="2"/>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1."/>
      <w:numFmt w:val="decimal"/>
      <w:start w:val="2"/>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1."/>
      <w:numFmt w:val="decimal"/>
      <w:start w:val="3"/>
    </w:lvl>
  </w:abstractNum>
  <w:abstractNum w:abstractNumId="52">
    <w:nsid w:val="47398C89"/>
    <w:multiLevelType w:val="hybridMultilevel"/>
    <w:lvl w:ilvl="0">
      <w:lvlJc w:val="left"/>
      <w:lvlText w:val="%1."/>
      <w:numFmt w:val="decimal"/>
      <w:start w:val="4"/>
    </w:lvl>
  </w:abstractNum>
  <w:abstractNum w:abstractNumId="53">
    <w:nsid w:val="354FE9F9"/>
    <w:multiLevelType w:val="hybridMultilevel"/>
    <w:lvl w:ilvl="0">
      <w:lvlJc w:val="left"/>
      <w:lvlText w:val="%1."/>
      <w:numFmt w:val="decimal"/>
      <w:start w:val="5"/>
    </w:lvl>
  </w:abstractNum>
  <w:abstractNum w:abstractNumId="54">
    <w:nsid w:val="15B5AF5C"/>
    <w:multiLevelType w:val="hybridMultilevel"/>
    <w:lvl w:ilvl="0">
      <w:lvlJc w:val="left"/>
      <w:lvlText w:val="%1."/>
      <w:numFmt w:val="decimal"/>
      <w:start w:val="6"/>
    </w:lvl>
  </w:abstractNum>
  <w:abstractNum w:abstractNumId="55">
    <w:nsid w:val="741226BB"/>
    <w:multiLevelType w:val="hybridMultilevel"/>
    <w:lvl w:ilvl="0">
      <w:lvlJc w:val="left"/>
      <w:lvlText w:val="%1."/>
      <w:numFmt w:val="decimal"/>
      <w:start w:val="1"/>
    </w:lvl>
    <w:lvl w:ilvl="1">
      <w:lvlJc w:val="left"/>
      <w:lvlText w:val="%2."/>
      <w:numFmt w:val="decimal"/>
      <w:start w:val="2"/>
    </w:lvl>
  </w:abstractNum>
  <w:abstractNum w:abstractNumId="56">
    <w:nsid w:val="D34B6A8"/>
    <w:multiLevelType w:val="hybridMultilevel"/>
    <w:lvl w:ilvl="0">
      <w:lvlJc w:val="left"/>
      <w:lvlText w:val="%1."/>
      <w:numFmt w:val="upperLetter"/>
      <w:start w:val="1"/>
    </w:lvl>
  </w:abstractNum>
  <w:abstractNum w:abstractNumId="57">
    <w:nsid w:val="10233C99"/>
    <w:multiLevelType w:val="hybridMultilevel"/>
    <w:lvl w:ilvl="0">
      <w:lvlJc w:val="left"/>
      <w:lvlText w:val="%1."/>
      <w:numFmt w:val="upperLetter"/>
      <w:start w:val="2"/>
    </w:lvl>
  </w:abstractNum>
  <w:abstractNum w:abstractNumId="58">
    <w:nsid w:val="3F6AB60F"/>
    <w:multiLevelType w:val="hybridMultilevel"/>
    <w:lvl w:ilvl="0">
      <w:lvlJc w:val="left"/>
      <w:lvlText w:val="(%1)"/>
      <w:numFmt w:val="decimal"/>
      <w:start w:val="1"/>
    </w:lvl>
    <w:lvl w:ilvl="1">
      <w:lvlJc w:val="left"/>
      <w:lvlText w:val="(%2)"/>
      <w:numFmt w:val="lowerLetter"/>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jpeg"/><Relationship Id="rId76" Type="http://schemas.openxmlformats.org/officeDocument/2006/relationships/image" Target="media/image67.jpe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jpe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jpeg"/><Relationship Id="rId83" Type="http://schemas.openxmlformats.org/officeDocument/2006/relationships/image" Target="media/image74.jpeg"/><Relationship Id="rId84" Type="http://schemas.openxmlformats.org/officeDocument/2006/relationships/image" Target="media/image75.jpeg"/><Relationship Id="rId85" Type="http://schemas.openxmlformats.org/officeDocument/2006/relationships/image" Target="media/image76.jpeg"/><Relationship Id="rId86" Type="http://schemas.openxmlformats.org/officeDocument/2006/relationships/image" Target="media/image77.jpe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515" Type="http://schemas.openxmlformats.org/officeDocument/2006/relationships/image" Target="media/image506.png"/><Relationship Id="rId516" Type="http://schemas.openxmlformats.org/officeDocument/2006/relationships/image" Target="media/image507.png"/><Relationship Id="rId517" Type="http://schemas.openxmlformats.org/officeDocument/2006/relationships/image" Target="media/image508.png"/><Relationship Id="rId518" Type="http://schemas.openxmlformats.org/officeDocument/2006/relationships/image" Target="media/image509.png"/><Relationship Id="rId519" Type="http://schemas.openxmlformats.org/officeDocument/2006/relationships/image" Target="media/image510.png"/><Relationship Id="rId520" Type="http://schemas.openxmlformats.org/officeDocument/2006/relationships/image" Target="media/image511.png"/><Relationship Id="rId521" Type="http://schemas.openxmlformats.org/officeDocument/2006/relationships/image" Target="media/image512.png"/><Relationship Id="rId522" Type="http://schemas.openxmlformats.org/officeDocument/2006/relationships/image" Target="media/image513.png"/><Relationship Id="rId523" Type="http://schemas.openxmlformats.org/officeDocument/2006/relationships/image" Target="media/image514.png"/><Relationship Id="rId524" Type="http://schemas.openxmlformats.org/officeDocument/2006/relationships/image" Target="media/image515.png"/><Relationship Id="rId525"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53" Type="http://schemas.openxmlformats.org/officeDocument/2006/relationships/image" Target="media/image544.png"/><Relationship Id="rId554" Type="http://schemas.openxmlformats.org/officeDocument/2006/relationships/image" Target="media/image545.png"/><Relationship Id="rId555" Type="http://schemas.openxmlformats.org/officeDocument/2006/relationships/image" Target="media/image546.png"/><Relationship Id="rId556" Type="http://schemas.openxmlformats.org/officeDocument/2006/relationships/image" Target="media/image547.png"/><Relationship Id="rId557" Type="http://schemas.openxmlformats.org/officeDocument/2006/relationships/image" Target="media/image548.png"/><Relationship Id="rId558" Type="http://schemas.openxmlformats.org/officeDocument/2006/relationships/image" Target="media/image549.png"/><Relationship Id="rId559" Type="http://schemas.openxmlformats.org/officeDocument/2006/relationships/image" Target="media/image550.png"/><Relationship Id="rId560" Type="http://schemas.openxmlformats.org/officeDocument/2006/relationships/image" Target="media/image551.png"/><Relationship Id="rId561" Type="http://schemas.openxmlformats.org/officeDocument/2006/relationships/image" Target="media/image552.png"/><Relationship Id="rId562" Type="http://schemas.openxmlformats.org/officeDocument/2006/relationships/image" Target="media/image553.png"/><Relationship Id="rId563" Type="http://schemas.openxmlformats.org/officeDocument/2006/relationships/image" Target="media/image554.png"/><Relationship Id="rId564" Type="http://schemas.openxmlformats.org/officeDocument/2006/relationships/image" Target="media/image555.png"/><Relationship Id="rId565" Type="http://schemas.openxmlformats.org/officeDocument/2006/relationships/image" Target="media/image556.png"/><Relationship Id="rId566" Type="http://schemas.openxmlformats.org/officeDocument/2006/relationships/image" Target="media/image557.png"/><Relationship Id="rId567" Type="http://schemas.openxmlformats.org/officeDocument/2006/relationships/image" Target="media/image558.png"/><Relationship Id="rId568" Type="http://schemas.openxmlformats.org/officeDocument/2006/relationships/image" Target="media/image559.png"/><Relationship Id="rId569" Type="http://schemas.openxmlformats.org/officeDocument/2006/relationships/image" Target="media/image560.png"/><Relationship Id="rId570" Type="http://schemas.openxmlformats.org/officeDocument/2006/relationships/image" Target="media/image561.png"/><Relationship Id="rId571" Type="http://schemas.openxmlformats.org/officeDocument/2006/relationships/image" Target="media/image562.png"/><Relationship Id="rId572" Type="http://schemas.openxmlformats.org/officeDocument/2006/relationships/image" Target="media/image563.png"/><Relationship Id="rId573" Type="http://schemas.openxmlformats.org/officeDocument/2006/relationships/image" Target="media/image564.png"/><Relationship Id="rId574" Type="http://schemas.openxmlformats.org/officeDocument/2006/relationships/image" Target="media/image565.png"/><Relationship Id="rId575" Type="http://schemas.openxmlformats.org/officeDocument/2006/relationships/image" Target="media/image566.png"/><Relationship Id="rId576" Type="http://schemas.openxmlformats.org/officeDocument/2006/relationships/image" Target="media/image567.png"/><Relationship Id="rId577" Type="http://schemas.openxmlformats.org/officeDocument/2006/relationships/image" Target="media/image568.png"/><Relationship Id="rId578" Type="http://schemas.openxmlformats.org/officeDocument/2006/relationships/image" Target="media/image569.png"/><Relationship Id="rId579" Type="http://schemas.openxmlformats.org/officeDocument/2006/relationships/image" Target="media/image570.png"/><Relationship Id="rId580" Type="http://schemas.openxmlformats.org/officeDocument/2006/relationships/image" Target="media/image571.png"/><Relationship Id="rId581" Type="http://schemas.openxmlformats.org/officeDocument/2006/relationships/image" Target="media/image572.png"/><Relationship Id="rId582" Type="http://schemas.openxmlformats.org/officeDocument/2006/relationships/image" Target="media/image573.png"/><Relationship Id="rId583" Type="http://schemas.openxmlformats.org/officeDocument/2006/relationships/image" Target="media/image574.png"/><Relationship Id="rId584" Type="http://schemas.openxmlformats.org/officeDocument/2006/relationships/image" Target="media/image575.png"/><Relationship Id="rId585" Type="http://schemas.openxmlformats.org/officeDocument/2006/relationships/image" Target="media/image576.png"/><Relationship Id="rId586" Type="http://schemas.openxmlformats.org/officeDocument/2006/relationships/image" Target="media/image577.png"/><Relationship Id="rId587" Type="http://schemas.openxmlformats.org/officeDocument/2006/relationships/image" Target="media/image578.png"/><Relationship Id="rId588" Type="http://schemas.openxmlformats.org/officeDocument/2006/relationships/image" Target="media/image579.png"/><Relationship Id="rId589" Type="http://schemas.openxmlformats.org/officeDocument/2006/relationships/image" Target="media/image580.png"/><Relationship Id="rId590" Type="http://schemas.openxmlformats.org/officeDocument/2006/relationships/image" Target="media/image581.png"/><Relationship Id="rId591" Type="http://schemas.openxmlformats.org/officeDocument/2006/relationships/image" Target="media/image582.png"/><Relationship Id="rId592" Type="http://schemas.openxmlformats.org/officeDocument/2006/relationships/image" Target="media/image583.png"/><Relationship Id="rId593" Type="http://schemas.openxmlformats.org/officeDocument/2006/relationships/image" Target="media/image584.png"/><Relationship Id="rId594" Type="http://schemas.openxmlformats.org/officeDocument/2006/relationships/image" Target="media/image585.png"/><Relationship Id="rId595" Type="http://schemas.openxmlformats.org/officeDocument/2006/relationships/image" Target="media/image586.png"/><Relationship Id="rId596" Type="http://schemas.openxmlformats.org/officeDocument/2006/relationships/image" Target="media/image587.png"/><Relationship Id="rId597" Type="http://schemas.openxmlformats.org/officeDocument/2006/relationships/image" Target="media/image588.png"/><Relationship Id="rId598" Type="http://schemas.openxmlformats.org/officeDocument/2006/relationships/image" Target="media/image589.png"/><Relationship Id="rId599" Type="http://schemas.openxmlformats.org/officeDocument/2006/relationships/image" Target="media/image590.png"/><Relationship Id="rId600" Type="http://schemas.openxmlformats.org/officeDocument/2006/relationships/image" Target="media/image591.png"/><Relationship Id="rId601" Type="http://schemas.openxmlformats.org/officeDocument/2006/relationships/image" Target="media/image592.png"/><Relationship Id="rId602" Type="http://schemas.openxmlformats.org/officeDocument/2006/relationships/image" Target="media/image593.png"/><Relationship Id="rId603" Type="http://schemas.openxmlformats.org/officeDocument/2006/relationships/image" Target="media/image594.png"/><Relationship Id="rId604" Type="http://schemas.openxmlformats.org/officeDocument/2006/relationships/image" Target="media/image595.png"/><Relationship Id="rId605" Type="http://schemas.openxmlformats.org/officeDocument/2006/relationships/image" Target="media/image596.png"/><Relationship Id="rId606" Type="http://schemas.openxmlformats.org/officeDocument/2006/relationships/image" Target="media/image597.png"/><Relationship Id="rId607" Type="http://schemas.openxmlformats.org/officeDocument/2006/relationships/image" Target="media/image598.png"/><Relationship Id="rId608" Type="http://schemas.openxmlformats.org/officeDocument/2006/relationships/image" Target="media/image599.png"/><Relationship Id="rId609" Type="http://schemas.openxmlformats.org/officeDocument/2006/relationships/image" Target="media/image600.png"/><Relationship Id="rId610" Type="http://schemas.openxmlformats.org/officeDocument/2006/relationships/image" Target="media/image601.png"/><Relationship Id="rId611" Type="http://schemas.openxmlformats.org/officeDocument/2006/relationships/image" Target="media/image602.png"/><Relationship Id="rId612" Type="http://schemas.openxmlformats.org/officeDocument/2006/relationships/image" Target="media/image603.png"/><Relationship Id="rId613" Type="http://schemas.openxmlformats.org/officeDocument/2006/relationships/image" Target="media/image604.png"/><Relationship Id="rId614" Type="http://schemas.openxmlformats.org/officeDocument/2006/relationships/image" Target="media/image605.png"/><Relationship Id="rId615" Type="http://schemas.openxmlformats.org/officeDocument/2006/relationships/image" Target="media/image606.png"/><Relationship Id="rId616" Type="http://schemas.openxmlformats.org/officeDocument/2006/relationships/image" Target="media/image607.png"/><Relationship Id="rId617" Type="http://schemas.openxmlformats.org/officeDocument/2006/relationships/image" Target="media/image608.png"/><Relationship Id="rId618" Type="http://schemas.openxmlformats.org/officeDocument/2006/relationships/image" Target="media/image609.png"/><Relationship Id="rId619" Type="http://schemas.openxmlformats.org/officeDocument/2006/relationships/image" Target="media/image610.png"/><Relationship Id="rId620" Type="http://schemas.openxmlformats.org/officeDocument/2006/relationships/image" Target="media/image611.png"/><Relationship Id="rId621" Type="http://schemas.openxmlformats.org/officeDocument/2006/relationships/image" Target="media/image612.png"/><Relationship Id="rId622" Type="http://schemas.openxmlformats.org/officeDocument/2006/relationships/image" Target="media/image613.png"/><Relationship Id="rId623" Type="http://schemas.openxmlformats.org/officeDocument/2006/relationships/image" Target="media/image614.png"/><Relationship Id="rId624" Type="http://schemas.openxmlformats.org/officeDocument/2006/relationships/image" Target="media/image615.png"/><Relationship Id="rId625" Type="http://schemas.openxmlformats.org/officeDocument/2006/relationships/image" Target="media/image616.png"/><Relationship Id="rId626" Type="http://schemas.openxmlformats.org/officeDocument/2006/relationships/image" Target="media/image617.png"/><Relationship Id="rId627" Type="http://schemas.openxmlformats.org/officeDocument/2006/relationships/image" Target="media/image618.png"/><Relationship Id="rId628" Type="http://schemas.openxmlformats.org/officeDocument/2006/relationships/image" Target="media/image619.png"/><Relationship Id="rId629" Type="http://schemas.openxmlformats.org/officeDocument/2006/relationships/image" Target="media/image620.png"/><Relationship Id="rId630" Type="http://schemas.openxmlformats.org/officeDocument/2006/relationships/image" Target="media/image621.png"/><Relationship Id="rId631" Type="http://schemas.openxmlformats.org/officeDocument/2006/relationships/image" Target="media/image622.png"/><Relationship Id="rId632" Type="http://schemas.openxmlformats.org/officeDocument/2006/relationships/image" Target="media/image623.png"/><Relationship Id="rId633" Type="http://schemas.openxmlformats.org/officeDocument/2006/relationships/image" Target="media/image624.png"/><Relationship Id="rId634" Type="http://schemas.openxmlformats.org/officeDocument/2006/relationships/image" Target="media/image625.png"/><Relationship Id="rId635" Type="http://schemas.openxmlformats.org/officeDocument/2006/relationships/image" Target="media/image626.png"/><Relationship Id="rId636" Type="http://schemas.openxmlformats.org/officeDocument/2006/relationships/image" Target="media/image627.png"/><Relationship Id="rId637" Type="http://schemas.openxmlformats.org/officeDocument/2006/relationships/image" Target="media/image628.png"/><Relationship Id="rId638" Type="http://schemas.openxmlformats.org/officeDocument/2006/relationships/image" Target="media/image629.png"/><Relationship Id="rId639" Type="http://schemas.openxmlformats.org/officeDocument/2006/relationships/image" Target="media/image630.png"/><Relationship Id="rId640" Type="http://schemas.openxmlformats.org/officeDocument/2006/relationships/image" Target="media/image631.png"/><Relationship Id="rId641" Type="http://schemas.openxmlformats.org/officeDocument/2006/relationships/image" Target="media/image632.png"/><Relationship Id="rId642" Type="http://schemas.openxmlformats.org/officeDocument/2006/relationships/image" Target="media/image633.png"/><Relationship Id="rId643" Type="http://schemas.openxmlformats.org/officeDocument/2006/relationships/image" Target="media/image634.png"/><Relationship Id="rId644" Type="http://schemas.openxmlformats.org/officeDocument/2006/relationships/image" Target="media/image635.png"/><Relationship Id="rId645" Type="http://schemas.openxmlformats.org/officeDocument/2006/relationships/image" Target="media/image636.png"/><Relationship Id="rId646" Type="http://schemas.openxmlformats.org/officeDocument/2006/relationships/image" Target="media/image637.png"/><Relationship Id="rId647" Type="http://schemas.openxmlformats.org/officeDocument/2006/relationships/image" Target="media/image638.png"/><Relationship Id="rId648" Type="http://schemas.openxmlformats.org/officeDocument/2006/relationships/image" Target="media/image639.png"/><Relationship Id="rId649" Type="http://schemas.openxmlformats.org/officeDocument/2006/relationships/image" Target="media/image640.png"/><Relationship Id="rId650" Type="http://schemas.openxmlformats.org/officeDocument/2006/relationships/image" Target="media/image641.png"/><Relationship Id="rId651" Type="http://schemas.openxmlformats.org/officeDocument/2006/relationships/image" Target="media/image642.png"/><Relationship Id="rId652" Type="http://schemas.openxmlformats.org/officeDocument/2006/relationships/image" Target="media/image643.png"/><Relationship Id="rId653" Type="http://schemas.openxmlformats.org/officeDocument/2006/relationships/image" Target="media/image644.png"/><Relationship Id="rId654" Type="http://schemas.openxmlformats.org/officeDocument/2006/relationships/image" Target="media/image645.png"/><Relationship Id="rId655" Type="http://schemas.openxmlformats.org/officeDocument/2006/relationships/image" Target="media/image646.png"/><Relationship Id="rId656" Type="http://schemas.openxmlformats.org/officeDocument/2006/relationships/image" Target="media/image647.png"/><Relationship Id="rId657" Type="http://schemas.openxmlformats.org/officeDocument/2006/relationships/image" Target="media/image648.png"/><Relationship Id="rId658" Type="http://schemas.openxmlformats.org/officeDocument/2006/relationships/image" Target="media/image649.png"/><Relationship Id="rId659" Type="http://schemas.openxmlformats.org/officeDocument/2006/relationships/image" Target="media/image650.png"/><Relationship Id="rId660" Type="http://schemas.openxmlformats.org/officeDocument/2006/relationships/image" Target="media/image651.png"/><Relationship Id="rId661" Type="http://schemas.openxmlformats.org/officeDocument/2006/relationships/image" Target="media/image652.png"/><Relationship Id="rId662" Type="http://schemas.openxmlformats.org/officeDocument/2006/relationships/image" Target="media/image653.png"/><Relationship Id="rId663" Type="http://schemas.openxmlformats.org/officeDocument/2006/relationships/image" Target="media/image654.png"/><Relationship Id="rId664" Type="http://schemas.openxmlformats.org/officeDocument/2006/relationships/image" Target="media/image655.png"/><Relationship Id="rId665" Type="http://schemas.openxmlformats.org/officeDocument/2006/relationships/image" Target="media/image656.png"/><Relationship Id="rId666" Type="http://schemas.openxmlformats.org/officeDocument/2006/relationships/image" Target="media/image657.png"/><Relationship Id="rId667" Type="http://schemas.openxmlformats.org/officeDocument/2006/relationships/image" Target="media/image658.png"/><Relationship Id="rId668" Type="http://schemas.openxmlformats.org/officeDocument/2006/relationships/image" Target="media/image659.png"/><Relationship Id="rId669" Type="http://schemas.openxmlformats.org/officeDocument/2006/relationships/image" Target="media/image660.png"/><Relationship Id="rId670" Type="http://schemas.openxmlformats.org/officeDocument/2006/relationships/image" Target="media/image661.png"/><Relationship Id="rId671" Type="http://schemas.openxmlformats.org/officeDocument/2006/relationships/image" Target="media/image662.png"/><Relationship Id="rId672" Type="http://schemas.openxmlformats.org/officeDocument/2006/relationships/image" Target="media/image663.png"/><Relationship Id="rId673" Type="http://schemas.openxmlformats.org/officeDocument/2006/relationships/image" Target="media/image664.png"/><Relationship Id="rId674" Type="http://schemas.openxmlformats.org/officeDocument/2006/relationships/image" Target="media/image665.png"/><Relationship Id="rId675" Type="http://schemas.openxmlformats.org/officeDocument/2006/relationships/image" Target="media/image666.png"/><Relationship Id="rId676" Type="http://schemas.openxmlformats.org/officeDocument/2006/relationships/image" Target="media/image667.png"/><Relationship Id="rId677" Type="http://schemas.openxmlformats.org/officeDocument/2006/relationships/image" Target="media/image668.png"/><Relationship Id="rId678" Type="http://schemas.openxmlformats.org/officeDocument/2006/relationships/image" Target="media/image669.png"/><Relationship Id="rId679" Type="http://schemas.openxmlformats.org/officeDocument/2006/relationships/image" Target="media/image670.png"/><Relationship Id="rId680" Type="http://schemas.openxmlformats.org/officeDocument/2006/relationships/image" Target="media/image671.png"/><Relationship Id="rId681" Type="http://schemas.openxmlformats.org/officeDocument/2006/relationships/image" Target="media/image672.png"/><Relationship Id="rId682" Type="http://schemas.openxmlformats.org/officeDocument/2006/relationships/image" Target="media/image673.png"/><Relationship Id="rId683" Type="http://schemas.openxmlformats.org/officeDocument/2006/relationships/image" Target="media/image674.png"/><Relationship Id="rId684" Type="http://schemas.openxmlformats.org/officeDocument/2006/relationships/image" Target="media/image675.png"/><Relationship Id="rId685" Type="http://schemas.openxmlformats.org/officeDocument/2006/relationships/image" Target="media/image676.png"/><Relationship Id="rId686" Type="http://schemas.openxmlformats.org/officeDocument/2006/relationships/image" Target="media/image677.png"/><Relationship Id="rId687" Type="http://schemas.openxmlformats.org/officeDocument/2006/relationships/image" Target="media/image678.png"/><Relationship Id="rId688" Type="http://schemas.openxmlformats.org/officeDocument/2006/relationships/image" Target="media/image679.png"/><Relationship Id="rId689" Type="http://schemas.openxmlformats.org/officeDocument/2006/relationships/image" Target="media/image680.png"/><Relationship Id="rId690" Type="http://schemas.openxmlformats.org/officeDocument/2006/relationships/image" Target="media/image681.png"/><Relationship Id="rId691" Type="http://schemas.openxmlformats.org/officeDocument/2006/relationships/image" Target="media/image682.png"/><Relationship Id="rId692" Type="http://schemas.openxmlformats.org/officeDocument/2006/relationships/image" Target="media/image683.png"/><Relationship Id="rId693" Type="http://schemas.openxmlformats.org/officeDocument/2006/relationships/image" Target="media/image684.png"/><Relationship Id="rId694" Type="http://schemas.openxmlformats.org/officeDocument/2006/relationships/image" Target="media/image685.png"/><Relationship Id="rId695" Type="http://schemas.openxmlformats.org/officeDocument/2006/relationships/image" Target="media/image686.png"/><Relationship Id="rId696" Type="http://schemas.openxmlformats.org/officeDocument/2006/relationships/image" Target="media/image687.png"/><Relationship Id="rId697" Type="http://schemas.openxmlformats.org/officeDocument/2006/relationships/image" Target="media/image688.png"/><Relationship Id="rId698" Type="http://schemas.openxmlformats.org/officeDocument/2006/relationships/image" Target="media/image689.png"/><Relationship Id="rId699" Type="http://schemas.openxmlformats.org/officeDocument/2006/relationships/image" Target="media/image690.png"/><Relationship Id="rId700" Type="http://schemas.openxmlformats.org/officeDocument/2006/relationships/image" Target="media/image691.png"/><Relationship Id="rId701" Type="http://schemas.openxmlformats.org/officeDocument/2006/relationships/image" Target="media/image692.png"/><Relationship Id="rId702" Type="http://schemas.openxmlformats.org/officeDocument/2006/relationships/image" Target="media/image693.png"/><Relationship Id="rId703" Type="http://schemas.openxmlformats.org/officeDocument/2006/relationships/image" Target="media/image694.png"/><Relationship Id="rId704" Type="http://schemas.openxmlformats.org/officeDocument/2006/relationships/image" Target="media/image695.png"/><Relationship Id="rId705"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8" Type="http://schemas.openxmlformats.org/officeDocument/2006/relationships/image" Target="media/image699.png"/><Relationship Id="rId709" Type="http://schemas.openxmlformats.org/officeDocument/2006/relationships/image" Target="media/image700.png"/><Relationship Id="rId710" Type="http://schemas.openxmlformats.org/officeDocument/2006/relationships/image" Target="media/image701.png"/><Relationship Id="rId711" Type="http://schemas.openxmlformats.org/officeDocument/2006/relationships/image" Target="media/image702.png"/><Relationship Id="rId712" Type="http://schemas.openxmlformats.org/officeDocument/2006/relationships/image" Target="media/image703.png"/><Relationship Id="rId713" Type="http://schemas.openxmlformats.org/officeDocument/2006/relationships/image" Target="media/image704.png"/><Relationship Id="rId714" Type="http://schemas.openxmlformats.org/officeDocument/2006/relationships/image" Target="media/image705.png"/><Relationship Id="rId715" Type="http://schemas.openxmlformats.org/officeDocument/2006/relationships/image" Target="media/image706.png"/><Relationship Id="rId716" Type="http://schemas.openxmlformats.org/officeDocument/2006/relationships/image" Target="media/image707.png"/><Relationship Id="rId717" Type="http://schemas.openxmlformats.org/officeDocument/2006/relationships/image" Target="media/image708.png"/><Relationship Id="rId718" Type="http://schemas.openxmlformats.org/officeDocument/2006/relationships/image" Target="media/image709.png"/><Relationship Id="rId719" Type="http://schemas.openxmlformats.org/officeDocument/2006/relationships/image" Target="media/image710.png"/><Relationship Id="rId720" Type="http://schemas.openxmlformats.org/officeDocument/2006/relationships/image" Target="media/image711.png"/><Relationship Id="rId721" Type="http://schemas.openxmlformats.org/officeDocument/2006/relationships/image" Target="media/image712.png"/><Relationship Id="rId722" Type="http://schemas.openxmlformats.org/officeDocument/2006/relationships/image" Target="media/image713.png"/><Relationship Id="rId723" Type="http://schemas.openxmlformats.org/officeDocument/2006/relationships/image" Target="media/image714.png"/><Relationship Id="rId724" Type="http://schemas.openxmlformats.org/officeDocument/2006/relationships/image" Target="media/image715.png"/><Relationship Id="rId725" Type="http://schemas.openxmlformats.org/officeDocument/2006/relationships/image" Target="media/image716.png"/><Relationship Id="rId726" Type="http://schemas.openxmlformats.org/officeDocument/2006/relationships/image" Target="media/image717.png"/><Relationship Id="rId727" Type="http://schemas.openxmlformats.org/officeDocument/2006/relationships/image" Target="media/image718.png"/><Relationship Id="rId728" Type="http://schemas.openxmlformats.org/officeDocument/2006/relationships/image" Target="media/image719.png"/><Relationship Id="rId729" Type="http://schemas.openxmlformats.org/officeDocument/2006/relationships/image" Target="media/image720.png"/><Relationship Id="rId730" Type="http://schemas.openxmlformats.org/officeDocument/2006/relationships/image" Target="media/image721.png"/><Relationship Id="rId731" Type="http://schemas.openxmlformats.org/officeDocument/2006/relationships/image" Target="media/image722.png"/><Relationship Id="rId732" Type="http://schemas.openxmlformats.org/officeDocument/2006/relationships/image" Target="media/image723.png"/><Relationship Id="rId733" Type="http://schemas.openxmlformats.org/officeDocument/2006/relationships/image" Target="media/image724.png"/><Relationship Id="rId734" Type="http://schemas.openxmlformats.org/officeDocument/2006/relationships/image" Target="media/image725.png"/><Relationship Id="rId735" Type="http://schemas.openxmlformats.org/officeDocument/2006/relationships/image" Target="media/image726.png"/><Relationship Id="rId736" Type="http://schemas.openxmlformats.org/officeDocument/2006/relationships/image" Target="media/image727.png"/><Relationship Id="rId737" Type="http://schemas.openxmlformats.org/officeDocument/2006/relationships/image" Target="media/image728.png"/><Relationship Id="rId738" Type="http://schemas.openxmlformats.org/officeDocument/2006/relationships/image" Target="media/image729.png"/><Relationship Id="rId739" Type="http://schemas.openxmlformats.org/officeDocument/2006/relationships/image" Target="media/image730.png"/><Relationship Id="rId740" Type="http://schemas.openxmlformats.org/officeDocument/2006/relationships/image" Target="media/image731.png"/><Relationship Id="rId741" Type="http://schemas.openxmlformats.org/officeDocument/2006/relationships/image" Target="media/image732.png"/><Relationship Id="rId742" Type="http://schemas.openxmlformats.org/officeDocument/2006/relationships/image" Target="media/image733.png"/><Relationship Id="rId743" Type="http://schemas.openxmlformats.org/officeDocument/2006/relationships/image" Target="media/image734.png"/><Relationship Id="rId744" Type="http://schemas.openxmlformats.org/officeDocument/2006/relationships/image" Target="media/image735.png"/><Relationship Id="rId745" Type="http://schemas.openxmlformats.org/officeDocument/2006/relationships/image" Target="media/image736.png"/><Relationship Id="rId746" Type="http://schemas.openxmlformats.org/officeDocument/2006/relationships/image" Target="media/image737.png"/><Relationship Id="rId747" Type="http://schemas.openxmlformats.org/officeDocument/2006/relationships/image" Target="media/image738.png"/><Relationship Id="rId748" Type="http://schemas.openxmlformats.org/officeDocument/2006/relationships/image" Target="media/image739.png"/><Relationship Id="rId749" Type="http://schemas.openxmlformats.org/officeDocument/2006/relationships/image" Target="media/image740.png"/><Relationship Id="rId750" Type="http://schemas.openxmlformats.org/officeDocument/2006/relationships/image" Target="media/image741.png"/><Relationship Id="rId751" Type="http://schemas.openxmlformats.org/officeDocument/2006/relationships/image" Target="media/image742.png"/><Relationship Id="rId752" Type="http://schemas.openxmlformats.org/officeDocument/2006/relationships/image" Target="media/image743.png"/><Relationship Id="rId753" Type="http://schemas.openxmlformats.org/officeDocument/2006/relationships/image" Target="media/image744.png"/><Relationship Id="rId754" Type="http://schemas.openxmlformats.org/officeDocument/2006/relationships/image" Target="media/image745.png"/><Relationship Id="rId755" Type="http://schemas.openxmlformats.org/officeDocument/2006/relationships/image" Target="media/image746.png"/><Relationship Id="rId756" Type="http://schemas.openxmlformats.org/officeDocument/2006/relationships/image" Target="media/image747.png"/><Relationship Id="rId757" Type="http://schemas.openxmlformats.org/officeDocument/2006/relationships/image" Target="media/image748.png"/><Relationship Id="rId758" Type="http://schemas.openxmlformats.org/officeDocument/2006/relationships/image" Target="media/image749.png"/><Relationship Id="rId759" Type="http://schemas.openxmlformats.org/officeDocument/2006/relationships/image" Target="media/image750.png"/><Relationship Id="rId760" Type="http://schemas.openxmlformats.org/officeDocument/2006/relationships/image" Target="media/image751.png"/><Relationship Id="rId761" Type="http://schemas.openxmlformats.org/officeDocument/2006/relationships/image" Target="media/image752.png"/><Relationship Id="rId762" Type="http://schemas.openxmlformats.org/officeDocument/2006/relationships/image" Target="media/image753.png"/><Relationship Id="rId763" Type="http://schemas.openxmlformats.org/officeDocument/2006/relationships/image" Target="media/image754.png"/><Relationship Id="rId764" Type="http://schemas.openxmlformats.org/officeDocument/2006/relationships/image" Target="media/image755.png"/><Relationship Id="rId765" Type="http://schemas.openxmlformats.org/officeDocument/2006/relationships/image" Target="media/image756.png"/><Relationship Id="rId766" Type="http://schemas.openxmlformats.org/officeDocument/2006/relationships/image" Target="media/image757.png"/><Relationship Id="rId767" Type="http://schemas.openxmlformats.org/officeDocument/2006/relationships/image" Target="media/image758.png"/><Relationship Id="rId768" Type="http://schemas.openxmlformats.org/officeDocument/2006/relationships/image" Target="media/image759.jpeg"/><Relationship Id="rId769" Type="http://schemas.openxmlformats.org/officeDocument/2006/relationships/image" Target="media/image760.png"/><Relationship Id="rId770" Type="http://schemas.openxmlformats.org/officeDocument/2006/relationships/image" Target="media/image761.jpeg"/><Relationship Id="rId771" Type="http://schemas.openxmlformats.org/officeDocument/2006/relationships/image" Target="media/image762.jpeg"/><Relationship Id="rId772" Type="http://schemas.openxmlformats.org/officeDocument/2006/relationships/image" Target="media/image763.jpeg"/><Relationship Id="rId773" Type="http://schemas.openxmlformats.org/officeDocument/2006/relationships/image" Target="media/image764.jpeg"/><Relationship Id="rId774" Type="http://schemas.openxmlformats.org/officeDocument/2006/relationships/image" Target="media/image765.png"/><Relationship Id="rId775" Type="http://schemas.openxmlformats.org/officeDocument/2006/relationships/image" Target="media/image766.png"/><Relationship Id="rId776" Type="http://schemas.openxmlformats.org/officeDocument/2006/relationships/image" Target="media/image767.png"/><Relationship Id="rId777" Type="http://schemas.openxmlformats.org/officeDocument/2006/relationships/image" Target="media/image768.png"/><Relationship Id="rId778" Type="http://schemas.openxmlformats.org/officeDocument/2006/relationships/image" Target="media/image769.png"/><Relationship Id="rId779" Type="http://schemas.openxmlformats.org/officeDocument/2006/relationships/image" Target="media/image770.jpeg"/><Relationship Id="rId780" Type="http://schemas.openxmlformats.org/officeDocument/2006/relationships/image" Target="media/image771.jpeg"/><Relationship Id="rId781" Type="http://schemas.openxmlformats.org/officeDocument/2006/relationships/image" Target="media/image772.jpeg"/><Relationship Id="rId782" Type="http://schemas.openxmlformats.org/officeDocument/2006/relationships/image" Target="media/image773.jpeg"/><Relationship Id="rId783" Type="http://schemas.openxmlformats.org/officeDocument/2006/relationships/image" Target="media/image774.png"/><Relationship Id="rId784" Type="http://schemas.openxmlformats.org/officeDocument/2006/relationships/image" Target="media/image775.png"/><Relationship Id="rId785" Type="http://schemas.openxmlformats.org/officeDocument/2006/relationships/image" Target="media/image776.jpeg"/><Relationship Id="rId786" Type="http://schemas.openxmlformats.org/officeDocument/2006/relationships/image" Target="media/image777.png"/><Relationship Id="rId787" Type="http://schemas.openxmlformats.org/officeDocument/2006/relationships/image" Target="media/image778.png"/><Relationship Id="rId788" Type="http://schemas.openxmlformats.org/officeDocument/2006/relationships/image" Target="media/image779.png"/><Relationship Id="rId789" Type="http://schemas.openxmlformats.org/officeDocument/2006/relationships/image" Target="media/image780.png"/><Relationship Id="rId790" Type="http://schemas.openxmlformats.org/officeDocument/2006/relationships/image" Target="media/image781.png"/><Relationship Id="rId791" Type="http://schemas.openxmlformats.org/officeDocument/2006/relationships/image" Target="media/image782.png"/><Relationship Id="rId792" Type="http://schemas.openxmlformats.org/officeDocument/2006/relationships/image" Target="media/image783.png"/><Relationship Id="rId793" Type="http://schemas.openxmlformats.org/officeDocument/2006/relationships/image" Target="media/image784.png"/><Relationship Id="rId794" Type="http://schemas.openxmlformats.org/officeDocument/2006/relationships/image" Target="media/image785.png"/><Relationship Id="rId795" Type="http://schemas.openxmlformats.org/officeDocument/2006/relationships/image" Target="media/image786.png"/><Relationship Id="rId796" Type="http://schemas.openxmlformats.org/officeDocument/2006/relationships/image" Target="media/image787.png"/><Relationship Id="rId797" Type="http://schemas.openxmlformats.org/officeDocument/2006/relationships/image" Target="media/image788.png"/><Relationship Id="rId798" Type="http://schemas.openxmlformats.org/officeDocument/2006/relationships/image" Target="media/image789.png"/><Relationship Id="rId799" Type="http://schemas.openxmlformats.org/officeDocument/2006/relationships/image" Target="media/image790.png"/><Relationship Id="rId800" Type="http://schemas.openxmlformats.org/officeDocument/2006/relationships/image" Target="media/image791.png"/><Relationship Id="rId801" Type="http://schemas.openxmlformats.org/officeDocument/2006/relationships/image" Target="media/image792.png"/><Relationship Id="rId802" Type="http://schemas.openxmlformats.org/officeDocument/2006/relationships/image" Target="media/image793.png"/><Relationship Id="rId70" Type="http://schemas.openxmlformats.org/officeDocument/2006/relationships/hyperlink" Target="http://www.sec.gov/Archives/edgar/data/100517/000110465924050332/tm2412418d1_ex4-4.htm" TargetMode="External"/><Relationship Id="rId71" Type="http://schemas.openxmlformats.org/officeDocument/2006/relationships/hyperlink" Target="http://www.sec.gov/Archives/edgar/data/100517/000110465924066121/tm241578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2024-07-18T15:11:02Z</dcterms:created>
  <dcterms:modified xsi:type="dcterms:W3CDTF">2024-07-18T15:11:02Z</dcterms:modified>
</cp:coreProperties>
</file>