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24,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CONTINENTAL HOLDINGS,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36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001-06033</w:t>
            </w:r>
          </w:p>
        </w:tc>
        <w:tc>
          <w:tcPr>
            <w:tcW w:w="318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36-2675207</w:t>
            </w:r>
          </w:p>
        </w:tc>
      </w:tr>
      <w:tr>
        <w:trPr>
          <w:trHeight w:val="220"/>
        </w:trPr>
        <w:tc>
          <w:tcPr>
            <w:tcW w:w="36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001-10323</w:t>
            </w:r>
          </w:p>
        </w:tc>
        <w:tc>
          <w:tcPr>
            <w:tcW w:w="318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74-2099724</w:t>
            </w:r>
          </w:p>
        </w:tc>
      </w:tr>
      <w:tr>
        <w:trPr>
          <w:trHeight w:val="216"/>
        </w:trPr>
        <w:tc>
          <w:tcPr>
            <w:tcW w:w="36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410"/>
              <w:spacing w:after="0"/>
              <w:rPr>
                <w:sz w:val="20"/>
                <w:szCs w:val="20"/>
                <w:color w:val="auto"/>
              </w:rPr>
            </w:pPr>
            <w:r>
              <w:rPr>
                <w:rFonts w:ascii="Arial" w:cs="Arial" w:eastAsia="Arial" w:hAnsi="Arial"/>
                <w:sz w:val="18"/>
                <w:szCs w:val="18"/>
                <w:color w:val="auto"/>
                <w:w w:val="92"/>
              </w:rPr>
              <w:t>(Commission File Number)</w:t>
            </w:r>
          </w:p>
        </w:tc>
        <w:tc>
          <w:tcPr>
            <w:tcW w:w="3180" w:type="dxa"/>
            <w:vAlign w:val="bottom"/>
          </w:tcPr>
          <w:p>
            <w:pPr>
              <w:jc w:val="center"/>
              <w:ind w:left="970"/>
              <w:spacing w:after="0"/>
              <w:rPr>
                <w:sz w:val="20"/>
                <w:szCs w:val="20"/>
                <w:color w:val="auto"/>
              </w:rPr>
            </w:pPr>
            <w:r>
              <w:rPr>
                <w:rFonts w:ascii="Arial" w:cs="Arial" w:eastAsia="Arial" w:hAnsi="Arial"/>
                <w:sz w:val="18"/>
                <w:szCs w:val="18"/>
                <w:color w:val="auto"/>
                <w:w w:val="95"/>
              </w:rPr>
              <w:t>(IRS Employer Identification</w:t>
            </w:r>
          </w:p>
        </w:tc>
      </w:tr>
      <w:tr>
        <w:trPr>
          <w:trHeight w:val="230"/>
        </w:trPr>
        <w:tc>
          <w:tcPr>
            <w:tcW w:w="3680" w:type="dxa"/>
            <w:vAlign w:val="bottom"/>
          </w:tcPr>
          <w:p>
            <w:pPr>
              <w:jc w:val="center"/>
              <w:ind w:right="151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180" w:type="dxa"/>
            <w:vAlign w:val="bottom"/>
          </w:tcPr>
          <w:p>
            <w:pPr>
              <w:jc w:val="center"/>
              <w:ind w:left="970"/>
              <w:spacing w:after="0"/>
              <w:rPr>
                <w:sz w:val="20"/>
                <w:szCs w:val="20"/>
                <w:color w:val="auto"/>
              </w:rPr>
            </w:pPr>
            <w:r>
              <w:rPr>
                <w:rFonts w:ascii="Arial" w:cs="Arial" w:eastAsia="Arial" w:hAnsi="Arial"/>
                <w:sz w:val="18"/>
                <w:szCs w:val="18"/>
                <w:color w:val="auto"/>
                <w:w w:val="93"/>
              </w:rPr>
              <w:t>Number</w:t>
            </w:r>
          </w:p>
        </w:tc>
      </w:tr>
      <w:tr>
        <w:trPr>
          <w:trHeight w:val="414"/>
        </w:trPr>
        <w:tc>
          <w:tcPr>
            <w:tcW w:w="368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233 S. Wacker Drive, Chicago, IL</w:t>
            </w:r>
          </w:p>
        </w:tc>
        <w:tc>
          <w:tcPr>
            <w:tcW w:w="3000" w:type="dxa"/>
            <w:vAlign w:val="bottom"/>
          </w:tcPr>
          <w:p>
            <w:pPr>
              <w:spacing w:after="0"/>
              <w:rPr>
                <w:sz w:val="24"/>
                <w:szCs w:val="24"/>
                <w:color w:val="auto"/>
              </w:rPr>
            </w:pPr>
          </w:p>
        </w:tc>
        <w:tc>
          <w:tcPr>
            <w:tcW w:w="3180" w:type="dxa"/>
            <w:vAlign w:val="bottom"/>
          </w:tcPr>
          <w:p>
            <w:pPr>
              <w:jc w:val="center"/>
              <w:ind w:right="810"/>
              <w:spacing w:after="0"/>
              <w:rPr>
                <w:sz w:val="20"/>
                <w:szCs w:val="20"/>
                <w:color w:val="auto"/>
              </w:rPr>
            </w:pPr>
            <w:r>
              <w:rPr>
                <w:rFonts w:ascii="Arial" w:cs="Arial" w:eastAsia="Arial" w:hAnsi="Arial"/>
                <w:sz w:val="18"/>
                <w:szCs w:val="18"/>
                <w:b w:val="1"/>
                <w:bCs w:val="1"/>
                <w:color w:val="auto"/>
                <w:w w:val="87"/>
              </w:rPr>
              <w:t>60606</w:t>
            </w:r>
          </w:p>
        </w:tc>
      </w:tr>
      <w:tr>
        <w:trPr>
          <w:trHeight w:val="220"/>
        </w:trPr>
        <w:tc>
          <w:tcPr>
            <w:tcW w:w="368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233 S. Wacker Drive, Chicago, IL</w:t>
            </w:r>
          </w:p>
        </w:tc>
        <w:tc>
          <w:tcPr>
            <w:tcW w:w="3000" w:type="dxa"/>
            <w:vAlign w:val="bottom"/>
          </w:tcPr>
          <w:p>
            <w:pPr>
              <w:spacing w:after="0"/>
              <w:rPr>
                <w:sz w:val="19"/>
                <w:szCs w:val="19"/>
                <w:color w:val="auto"/>
              </w:rPr>
            </w:pPr>
          </w:p>
        </w:tc>
        <w:tc>
          <w:tcPr>
            <w:tcW w:w="3180" w:type="dxa"/>
            <w:vAlign w:val="bottom"/>
          </w:tcPr>
          <w:p>
            <w:pPr>
              <w:jc w:val="center"/>
              <w:ind w:right="810"/>
              <w:spacing w:after="0"/>
              <w:rPr>
                <w:sz w:val="20"/>
                <w:szCs w:val="20"/>
                <w:color w:val="auto"/>
              </w:rPr>
            </w:pPr>
            <w:r>
              <w:rPr>
                <w:rFonts w:ascii="Arial" w:cs="Arial" w:eastAsia="Arial" w:hAnsi="Arial"/>
                <w:sz w:val="18"/>
                <w:szCs w:val="18"/>
                <w:b w:val="1"/>
                <w:bCs w:val="1"/>
                <w:color w:val="auto"/>
                <w:w w:val="87"/>
              </w:rPr>
              <w:t>60606</w:t>
            </w:r>
          </w:p>
        </w:tc>
      </w:tr>
      <w:tr>
        <w:trPr>
          <w:trHeight w:val="230"/>
        </w:trPr>
        <w:tc>
          <w:tcPr>
            <w:tcW w:w="3680" w:type="dxa"/>
            <w:vAlign w:val="bottom"/>
          </w:tcPr>
          <w:p>
            <w:pPr>
              <w:jc w:val="center"/>
              <w:ind w:left="2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0"/>
                <w:szCs w:val="20"/>
                <w:color w:val="auto"/>
              </w:rPr>
            </w:pPr>
          </w:p>
        </w:tc>
        <w:tc>
          <w:tcPr>
            <w:tcW w:w="3180" w:type="dxa"/>
            <w:vAlign w:val="bottom"/>
          </w:tcPr>
          <w:p>
            <w:pPr>
              <w:jc w:val="center"/>
              <w:ind w:right="8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Registrant</w:t>
            </w:r>
          </w:p>
        </w:tc>
        <w:tc>
          <w:tcPr>
            <w:tcW w:w="3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Title of each class</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Trading</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3480" w:type="dxa"/>
            <w:vAlign w:val="bottom"/>
            <w:gridSpan w:val="2"/>
            <w:vMerge w:val="continue"/>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Symbol</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Airlines Holdings, Inc.</w:t>
            </w:r>
          </w:p>
        </w:tc>
        <w:tc>
          <w:tcPr>
            <w:tcW w:w="300" w:type="dxa"/>
            <w:vAlign w:val="bottom"/>
          </w:tcPr>
          <w:p>
            <w:pPr>
              <w:spacing w:after="0"/>
              <w:rPr>
                <w:sz w:val="16"/>
                <w:szCs w:val="16"/>
                <w:color w:val="auto"/>
              </w:rPr>
            </w:pPr>
          </w:p>
        </w:tc>
        <w:tc>
          <w:tcPr>
            <w:tcW w:w="3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$0.01 par value</w:t>
            </w:r>
          </w:p>
        </w:tc>
        <w:tc>
          <w:tcPr>
            <w:tcW w:w="3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UAL</w:t>
            </w:r>
          </w:p>
        </w:tc>
        <w:tc>
          <w:tcPr>
            <w:tcW w:w="3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United Airlines, Inc.</w:t>
            </w:r>
          </w:p>
        </w:tc>
        <w:tc>
          <w:tcPr>
            <w:tcW w:w="34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None</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None</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o</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ind w:left="60"/>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previously disclosed, on November 29, 2018, United Airlines, Inc. (“United”), a wholly-owned subsidiary of United Continental Holdings, Inc., as lender, entered into a Term Loan Agreement (the “Loan Agreement”) with, among others, BRW Aviation Holding LLC and BRW Aviation LLC (“BRW”), affiliates of Synergy Aerospace Corporation (“Synergy”), the majority shareholder of Avianca Holdings S.A. (“AVH”), as guarantor and borrower, respectively, pursuant to which, on November 30, 2018, United provided a $456 million term loan, secured by a pledge of BRW’s equity and BRW’s 516 million shares of common stock of AVH (equivalent to 64.5 million American Depositary Receipts, the class of AVH securities that trades on the New York Stock Exchange).</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BRW is currently in default under the Loan Agreement. Additionally, on May 13, 2019, S&amp;P Global Ratings downgraded its AVH issuer level credit ratings from B to CCC+, together with accompanying downgrades for AVH’s frequent flyer subsidiary LifeMiles and for certain outstanding debt of both AVH and LifeMiles. Following these downgrades, and in order to protect the value of its collateral, on May 24, 2019, United began to exercise remedies available to it under the terms of the Loan Agreement and related documents. In connection with the delivery by United of a notice of default to BRW, Kingsland Holdings Limited, AVH’s largest minority shareholder, has been granted independent authority to manage BRW, which remains the majority shareholder of AVH.</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United is committed to the possibility of supporting AVH by offering to loan it up to $150 million if needed and requested by AVH, assuming certain commitments and waivers are made by other stakeholders.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CONTINENTAL HOLDINGS,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Laderman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Gerald Laderman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24,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72"/>
    </w:lvl>
  </w:abstractNum>
  <w:abstractNum w:abstractNumId="1">
    <w:nsid w:val="66334873"/>
    <w:multiLevelType w:val="hybridMultilevel"/>
    <w:lvl w:ilvl="0">
      <w:lvlJc w:val="left"/>
      <w:lvlText w:val="(%1)"/>
      <w:numFmt w:val="decimal"/>
      <w:start w:val="87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2019-12-02T12:51:20Z</dcterms:created>
  <dcterms:modified xsi:type="dcterms:W3CDTF">2019-12-02T12:51:20Z</dcterms:modified>
</cp:coreProperties>
</file>