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13, 2023</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51"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252"/>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33"/>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3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4"/>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ind w:left="20"/>
              <w:spacing w:after="0"/>
              <w:rPr>
                <w:sz w:val="20"/>
                <w:szCs w:val="20"/>
                <w:color w:val="auto"/>
              </w:rPr>
            </w:pPr>
            <w:r>
              <w:rPr>
                <w:rFonts w:ascii="Arial" w:cs="Arial" w:eastAsia="Arial" w:hAnsi="Arial"/>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Title of Each Class</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6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United Airlines Holdings, Inc.</w:t>
            </w:r>
          </w:p>
        </w:tc>
        <w:tc>
          <w:tcPr>
            <w:tcW w:w="28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$0.01 par value</w:t>
            </w:r>
          </w:p>
        </w:tc>
        <w:tc>
          <w:tcPr>
            <w:tcW w:w="280" w:type="dxa"/>
            <w:vAlign w:val="bottom"/>
          </w:tcPr>
          <w:p>
            <w:pPr>
              <w:spacing w:after="0"/>
              <w:rPr>
                <w:sz w:val="13"/>
                <w:szCs w:val="13"/>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UAL</w:t>
            </w:r>
          </w:p>
        </w:tc>
        <w:tc>
          <w:tcPr>
            <w:tcW w:w="2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Preferred Stock Purchase Rights</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9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18415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44450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United Airlines Holdings, Inc. ("UAL"), the holding company whose subsidiary is United Airlines, Inc. ("United," and together with UAL, the "Company"), is providing an update regarding its financial outlook for the first quarter 2023. Due to the factors described below, the Company now expects an adjusted diluted loss per share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between $0.60 and $1.00 in the first quarter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determined that it is appropriate to accrue expense in the first quarter 2023 related to a potential new collective bargaining agreement with employees represented by the Air Line Pilots Association. This accrual represents a shift in the timing of the associated expense from the second quarter 2023 into the first quarter 2023. With this accrual added to the first quarter, the Company now expects first quarter 2023 CASM-ex</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to be flat to up 1.0% year-over-year. For the full year 2023, the Company continues to expect CASM-ex</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to be approximately flat versus full year 2022, which includes the full-year expected impact of all anticipated new labor contracts.</w:t>
      </w:r>
    </w:p>
    <w:p>
      <w:pPr>
        <w:spacing w:after="0" w:line="15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Company continues to see a strong demand environment and now expects first quarter 2023 total operating revenue to be up approximately 51% versus first quarter 2022, higher than the Company's initial approximately 50% expectation provided in January 2023. Higher capacity in the quarter is contributing to better top line revenue performance as the Company's operational reliability continues to lead the industry. Due to better completion rates, first quarter 2023 capacity is now expected to be up around 23% versus first quarter 2022, three points higher than the Company's previous expectations.</w:t>
      </w:r>
    </w:p>
    <w:p>
      <w:pPr>
        <w:spacing w:after="0" w:line="10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While all months of 2023 are expected to produce unit revenue significantly above the corresponding months in 2019, the Company is observing new seasonal demand patterns, with lower-demand months such as January and February 2023 growing less than higher-demand months. As a result of this seasonality shift and the higher completion factor, the Company now expects total revenue per available seat mile ("TRASM") for the first quarter 2023 to increase between 22% to 23% versus first quarter 2022, below its original guidance of up approximately 25%. However, the second quarter is expected to benefit from this seasonality shift, with current booked yield and revenue substantially higher relative to those in 2019 at this point in time. As a result, the Company's outlook for the second quarter 2023 has improved, with total operating revenue now expected to be up in the mid-teens versus second quarter 2022.</w:t>
      </w:r>
    </w:p>
    <w:p>
      <w:pPr>
        <w:spacing w:after="0" w:line="13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Oil prices and crack spreads have remained elevated as compared to the forward curve used for previous guidance of $3.19 per gallon</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t>
      </w:r>
      <w:r>
        <w:rPr>
          <w:rFonts w:ascii="Arial" w:cs="Arial" w:eastAsia="Arial" w:hAnsi="Arial"/>
          <w:sz w:val="17"/>
          <w:szCs w:val="17"/>
          <w:color w:val="auto"/>
        </w:rPr>
        <w:t>for the first quarter</w:t>
      </w:r>
      <w:r>
        <w:rPr>
          <w:rFonts w:ascii="Arial" w:cs="Arial" w:eastAsia="Arial" w:hAnsi="Arial"/>
          <w:sz w:val="18"/>
          <w:szCs w:val="18"/>
          <w:color w:val="auto"/>
        </w:rPr>
        <w:t xml:space="preserve"> </w:t>
      </w:r>
      <w:r>
        <w:rPr>
          <w:rFonts w:ascii="Arial" w:cs="Arial" w:eastAsia="Arial" w:hAnsi="Arial"/>
          <w:sz w:val="17"/>
          <w:szCs w:val="17"/>
          <w:color w:val="auto"/>
        </w:rPr>
        <w:t>2023. As a result, the Company now expects a first quarter 2023 average fuel price per gallon</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of between $3.31 and $3.41.</w:t>
      </w:r>
    </w:p>
    <w:p>
      <w:pPr>
        <w:spacing w:after="0" w:line="76" w:lineRule="exact"/>
        <w:rPr>
          <w:sz w:val="20"/>
          <w:szCs w:val="20"/>
          <w:color w:val="auto"/>
        </w:rPr>
      </w:pPr>
    </w:p>
    <w:p>
      <w:pPr>
        <w:ind w:right="140"/>
        <w:spacing w:after="0" w:line="204" w:lineRule="auto"/>
        <w:rPr>
          <w:sz w:val="20"/>
          <w:szCs w:val="20"/>
          <w:color w:val="auto"/>
        </w:rPr>
      </w:pPr>
      <w:r>
        <w:rPr>
          <w:rFonts w:ascii="Arial" w:cs="Arial" w:eastAsia="Arial" w:hAnsi="Arial"/>
          <w:sz w:val="18"/>
          <w:szCs w:val="18"/>
          <w:color w:val="auto"/>
        </w:rPr>
        <w:t>The Company continues to expect a full year 2023 adjusted pre-tax margin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of approximately 9% and full year adjusted diluted 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$10 to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1149985</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80" w:firstLine="8"/>
        <w:spacing w:after="0" w:line="236" w:lineRule="auto"/>
        <w:tabs>
          <w:tab w:leader="none" w:pos="103"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Adjusted diluted earnings (loss) per share is a non-GAAP financial measure that excludes operating and non-operating special charges (credits) and unrealized (gains) losses on investments, net. We are not providing a target for or a reconciliation to diluted earnings (loss) per share, the most directly comparable GAAP measure, because we are unable to predict the excluded items noted above contained in the GAAP measure without unreasonable efforts, and therefore we also are not able to predict the probable significance of such items.</w:t>
      </w:r>
    </w:p>
    <w:p>
      <w:pPr>
        <w:ind w:right="220"/>
        <w:spacing w:after="0" w:line="251" w:lineRule="auto"/>
        <w:rPr>
          <w:rFonts w:ascii="Arial" w:cs="Arial" w:eastAsia="Arial" w:hAnsi="Arial"/>
          <w:sz w:val="22"/>
          <w:szCs w:val="22"/>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CASM-ex (adjusted cost or operating expense per available seat mile) is a measure that is not calculated in accordance with accounting principles generally accepted in the United States of America ("GAAP"). CASM-ex is calculated as cost or operating expense per available seat mile ("CASM"), excluding fuel expense, profit sharing, third-party business expenses and special charges (credits). We are not providing a target for or a reconciliation to CASM, the most directly comparable GAAP measure, because we are unable to predict the excluded items noted above contained in the GAAP measure without unreasonable efforts, and therefore we also are not able to determine the probable significance of such items.</w:t>
      </w:r>
    </w:p>
    <w:p>
      <w:pPr>
        <w:spacing w:after="0" w:line="2" w:lineRule="exact"/>
        <w:rPr>
          <w:rFonts w:ascii="Arial" w:cs="Arial" w:eastAsia="Arial" w:hAnsi="Arial"/>
          <w:sz w:val="22"/>
          <w:szCs w:val="22"/>
          <w:color w:val="auto"/>
          <w:vertAlign w:val="superscript"/>
        </w:rPr>
      </w:pPr>
    </w:p>
    <w:p>
      <w:pPr>
        <w:ind w:right="200"/>
        <w:spacing w:after="0" w:line="199" w:lineRule="auto"/>
        <w:rPr>
          <w:rFonts w:ascii="Arial" w:cs="Arial" w:eastAsia="Arial" w:hAnsi="Arial"/>
          <w:sz w:val="22"/>
          <w:szCs w:val="22"/>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Updated fuel guidance is based on the Jet A forward curve as of March 6, 2023. Prior fuel guidance was based on the Jet A forward curve as of January 10, 2023.</w:t>
      </w:r>
    </w:p>
    <w:p>
      <w:pPr>
        <w:ind w:right="140"/>
        <w:spacing w:after="0" w:line="222" w:lineRule="auto"/>
        <w:rPr>
          <w:rFonts w:ascii="Arial" w:cs="Arial" w:eastAsia="Arial" w:hAnsi="Arial"/>
          <w:sz w:val="22"/>
          <w:szCs w:val="22"/>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Adjusted pre-tax margin is a non-GAAP financial measure calculated as pre-tax margin, excluding operating and non-operating special charges (credits) and unrealized (gains) losses on investments, net. We are not providing a target for or a reconciliation to pre-tax margin, the most directly comparable GAAP measure, because we are unable to predict the excluded items noted above contained in the GAAP measure without unreasonable efforts, and therefore we also are not able to predict the probable significance of such items.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 w:name="page3"/>
    <w:bookmarkEnd w:id="2"/>
    <w:p>
      <w:pPr>
        <w:spacing w:after="0" w:line="1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Company's first quarter 2023 guidance for capacity, total operating revenue, TRASM, CASM-ex</w:t>
      </w:r>
      <w:r>
        <w:rPr>
          <w:rFonts w:ascii="Arial" w:cs="Arial" w:eastAsia="Arial" w:hAnsi="Arial"/>
          <w:sz w:val="23"/>
          <w:szCs w:val="23"/>
          <w:color w:val="auto"/>
          <w:vertAlign w:val="superscript"/>
        </w:rPr>
        <w:t>2</w:t>
      </w:r>
      <w:r>
        <w:rPr>
          <w:rFonts w:ascii="Arial" w:cs="Arial" w:eastAsia="Arial" w:hAnsi="Arial"/>
          <w:sz w:val="18"/>
          <w:szCs w:val="18"/>
          <w:color w:val="auto"/>
        </w:rPr>
        <w:t>, average fuel price</w:t>
      </w:r>
      <w:r>
        <w:rPr>
          <w:rFonts w:ascii="Arial" w:cs="Arial" w:eastAsia="Arial" w:hAnsi="Arial"/>
          <w:sz w:val="23"/>
          <w:szCs w:val="23"/>
          <w:color w:val="auto"/>
          <w:vertAlign w:val="superscript"/>
        </w:rPr>
        <w:t>3</w:t>
      </w:r>
      <w:r>
        <w:rPr>
          <w:rFonts w:ascii="Arial" w:cs="Arial" w:eastAsia="Arial" w:hAnsi="Arial"/>
          <w:sz w:val="18"/>
          <w:szCs w:val="18"/>
          <w:color w:val="auto"/>
        </w:rPr>
        <w:t>, adjusted pre-tax margin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and adjusted diluted earnings (loss) per share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is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78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rPr>
              <w:t>Estimated 1Q 2023</w:t>
            </w:r>
          </w:p>
        </w:tc>
      </w:tr>
      <w:tr>
        <w:trPr>
          <w:trHeight w:val="223"/>
        </w:trPr>
        <w:tc>
          <w:tcPr>
            <w:tcW w:w="7320" w:type="dxa"/>
            <w:vAlign w:val="bottom"/>
          </w:tcPr>
          <w:p>
            <w:pPr>
              <w:spacing w:after="0"/>
              <w:rPr>
                <w:sz w:val="19"/>
                <w:szCs w:val="19"/>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Updated</w:t>
            </w:r>
          </w:p>
        </w:tc>
        <w:tc>
          <w:tcPr>
            <w:tcW w:w="1760" w:type="dxa"/>
            <w:vAlign w:val="bottom"/>
          </w:tcPr>
          <w:p>
            <w:pPr>
              <w:ind w:left="680"/>
              <w:spacing w:after="0"/>
              <w:rPr>
                <w:sz w:val="20"/>
                <w:szCs w:val="20"/>
                <w:color w:val="auto"/>
              </w:rPr>
            </w:pPr>
            <w:r>
              <w:rPr>
                <w:rFonts w:ascii="Arial" w:cs="Arial" w:eastAsia="Arial" w:hAnsi="Arial"/>
                <w:sz w:val="18"/>
                <w:szCs w:val="18"/>
                <w:b w:val="1"/>
                <w:bCs w:val="1"/>
                <w:color w:val="auto"/>
              </w:rPr>
              <w:t>Prior</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Capacity vs 2022</w:t>
            </w: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w:t>
            </w:r>
          </w:p>
        </w:tc>
        <w:tc>
          <w:tcPr>
            <w:tcW w:w="2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Total operating revenue vs 2022</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~51%</w:t>
            </w:r>
          </w:p>
        </w:tc>
        <w:tc>
          <w:tcPr>
            <w:tcW w:w="2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per available seat mile (TRASM) vs 2022</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22%-23%</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r>
      <w:tr>
        <w:trPr>
          <w:trHeight w:val="229"/>
        </w:trPr>
        <w:tc>
          <w:tcPr>
            <w:tcW w:w="7320" w:type="dxa"/>
            <w:vAlign w:val="bottom"/>
          </w:tcPr>
          <w:p>
            <w:pPr>
              <w:ind w:left="20"/>
              <w:spacing w:after="0" w:line="230" w:lineRule="exact"/>
              <w:rPr>
                <w:sz w:val="20"/>
                <w:szCs w:val="20"/>
                <w:color w:val="auto"/>
              </w:rPr>
            </w:pPr>
            <w:r>
              <w:rPr>
                <w:rFonts w:ascii="Arial" w:cs="Arial" w:eastAsia="Arial" w:hAnsi="Arial"/>
                <w:sz w:val="18"/>
                <w:szCs w:val="18"/>
                <w:color w:val="auto"/>
              </w:rPr>
              <w:t>Adjusted cost or operating expense per available seat mile (CASM-ex)</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vs 2022</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Flat-1%</w:t>
            </w: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(3%)-(4%)</w:t>
            </w:r>
          </w:p>
        </w:tc>
      </w:tr>
      <w:tr>
        <w:trPr>
          <w:trHeight w:val="229"/>
        </w:trPr>
        <w:tc>
          <w:tcPr>
            <w:tcW w:w="7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Average aircraft fuel price per gallon</w:t>
            </w:r>
            <w:r>
              <w:rPr>
                <w:rFonts w:ascii="Arial" w:cs="Arial" w:eastAsia="Arial" w:hAnsi="Arial"/>
                <w:sz w:val="23"/>
                <w:szCs w:val="23"/>
                <w:color w:val="auto"/>
                <w:vertAlign w:val="superscript"/>
              </w:rPr>
              <w:t>3</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$3.31-$3.41</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$3.19</w:t>
            </w:r>
          </w:p>
        </w:tc>
      </w:tr>
      <w:tr>
        <w:trPr>
          <w:trHeight w:val="230"/>
        </w:trPr>
        <w:tc>
          <w:tcPr>
            <w:tcW w:w="7320" w:type="dxa"/>
            <w:vAlign w:val="bottom"/>
          </w:tcPr>
          <w:p>
            <w:pPr>
              <w:ind w:left="20"/>
              <w:spacing w:after="0" w:line="230" w:lineRule="exact"/>
              <w:rPr>
                <w:sz w:val="20"/>
                <w:szCs w:val="20"/>
                <w:color w:val="auto"/>
              </w:rPr>
            </w:pPr>
            <w:r>
              <w:rPr>
                <w:rFonts w:ascii="Arial" w:cs="Arial" w:eastAsia="Arial" w:hAnsi="Arial"/>
                <w:sz w:val="18"/>
                <w:szCs w:val="18"/>
                <w:color w:val="auto"/>
              </w:rPr>
              <w:t>Adjusted pre-tax margin</w:t>
            </w:r>
            <w:r>
              <w:rPr>
                <w:rFonts w:ascii="Arial" w:cs="Arial" w:eastAsia="Arial" w:hAnsi="Arial"/>
                <w:sz w:val="23"/>
                <w:szCs w:val="23"/>
                <w:color w:val="auto"/>
                <w:vertAlign w:val="superscript"/>
              </w:rPr>
              <w:t>4</w:t>
            </w:r>
          </w:p>
        </w:tc>
        <w:tc>
          <w:tcPr>
            <w:tcW w:w="1780" w:type="dxa"/>
            <w:vAlign w:val="bottom"/>
          </w:tcPr>
          <w:p>
            <w:pPr>
              <w:jc w:val="center"/>
              <w:spacing w:after="0"/>
              <w:rPr>
                <w:sz w:val="20"/>
                <w:szCs w:val="20"/>
                <w:color w:val="auto"/>
              </w:rPr>
            </w:pPr>
            <w:r>
              <w:rPr>
                <w:rFonts w:ascii="Arial" w:cs="Arial" w:eastAsia="Arial" w:hAnsi="Arial"/>
                <w:sz w:val="18"/>
                <w:szCs w:val="18"/>
                <w:color w:val="auto"/>
                <w:w w:val="95"/>
              </w:rPr>
              <w:t>(2%)-(3%)</w:t>
            </w:r>
          </w:p>
        </w:tc>
        <w:tc>
          <w:tcPr>
            <w:tcW w:w="2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~3%</w:t>
            </w:r>
          </w:p>
        </w:tc>
      </w:tr>
      <w:tr>
        <w:trPr>
          <w:trHeight w:val="229"/>
        </w:trPr>
        <w:tc>
          <w:tcPr>
            <w:tcW w:w="7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diluted earnings (loss) per share</w:t>
            </w:r>
            <w:r>
              <w:rPr>
                <w:rFonts w:ascii="Arial" w:cs="Arial" w:eastAsia="Arial" w:hAnsi="Arial"/>
                <w:sz w:val="23"/>
                <w:szCs w:val="23"/>
                <w:color w:val="auto"/>
                <w:vertAlign w:val="superscript"/>
              </w:rPr>
              <w:t>1</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($0.60)-($1.00)</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$0.50-$1.00</w:t>
            </w:r>
          </w:p>
        </w:tc>
      </w:tr>
    </w:tbl>
    <w:p>
      <w:pPr>
        <w:spacing w:after="0" w:line="24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Pursuant to General Instruction B.2. to Form 8-K, the information set forth in this Current Report on Form 8-K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(the "Securities Act"),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This Current Report on Form 8-K contains certain "forward-looking statements," within the meaning of Section 27A of the Securities Act and Section 21E of the Exchange Act, relating to, among other things, guidance regarding the Company's future financial and operating results.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"confident"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 or regulation.</w:t>
      </w:r>
    </w:p>
    <w:p>
      <w:pPr>
        <w:spacing w:after="0" w:line="19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Company's actual results could differ materially from these forward-looking statements due to numerous factors including, without limitation, the following: execution risks associated with the Company's strategic operating plan; changes in the Company's network strategy or other factors outside the Company's control resulting in less economic aircraft orders, costs related to modification or termination of aircraft orders or entry into less favorable aircraft orders, as well as any inability to accept or integrate new aircraft into the Company's fleet as planned; any failure to effectively manage, and receive anticipated benefits and returns from, acquisitions, divestitures, investments, joint ventures and other portfolio actions, or related exposures to unknown liabilities or other issues or underperformance as compared to the Company's expectations; the adverse impacts of the ongoing COVID-19 global pandemic on the Company's business, operating results, financial condition and liquidity; adverse publicity, harm to the Company's brand, reduced travel demand, potential tort liability and voluntary or mandatory operational restrictions as a result of an accident, catastrophe or incident involving the Company, the Company's regional carriers, the Company's codeshare partners or another airline; the highly competitive nature of the global airline industry and susceptibility of the industry to price discounting and changes in capacity, including as a result of alliances, joint business arrangements or other consolidations; the Company's reliance on a limited number of suppliers to source a majority of the Company's aircraft and certain parts, and the impact of any failure to obtain timely deliveries, additional equipment or support from any of these suppliers; disruptions to the Company's regional network and United Express flights provided by third-party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265" w:lineRule="auto"/>
        <w:rPr>
          <w:sz w:val="20"/>
          <w:szCs w:val="20"/>
          <w:color w:val="auto"/>
        </w:rPr>
      </w:pPr>
      <w:r>
        <w:rPr>
          <w:rFonts w:ascii="Arial" w:cs="Arial" w:eastAsia="Arial" w:hAnsi="Arial"/>
          <w:sz w:val="16"/>
          <w:szCs w:val="16"/>
          <w:color w:val="auto"/>
        </w:rPr>
        <w:t>regional carriers; unfavorable economic and political conditions in the United States and globally (including inflationary pressures); reliance on third-party service providers and the impact of any significant failure of these parties to perform as expected, or interruptions in the Company's relationships with these providers or their provision of services; extended interruptions or disruptions in service at major airports where the Company operates and space, facility and infrastructure constrains at the Company's hubs or other airports; geopolitical conflict, terrorist attacks or security events; any damage to the Company's reputation or brand image; the Company's reliance on technology and automated systems to operate the Company's business and the impact of any significant failure or disruption of, or failure to effectively integrate and implement, the technology or systems; increasing privacy and data security obligations or a significant data breach; increased use of social media platforms by the Company, the Company's employees and others; the impacts of union disputes, employee strikes or slowdowns, and other labor-related disruptions or regulatory compliance costs on the Company's operations; any failure to attract, train or retain skilled personnel, including the Company's senior management team or other key employees; the monetary and operational costs of compliance with extensive government regulation of the airline industry; current or future litigation and regulatory actions, or failure to comply with the terms of any settlement, order or arrangement relating to these actions; costs, liabilities and risks associated with environmental regulation and climate change, including the Company's climate goals; high and/or volatile fuel prices or significant disruptions in the supply of aircraft fuel (including as a result of the Russia-Ukraine military conflict); the impacts of the Company's significant amount of financial leverage from fixed obligations, the possibility the Company may seek material amounts of additional financial liquidity in the short-term, and the impacts of insufficient liquidity on the Company's financial condition and business; failure to comply with financial and other covenants governing the Company's debt, including the Company's MileagePlus® financing agreements; the impacts of the proposed phaseout of the London interbank offer rate; limitations on the Company's ability to use the Company's net operating loss carryforwards and certain other tax attributes to offset future taxable income for U.S. federal income tax purposes; the Company's failure to realize the full value of the Company's intangible assets or the Company's long-lived assets, causing the Company to record impairments; fluctuations in the price of the Company's common stock; the impacts of seasonality and other factors associated with the airline industry; increases in insurance costs or inadequate insurance coverage; and other risks and uncertainties set forth under Part I, Item 1A. Risk Factors of the Company's Annual Report on Form 10-K for the fiscal year ended December 31, 2022, as well as other risks and uncertainties set forth from time to time in the reports the Company files with the U.S. Securities and Exchange Commission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 and Financial Guidance</w:t>
      </w:r>
    </w:p>
    <w:p>
      <w:pPr>
        <w:spacing w:after="0" w:line="239"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Company refers to financial measures that are not in accordance with GAAP. The non-GAAP financial measures are provided as supplemental information to the financial measures presented in this Form 8-K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 w:name="page5"/>
    <w:bookmarkEnd w:id="4"/>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67" w:lineRule="exact"/>
        <w:rPr>
          <w:sz w:val="20"/>
          <w:szCs w:val="20"/>
          <w:color w:val="auto"/>
        </w:rPr>
      </w:pPr>
    </w:p>
    <w:tbl>
      <w:tblPr>
        <w:tblLayout w:type="fixed"/>
        <w:tblInd w:w="5160" w:type="dxa"/>
        <w:tblCellMar>
          <w:top w:w="0" w:type="dxa"/>
          <w:left w:w="0" w:type="dxa"/>
          <w:bottom w:w="0" w:type="dxa"/>
          <w:right w:w="0" w:type="dxa"/>
        </w:tblCellMar>
      </w:tblPr>
      <w:tr>
        <w:trPr>
          <w:trHeight w:val="24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Gerald Laderman</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Gerald Laderman</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2023</w:t>
      </w:r>
    </w:p>
    <w:p>
      <w:pPr>
        <w:sectPr>
          <w:pgSz w:w="11900" w:h="16838" w:orient="portrait"/>
          <w:cols w:equalWidth="0" w:num="1">
            <w:col w:w="11240"/>
          </w:cols>
          <w:pgMar w:left="320" w:top="1440"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sectPr>
      <w:pgSz w:w="11900" w:h="16838" w:orient="portrait"/>
      <w:cols w:equalWidth="0" w:num="1">
        <w:col w:w="11240"/>
      </w:cols>
      <w:pgMar w:left="320" w:top="1440" w:right="339" w:bottom="7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2023-03-13T15:25:24Z</dcterms:created>
  <dcterms:modified xsi:type="dcterms:W3CDTF">2023-03-13T15:25:24Z</dcterms:modified>
</cp:coreProperties>
</file>