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24, 2020</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04" w:lineRule="exact"/>
        <w:rPr>
          <w:sz w:val="24"/>
          <w:szCs w:val="24"/>
          <w:color w:val="auto"/>
        </w:rPr>
      </w:pPr>
    </w:p>
    <w:tbl>
      <w:tblPr>
        <w:tblLayout w:type="fixed"/>
        <w:tblInd w:w="1580" w:type="dxa"/>
        <w:tblCellMar>
          <w:top w:w="0" w:type="dxa"/>
          <w:left w:w="0" w:type="dxa"/>
          <w:bottom w:w="0" w:type="dxa"/>
          <w:right w:w="0" w:type="dxa"/>
        </w:tblCellMar>
      </w:tblPr>
      <w:tr>
        <w:trPr>
          <w:trHeight w:val="230"/>
        </w:trPr>
        <w:tc>
          <w:tcPr>
            <w:tcW w:w="6140" w:type="dxa"/>
            <w:vAlign w:val="bottom"/>
            <w:gridSpan w:val="3"/>
          </w:tcPr>
          <w:p>
            <w:pPr>
              <w:jc w:val="center"/>
              <w:ind w:left="2050"/>
              <w:spacing w:after="0"/>
              <w:rPr>
                <w:sz w:val="20"/>
                <w:szCs w:val="20"/>
                <w:color w:val="auto"/>
              </w:rPr>
            </w:pPr>
            <w:r>
              <w:rPr>
                <w:rFonts w:ascii="Arial" w:cs="Arial" w:eastAsia="Arial" w:hAnsi="Arial"/>
                <w:sz w:val="18"/>
                <w:szCs w:val="18"/>
                <w:color w:val="auto"/>
                <w:w w:val="90"/>
              </w:rPr>
              <w:t>(Exact name of registrant as specified in its charter)</w:t>
            </w:r>
          </w:p>
        </w:tc>
        <w:tc>
          <w:tcPr>
            <w:tcW w:w="2020" w:type="dxa"/>
            <w:vAlign w:val="bottom"/>
          </w:tcPr>
          <w:p>
            <w:pPr>
              <w:spacing w:after="0"/>
              <w:rPr>
                <w:sz w:val="20"/>
                <w:szCs w:val="20"/>
                <w:color w:val="auto"/>
              </w:rPr>
            </w:pPr>
          </w:p>
        </w:tc>
      </w:tr>
      <w:tr>
        <w:trPr>
          <w:trHeight w:val="594"/>
        </w:trPr>
        <w:tc>
          <w:tcPr>
            <w:tcW w:w="30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0"/>
              </w:rPr>
              <w:t>001-06033</w:t>
            </w:r>
          </w:p>
        </w:tc>
        <w:tc>
          <w:tcPr>
            <w:tcW w:w="20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36-2675207</w:t>
            </w:r>
          </w:p>
        </w:tc>
      </w:tr>
      <w:tr>
        <w:trPr>
          <w:trHeight w:val="270"/>
        </w:trPr>
        <w:tc>
          <w:tcPr>
            <w:tcW w:w="30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0"/>
              </w:rPr>
              <w:t>001-10323</w:t>
            </w:r>
          </w:p>
        </w:tc>
        <w:tc>
          <w:tcPr>
            <w:tcW w:w="20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74-2099724</w:t>
            </w:r>
          </w:p>
        </w:tc>
      </w:tr>
      <w:tr>
        <w:trPr>
          <w:trHeight w:val="270"/>
        </w:trPr>
        <w:tc>
          <w:tcPr>
            <w:tcW w:w="3040" w:type="dxa"/>
            <w:vAlign w:val="bottom"/>
          </w:tcPr>
          <w:p>
            <w:pPr>
              <w:jc w:val="center"/>
              <w:ind w:right="1070"/>
              <w:spacing w:after="0"/>
              <w:rPr>
                <w:sz w:val="20"/>
                <w:szCs w:val="20"/>
                <w:color w:val="auto"/>
              </w:rPr>
            </w:pPr>
            <w:r>
              <w:rPr>
                <w:rFonts w:ascii="Arial" w:cs="Arial" w:eastAsia="Arial" w:hAnsi="Arial"/>
                <w:sz w:val="18"/>
                <w:szCs w:val="18"/>
                <w:color w:val="auto"/>
                <w:w w:val="91"/>
              </w:rPr>
              <w:t>(State or other jurisdiction</w:t>
            </w:r>
          </w:p>
        </w:tc>
        <w:tc>
          <w:tcPr>
            <w:tcW w:w="3100" w:type="dxa"/>
            <w:vAlign w:val="bottom"/>
            <w:gridSpan w:val="2"/>
          </w:tcPr>
          <w:p>
            <w:pPr>
              <w:jc w:val="center"/>
              <w:ind w:right="810"/>
              <w:spacing w:after="0"/>
              <w:rPr>
                <w:sz w:val="20"/>
                <w:szCs w:val="20"/>
                <w:color w:val="auto"/>
              </w:rPr>
            </w:pPr>
            <w:r>
              <w:rPr>
                <w:rFonts w:ascii="Arial" w:cs="Arial" w:eastAsia="Arial" w:hAnsi="Arial"/>
                <w:sz w:val="18"/>
                <w:szCs w:val="18"/>
                <w:color w:val="auto"/>
                <w:w w:val="93"/>
              </w:rPr>
              <w:t>(Commission File Number)</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70"/>
        </w:trPr>
        <w:tc>
          <w:tcPr>
            <w:tcW w:w="3040" w:type="dxa"/>
            <w:vAlign w:val="bottom"/>
          </w:tcPr>
          <w:p>
            <w:pPr>
              <w:jc w:val="center"/>
              <w:ind w:right="1070"/>
              <w:spacing w:after="0"/>
              <w:rPr>
                <w:sz w:val="20"/>
                <w:szCs w:val="20"/>
                <w:color w:val="auto"/>
              </w:rPr>
            </w:pPr>
            <w:r>
              <w:rPr>
                <w:rFonts w:ascii="Arial" w:cs="Arial" w:eastAsia="Arial" w:hAnsi="Arial"/>
                <w:sz w:val="18"/>
                <w:szCs w:val="18"/>
                <w:color w:val="auto"/>
                <w:w w:val="95"/>
              </w:rPr>
              <w:t>of incorporation)</w:t>
            </w:r>
          </w:p>
        </w:tc>
        <w:tc>
          <w:tcPr>
            <w:tcW w:w="12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4"/>
              </w:rPr>
              <w:t>Identification Number)</w:t>
            </w:r>
          </w:p>
        </w:tc>
      </w:tr>
      <w:tr>
        <w:trPr>
          <w:trHeight w:val="405"/>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8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60606</w:t>
            </w:r>
          </w:p>
        </w:tc>
      </w:tr>
      <w:tr>
        <w:trPr>
          <w:trHeight w:val="270"/>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8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60606</w:t>
            </w:r>
          </w:p>
        </w:tc>
      </w:tr>
      <w:tr>
        <w:trPr>
          <w:trHeight w:val="27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20" w:type="dxa"/>
            <w:vAlign w:val="bottom"/>
          </w:tcPr>
          <w:p>
            <w:pPr>
              <w:jc w:val="center"/>
              <w:ind w:right="8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3"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Registrant</w:t>
            </w:r>
          </w:p>
        </w:tc>
        <w:tc>
          <w:tcPr>
            <w:tcW w:w="2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Title of Each Class</w:t>
            </w:r>
          </w:p>
        </w:tc>
        <w:tc>
          <w:tcPr>
            <w:tcW w:w="2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Trading Symbol</w:t>
            </w:r>
          </w:p>
        </w:tc>
        <w:tc>
          <w:tcPr>
            <w:tcW w:w="220" w:type="dxa"/>
            <w:vAlign w:val="bottom"/>
          </w:tcPr>
          <w:p>
            <w:pPr>
              <w:spacing w:after="0"/>
              <w:rPr>
                <w:sz w:val="15"/>
                <w:szCs w:val="15"/>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on Each Exchange on Which Registered</w:t>
            </w:r>
          </w:p>
        </w:tc>
      </w:tr>
      <w:tr>
        <w:trPr>
          <w:trHeight w:val="241"/>
        </w:trPr>
        <w:tc>
          <w:tcPr>
            <w:tcW w:w="3280" w:type="dxa"/>
            <w:vAlign w:val="bottom"/>
            <w:gridSpan w:val="2"/>
          </w:tcPr>
          <w:p>
            <w:pPr>
              <w:ind w:left="40"/>
              <w:spacing w:after="0"/>
              <w:rPr>
                <w:sz w:val="20"/>
                <w:szCs w:val="20"/>
                <w:color w:val="auto"/>
              </w:rPr>
            </w:pPr>
            <w:r>
              <w:rPr>
                <w:rFonts w:ascii="Arial" w:cs="Arial" w:eastAsia="Arial" w:hAnsi="Arial"/>
                <w:sz w:val="13"/>
                <w:szCs w:val="13"/>
                <w:color w:val="auto"/>
              </w:rPr>
              <w:t>United Airlines Holdings, Inc.</w:t>
            </w:r>
          </w:p>
        </w:tc>
        <w:tc>
          <w:tcPr>
            <w:tcW w:w="238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Common Stock, $0.01 par value</w:t>
            </w:r>
          </w:p>
        </w:tc>
        <w:tc>
          <w:tcPr>
            <w:tcW w:w="1920" w:type="dxa"/>
            <w:vAlign w:val="bottom"/>
            <w:gridSpan w:val="2"/>
          </w:tcPr>
          <w:p>
            <w:pPr>
              <w:jc w:val="center"/>
              <w:ind w:right="220"/>
              <w:spacing w:after="0"/>
              <w:rPr>
                <w:sz w:val="20"/>
                <w:szCs w:val="20"/>
                <w:color w:val="auto"/>
              </w:rPr>
            </w:pPr>
            <w:r>
              <w:rPr>
                <w:rFonts w:ascii="Arial" w:cs="Arial" w:eastAsia="Arial" w:hAnsi="Arial"/>
                <w:sz w:val="13"/>
                <w:szCs w:val="13"/>
                <w:color w:val="auto"/>
              </w:rPr>
              <w:t>UAL</w:t>
            </w:r>
          </w:p>
        </w:tc>
        <w:tc>
          <w:tcPr>
            <w:tcW w:w="372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3"/>
                <w:szCs w:val="13"/>
                <w:color w:val="auto"/>
              </w:rPr>
              <w:t>United Airlines, Inc.</w:t>
            </w:r>
          </w:p>
        </w:tc>
        <w:tc>
          <w:tcPr>
            <w:tcW w:w="238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None</w:t>
            </w:r>
          </w:p>
        </w:tc>
        <w:tc>
          <w:tcPr>
            <w:tcW w:w="192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None</w:t>
            </w:r>
          </w:p>
        </w:tc>
        <w:tc>
          <w:tcPr>
            <w:tcW w:w="372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222" w:lineRule="exact"/>
        <w:rPr>
          <w:sz w:val="24"/>
          <w:szCs w:val="24"/>
          <w:color w:val="auto"/>
        </w:rPr>
      </w:pPr>
    </w:p>
    <w:p>
      <w:pPr>
        <w:ind w:right="22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1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result of the coronavirus ("COVID-19") outbreak, as of the date of this report, United Airlines, Inc. ("United"), a wholly-owned subsidiary of United Airlines Holdings, Inc. ("UAL", and together with United, the "Company"), has suspended flights between the United States and each of Beijing, Chengdu, Shanghai and Hong Kong through April 24, 2020. These routes represented approximately 5% of the Company's 2020 planned capacity and the Company's other trans-Pacific routes represented an additional 10% of the Company's 2020 planned capacity. As a result of COVID-19, we are currently seeing an approximately 100% decline in near-term demand to China and an approximately 75% decline in near-term demand on the rest of our trans-Pacific routes. We are managing our business to minimize the operational and financial disruption.</w:t>
      </w:r>
    </w:p>
    <w:p>
      <w:pPr>
        <w:spacing w:after="0" w:line="17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For the first quarter of 2020, we currently expect the reduced revenue on our trans-Pacific routes to be partially offset by the related decline in fuel prices and other cost savings. The incremental earnings headwind is also expected to be offset by higher earnings from our recently extended co-brand partnership with JPMorgan Chase Bank, N.A. and Visa U.S.A. Inc. Accordingly, we expect first quarter adjusted diluted earnings per share ("EPS") to remain within our previously provided guidance range of $0.75 to $1.25.</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Beyond the first quarter, we believe the range of possible scenarios is too wide to provide earnings guidance at this time. If COVID-19 were to run its course by mid-May, and normal travel patterns on trans-Pacific routes resume gradually over five months, we would expect to be tracking to deliver 2020 adjusted EPS within our previously provided guidance range of $11.00 to $13.00.</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However, due to the heightened uncertainty surrounding this outbreak, its duration, its impact on overall demand for air travel and the possibility the outbreak spreads to other regions, the Company is withdrawing all full-year 2020 guidance issued on January 21, 2020.</w:t>
      </w:r>
    </w:p>
    <w:p>
      <w:pPr>
        <w:spacing w:after="0" w:line="187"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Despite these short-term impacts, the Company continues to believe it will be in a strong position to deliver earnings growth in 2021 and beyond. We currently expect 2022 adjusted EPS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to be $15.00 to $18.00, 2022 adjusted free cash flow</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to be over $2.0 billion and 2023 adjusted free cash flow</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to be over $3.0 billion. In addition, we are providing investors with a target cap on leverage, defined as adjusted debt</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to adjusted earnings before interest, income taxes, depreciation, amortization and aircraft rent (EBITDAR)</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not to exceed 3.5 times, as a demonstration of our commitment to maintaining a strong balance sheet.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United is also providing leverage calculations for full year 2019 below (in millions, except for ratios):</w:t>
      </w:r>
    </w:p>
    <w:p>
      <w:pPr>
        <w:spacing w:after="0" w:line="275"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7"/>
        </w:trPr>
        <w:tc>
          <w:tcPr>
            <w:tcW w:w="5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adjusted debt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22,685</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Total adjusted net debt</w:t>
            </w:r>
          </w:p>
        </w:tc>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17,741</w:t>
            </w:r>
          </w:p>
        </w:tc>
      </w:tr>
      <w:tr>
        <w:trPr>
          <w:trHeight w:val="27"/>
        </w:trPr>
        <w:tc>
          <w:tcPr>
            <w:tcW w:w="5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24"/>
        </w:trPr>
        <w:tc>
          <w:tcPr>
            <w:tcW w:w="5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Adjusted EBITDAR</w:t>
            </w:r>
          </w:p>
        </w:tc>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7,096</w:t>
            </w:r>
          </w:p>
        </w:tc>
      </w:tr>
      <w:tr>
        <w:trPr>
          <w:trHeight w:val="27"/>
        </w:trPr>
        <w:tc>
          <w:tcPr>
            <w:tcW w:w="5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24"/>
        </w:trPr>
        <w:tc>
          <w:tcPr>
            <w:tcW w:w="5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Adjusted debt/adjusted EBITDAR</w:t>
            </w:r>
          </w:p>
        </w:tc>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debt/adjusted EBITDAR</w:t>
            </w:r>
          </w:p>
        </w:tc>
        <w:tc>
          <w:tcPr>
            <w:tcW w:w="5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GAAP to Non-GAAP financial measures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UAL provides financial metrics, including earnings before interest, income taxes, depreciation and amortization and aircraft rent (EBITDAR), excluding special charges and unrealized (gains) losses impact of investments; adjusted debt; and adjusted net debt, that we believe provides useful supplemental information for management and investors.</w:t>
      </w:r>
    </w:p>
    <w:p>
      <w:pPr>
        <w:spacing w:after="0" w:line="200" w:lineRule="exact"/>
        <w:rPr>
          <w:sz w:val="20"/>
          <w:szCs w:val="20"/>
          <w:color w:val="auto"/>
        </w:rPr>
      </w:pPr>
    </w:p>
    <w:p>
      <w:pPr>
        <w:spacing w:after="0" w:line="301" w:lineRule="exact"/>
        <w:rPr>
          <w:sz w:val="20"/>
          <w:szCs w:val="20"/>
          <w:color w:val="auto"/>
        </w:rPr>
      </w:pPr>
    </w:p>
    <w:p>
      <w:pPr>
        <w:ind w:right="40" w:firstLine="8"/>
        <w:spacing w:after="0" w:line="250" w:lineRule="auto"/>
        <w:tabs>
          <w:tab w:leader="none" w:pos="81" w:val="left"/>
        </w:tabs>
        <w:numPr>
          <w:ilvl w:val="0"/>
          <w:numId w:val="4"/>
        </w:numPr>
        <w:rPr>
          <w:rFonts w:ascii="Arial" w:cs="Arial" w:eastAsia="Arial" w:hAnsi="Arial"/>
          <w:sz w:val="9"/>
          <w:szCs w:val="9"/>
          <w:color w:val="auto"/>
        </w:rPr>
      </w:pPr>
      <w:r>
        <w:rPr>
          <w:rFonts w:ascii="Arial" w:cs="Arial" w:eastAsia="Arial" w:hAnsi="Arial"/>
          <w:sz w:val="14"/>
          <w:szCs w:val="14"/>
          <w:color w:val="auto"/>
        </w:rPr>
        <w:t>Adjusted diluted earnings per share is a non-GAAP measure that excludes special charges and unrealized (gains) losses impact of investments, the nature of which are not determinable at this time. Accordingly, the Company does not provide earnings guidance on a GAAP basis.</w:t>
      </w:r>
    </w:p>
    <w:p>
      <w:pPr>
        <w:ind w:right="120"/>
        <w:spacing w:after="0" w:line="241" w:lineRule="auto"/>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Adjusted free cash flow is a non-GAAP measure that represents cash flow from operations less adjusted capital expenditures and the present value of new aircraft future operating lease</w:t>
      </w:r>
      <w:r>
        <w:rPr>
          <w:rFonts w:ascii="Arial" w:cs="Arial" w:eastAsia="Arial" w:hAnsi="Arial"/>
          <w:sz w:val="9"/>
          <w:szCs w:val="9"/>
          <w:color w:val="auto"/>
        </w:rPr>
        <w:t xml:space="preserve"> </w:t>
      </w:r>
      <w:r>
        <w:rPr>
          <w:rFonts w:ascii="Arial" w:cs="Arial" w:eastAsia="Arial" w:hAnsi="Arial"/>
          <w:sz w:val="14"/>
          <w:szCs w:val="14"/>
          <w:color w:val="auto"/>
        </w:rPr>
        <w:t>payments. Adjusted capital expenditures include projects acquired through the issuance of debt and finance leases. Non-cash capital expenditures are not determinable at this time. Accordingly, the Company does not provide free cash flow or capital expenditures guidance on a GAAP basis.</w:t>
      </w:r>
    </w:p>
    <w:p>
      <w:pPr>
        <w:spacing w:after="0" w:line="1" w:lineRule="exact"/>
        <w:rPr>
          <w:rFonts w:ascii="Arial" w:cs="Arial" w:eastAsia="Arial" w:hAnsi="Arial"/>
          <w:sz w:val="9"/>
          <w:szCs w:val="9"/>
          <w:color w:val="auto"/>
        </w:rPr>
      </w:pPr>
    </w:p>
    <w:p>
      <w:pPr>
        <w:ind w:right="640"/>
        <w:spacing w:after="0" w:line="241"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Adjusted total debt is a non-GAAP measure that includes current and long-term debt, operating lease obligations and finance lease obligations and noncurrent pension and postretirement</w:t>
      </w:r>
      <w:r>
        <w:rPr>
          <w:rFonts w:ascii="Arial" w:cs="Arial" w:eastAsia="Arial" w:hAnsi="Arial"/>
          <w:sz w:val="9"/>
          <w:szCs w:val="9"/>
          <w:color w:val="auto"/>
        </w:rPr>
        <w:t xml:space="preserve"> </w:t>
      </w:r>
      <w:r>
        <w:rPr>
          <w:rFonts w:ascii="Arial" w:cs="Arial" w:eastAsia="Arial" w:hAnsi="Arial"/>
          <w:sz w:val="14"/>
          <w:szCs w:val="14"/>
          <w:color w:val="auto"/>
        </w:rPr>
        <w:t>obligations.</w:t>
      </w:r>
    </w:p>
    <w:p>
      <w:pPr>
        <w:ind w:right="160"/>
        <w:spacing w:after="0" w:line="248"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auto"/>
        </w:rPr>
        <w:t>Adjusted EBITDAR is a non-GAAP measure that measures adjusted earnings before interest, income taxes, depreciation, amortization, aircraft rent and excluding special charges, and unrealized</w:t>
      </w:r>
      <w:r>
        <w:rPr>
          <w:rFonts w:ascii="Arial" w:cs="Arial" w:eastAsia="Arial" w:hAnsi="Arial"/>
          <w:sz w:val="9"/>
          <w:szCs w:val="9"/>
          <w:color w:val="auto"/>
        </w:rPr>
        <w:t xml:space="preserve"> </w:t>
      </w:r>
      <w:r>
        <w:rPr>
          <w:rFonts w:ascii="Arial" w:cs="Arial" w:eastAsia="Arial" w:hAnsi="Arial"/>
          <w:sz w:val="14"/>
          <w:szCs w:val="14"/>
          <w:color w:val="auto"/>
        </w:rPr>
        <w:t>(gains) losses impact of investments. Special charges and unrealized (gains) losses impact of investments are not determinable at this time, accordingly, the Company does not provide adjusted EBITDAR guidance on a GAAP basis.</w:t>
      </w:r>
    </w:p>
    <w:p>
      <w:pPr>
        <w:sectPr>
          <w:pgSz w:w="11900" w:h="16838" w:orient="portrait"/>
          <w:cols w:equalWidth="0" w:num="1">
            <w:col w:w="11420"/>
          </w:cols>
          <w:pgMar w:left="240" w:top="661" w:right="239" w:bottom="1440" w:gutter="0" w:footer="0" w:header="0"/>
        </w:sectPr>
      </w:pPr>
    </w:p>
    <w:bookmarkStart w:id="2" w:name="page3"/>
    <w:bookmarkEnd w:id="2"/>
    <w:tbl>
      <w:tblPr>
        <w:tblLayout w:type="fixed"/>
        <w:tblInd w:w="140" w:type="dxa"/>
        <w:tblCellMar>
          <w:top w:w="0" w:type="dxa"/>
          <w:left w:w="0" w:type="dxa"/>
          <w:bottom w:w="0" w:type="dxa"/>
          <w:right w:w="0" w:type="dxa"/>
        </w:tblCellMar>
      </w:tblPr>
      <w:tr>
        <w:trPr>
          <w:trHeight w:val="266"/>
        </w:trPr>
        <w:tc>
          <w:tcPr>
            <w:tcW w:w="914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3"/>
                <w:szCs w:val="23"/>
                <w:color w:val="auto"/>
              </w:rPr>
            </w:pPr>
          </w:p>
        </w:tc>
        <w:tc>
          <w:tcPr>
            <w:tcW w:w="19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Year Ended December</w:t>
            </w:r>
          </w:p>
        </w:tc>
      </w:tr>
      <w:tr>
        <w:trPr>
          <w:trHeight w:val="234"/>
        </w:trPr>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Adjusted EBITDAR (Non-GAAP)</w:t>
            </w:r>
          </w:p>
        </w:tc>
        <w:tc>
          <w:tcPr>
            <w:tcW w:w="120" w:type="dxa"/>
            <w:vAlign w:val="bottom"/>
          </w:tcPr>
          <w:p>
            <w:pPr>
              <w:spacing w:after="0"/>
              <w:rPr>
                <w:sz w:val="20"/>
                <w:szCs w:val="20"/>
                <w:color w:val="auto"/>
              </w:rPr>
            </w:pPr>
          </w:p>
        </w:tc>
        <w:tc>
          <w:tcPr>
            <w:tcW w:w="19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31, 2019</w:t>
            </w:r>
          </w:p>
        </w:tc>
      </w:tr>
      <w:tr>
        <w:trPr>
          <w:trHeight w:val="27"/>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3,009</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Adjusted for:</w:t>
            </w: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Interest capitalized</w:t>
            </w: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905</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Special charges before income taxes</w:t>
            </w:r>
          </w:p>
        </w:tc>
        <w:tc>
          <w:tcPr>
            <w:tcW w:w="12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246</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2,288</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12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288</w:t>
            </w:r>
          </w:p>
        </w:tc>
      </w:tr>
      <w:tr>
        <w:trPr>
          <w:trHeight w:val="27"/>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EBITDAR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7,096</w:t>
            </w:r>
          </w:p>
        </w:tc>
      </w:tr>
      <w:tr>
        <w:trPr>
          <w:trHeight w:val="20"/>
        </w:trPr>
        <w:tc>
          <w:tcPr>
            <w:tcW w:w="914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r>
      <w:tr>
        <w:trPr>
          <w:trHeight w:val="824"/>
        </w:trPr>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Adjusted debt</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of December 31, 2019</w:t>
            </w:r>
          </w:p>
        </w:tc>
      </w:tr>
      <w:tr>
        <w:trPr>
          <w:trHeight w:val="27"/>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1,407</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Current maturities of finance leases</w:t>
            </w:r>
          </w:p>
        </w:tc>
        <w:tc>
          <w:tcPr>
            <w:tcW w:w="12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maturities of 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13,145</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obligations under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Long-term obligations under operating leases</w:t>
            </w:r>
          </w:p>
        </w:tc>
        <w:tc>
          <w:tcPr>
            <w:tcW w:w="12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4,946</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postretirement benefit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Noncurrent pension liability</w:t>
            </w:r>
          </w:p>
        </w:tc>
        <w:tc>
          <w:tcPr>
            <w:tcW w:w="12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1,446</w:t>
            </w:r>
          </w:p>
        </w:tc>
      </w:tr>
      <w:tr>
        <w:trPr>
          <w:trHeight w:val="27"/>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debt (Non-GAAP)</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22,685</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(2,762)</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short-term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Adjusted net debt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17,741</w:t>
            </w: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w:t>
      </w:r>
    </w:p>
    <w:p>
      <w:pPr>
        <w:sectPr>
          <w:pgSz w:w="11900" w:h="16838" w:orient="portrait"/>
          <w:cols w:equalWidth="0" w:num="1">
            <w:col w:w="11360"/>
          </w:cols>
          <w:pgMar w:left="240" w:top="611" w:right="299" w:bottom="1440" w:gutter="0" w:footer="0" w:header="0"/>
        </w:sectPr>
      </w:pPr>
    </w:p>
    <w:bookmarkStart w:id="3" w:name="page4"/>
    <w:bookmarkEnd w:id="3"/>
    <w:p>
      <w:pPr>
        <w:ind w:right="20"/>
        <w:spacing w:after="0" w:line="264" w:lineRule="auto"/>
        <w:rPr>
          <w:sz w:val="20"/>
          <w:szCs w:val="20"/>
          <w:color w:val="auto"/>
        </w:rPr>
      </w:pPr>
      <w:r>
        <w:rPr>
          <w:rFonts w:ascii="Arial" w:cs="Arial" w:eastAsia="Arial" w:hAnsi="Arial"/>
          <w:sz w:val="18"/>
          <w:szCs w:val="18"/>
          <w:color w:val="auto"/>
        </w:rPr>
        <w:t>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Company's actual results could differ materially from these forward-looking statements due to numerous factors including, without limitation, the following: the Company's ability to execute its strategic operating plan, including its growth, revenue-generating and cost-control initiatives;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the impact of regulatory, investigative and legal proceedings and legal compliance risks; the success of the Company's investments in other airlines, including in other parts of the world;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an outbreak of a disease that affects travel demand or travel behavior, such as the existing threat of COVID-19;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costs and availability of financing; the Company's ability to maintain adequate liquidity; the Company's ability to comply with the terms of its various financing arrangements; the Company's ability to realize the full value of its intangible assets and long-lived assets; and other risks and uncertainties set forth under Part I, Item 1A., "Risk Factors," of the Company's Annual Report on Form 10-K for the fiscal year ended December 31, 2018, its Quarterly Report on Form 10-Q for the quarter ended September 30, 2019, as well as other risks and uncertainties set forth from time to time in the reports it files with the SEC.</w:t>
      </w:r>
    </w:p>
    <w:p>
      <w:pPr>
        <w:sectPr>
          <w:pgSz w:w="11900" w:h="16838" w:orient="portrait"/>
          <w:cols w:equalWidth="0" w:num="1">
            <w:col w:w="11420"/>
          </w:cols>
          <w:pgMar w:left="240" w:top="44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UNITED AIRLINES HOLDINGS, INC.</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2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Pr>
          <w:p>
            <w:pPr>
              <w:ind w:left="40"/>
              <w:spacing w:after="0"/>
              <w:rPr>
                <w:sz w:val="20"/>
                <w:szCs w:val="20"/>
                <w:color w:val="auto"/>
              </w:rPr>
            </w:pPr>
            <w:r>
              <w:rPr>
                <w:rFonts w:ascii="Arial" w:cs="Arial" w:eastAsia="Arial" w:hAnsi="Arial"/>
                <w:sz w:val="18"/>
                <w:szCs w:val="18"/>
                <w:color w:val="auto"/>
              </w:rPr>
              <w:t>/s/ Gerald Laderman</w:t>
            </w:r>
          </w:p>
        </w:tc>
      </w:tr>
      <w:tr>
        <w:trPr>
          <w:trHeight w:val="27"/>
        </w:trPr>
        <w:tc>
          <w:tcPr>
            <w:tcW w:w="9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260" w:type="dxa"/>
            <w:vAlign w:val="bottom"/>
          </w:tcPr>
          <w:p>
            <w:pPr>
              <w:ind w:left="40"/>
              <w:spacing w:after="0"/>
              <w:rPr>
                <w:sz w:val="20"/>
                <w:szCs w:val="20"/>
                <w:color w:val="auto"/>
              </w:rPr>
            </w:pPr>
            <w:r>
              <w:rPr>
                <w:rFonts w:ascii="Arial" w:cs="Arial" w:eastAsia="Arial" w:hAnsi="Arial"/>
                <w:sz w:val="18"/>
                <w:szCs w:val="18"/>
                <w:color w:val="auto"/>
              </w:rPr>
              <w:t>Gerald Laderman</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sectPr>
      <w:pgSz w:w="11900" w:h="16838" w:orient="portrait"/>
      <w:cols w:equalWidth="0" w:num="1">
        <w:col w:w="11420"/>
      </w:cols>
      <w:pgMar w:left="240" w:top="13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2020-02-24T16:51:47Z</dcterms:created>
  <dcterms:modified xsi:type="dcterms:W3CDTF">2020-02-24T16:51:47Z</dcterms:modified>
</cp:coreProperties>
</file>