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90805</wp:posOffset>
            </wp:positionV>
            <wp:extent cx="30441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45" w:lineRule="exact"/>
        <w:rPr>
          <w:sz w:val="24"/>
          <w:szCs w:val="24"/>
          <w:color w:val="auto"/>
        </w:rPr>
      </w:pPr>
    </w:p>
    <w:p>
      <w:pPr>
        <w:jc w:val="center"/>
        <w:ind w:right="100"/>
        <w:spacing w:after="0"/>
        <w:rPr>
          <w:sz w:val="20"/>
          <w:szCs w:val="20"/>
          <w:color w:val="auto"/>
        </w:rPr>
      </w:pPr>
      <w:r>
        <w:rPr>
          <w:rFonts w:ascii="Arial" w:cs="Arial" w:eastAsia="Arial" w:hAnsi="Arial"/>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19685</wp:posOffset>
            </wp:positionV>
            <wp:extent cx="3044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9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7" w:lineRule="exact"/>
        <w:rPr>
          <w:rFonts w:ascii="MS PGothic" w:cs="MS PGothic" w:eastAsia="MS PGothic" w:hAnsi="MS PGothic"/>
          <w:sz w:val="14"/>
          <w:szCs w:val="14"/>
          <w:color w:val="auto"/>
        </w:rPr>
      </w:pPr>
    </w:p>
    <w:p>
      <w:pPr>
        <w:ind w:left="66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For the fiscal year ended December 31, 2019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7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3" w:lineRule="exact"/>
        <w:rPr>
          <w:sz w:val="24"/>
          <w:szCs w:val="24"/>
          <w:color w:val="auto"/>
        </w:rPr>
      </w:pPr>
    </w:p>
    <w:tbl>
      <w:tblPr>
        <w:tblLayout w:type="fixed"/>
        <w:tblInd w:w="660" w:type="dxa"/>
        <w:tblCellMar>
          <w:top w:w="0" w:type="dxa"/>
          <w:left w:w="0" w:type="dxa"/>
          <w:bottom w:w="0" w:type="dxa"/>
          <w:right w:w="0" w:type="dxa"/>
        </w:tblCellMar>
      </w:tblPr>
      <w:tr>
        <w:trPr>
          <w:trHeight w:val="164"/>
        </w:trPr>
        <w:tc>
          <w:tcPr>
            <w:tcW w:w="1800" w:type="dxa"/>
            <w:vAlign w:val="bottom"/>
          </w:tcPr>
          <w:p>
            <w:pPr>
              <w:spacing w:after="0"/>
              <w:rPr>
                <w:sz w:val="20"/>
                <w:szCs w:val="20"/>
                <w:color w:val="auto"/>
              </w:rPr>
            </w:pPr>
            <w:r>
              <w:rPr>
                <w:rFonts w:ascii="Arial" w:cs="Arial" w:eastAsia="Arial" w:hAnsi="Arial"/>
                <w:sz w:val="13"/>
                <w:szCs w:val="13"/>
                <w:b w:val="1"/>
                <w:bCs w:val="1"/>
                <w:color w:val="auto"/>
                <w:w w:val="97"/>
              </w:rPr>
              <w:t>For the transition period from</w:t>
            </w:r>
          </w:p>
        </w:tc>
        <w:tc>
          <w:tcPr>
            <w:tcW w:w="960" w:type="dxa"/>
            <w:vAlign w:val="bottom"/>
            <w:gridSpan w:val="2"/>
          </w:tcPr>
          <w:p>
            <w:pPr>
              <w:ind w:left="520"/>
              <w:spacing w:after="0"/>
              <w:rPr>
                <w:sz w:val="20"/>
                <w:szCs w:val="20"/>
                <w:color w:val="auto"/>
              </w:rPr>
            </w:pPr>
            <w:r>
              <w:rPr>
                <w:rFonts w:ascii="Arial" w:cs="Arial" w:eastAsia="Arial" w:hAnsi="Arial"/>
                <w:sz w:val="13"/>
                <w:szCs w:val="13"/>
                <w:b w:val="1"/>
                <w:bCs w:val="1"/>
                <w:color w:val="auto"/>
              </w:rPr>
              <w:t>to</w:t>
            </w: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92"/>
        </w:trPr>
        <w:tc>
          <w:tcPr>
            <w:tcW w:w="180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Commission</w:t>
            </w:r>
          </w:p>
        </w:tc>
        <w:tc>
          <w:tcPr>
            <w:tcW w:w="3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State of</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I.R.S. Employer</w:t>
            </w:r>
          </w:p>
        </w:tc>
      </w:tr>
      <w:tr>
        <w:trPr>
          <w:trHeight w:val="174"/>
        </w:trPr>
        <w:tc>
          <w:tcPr>
            <w:tcW w:w="18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Principal Executive Office Address and Telephone Number</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Incorporation</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200"/>
        </w:trPr>
        <w:tc>
          <w:tcPr>
            <w:tcW w:w="18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001-06033</w:t>
            </w:r>
          </w:p>
        </w:tc>
        <w:tc>
          <w:tcPr>
            <w:tcW w:w="100" w:type="dxa"/>
            <w:vAlign w:val="bottom"/>
          </w:tcPr>
          <w:p>
            <w:pPr>
              <w:spacing w:after="0"/>
              <w:rPr>
                <w:sz w:val="17"/>
                <w:szCs w:val="17"/>
                <w:color w:val="auto"/>
              </w:rPr>
            </w:pPr>
          </w:p>
        </w:tc>
        <w:tc>
          <w:tcPr>
            <w:tcW w:w="3480" w:type="dxa"/>
            <w:vAlign w:val="bottom"/>
            <w:gridSpan w:val="2"/>
          </w:tcPr>
          <w:p>
            <w:pPr>
              <w:ind w:left="20"/>
              <w:spacing w:after="0"/>
              <w:rPr>
                <w:sz w:val="20"/>
                <w:szCs w:val="20"/>
                <w:color w:val="auto"/>
              </w:rPr>
            </w:pPr>
            <w:r>
              <w:rPr>
                <w:rFonts w:ascii="Arial" w:cs="Arial" w:eastAsia="Arial" w:hAnsi="Arial"/>
                <w:sz w:val="13"/>
                <w:szCs w:val="13"/>
                <w:b w:val="1"/>
                <w:bCs w:val="1"/>
                <w:color w:val="auto"/>
              </w:rPr>
              <w:t>United Airlines Holdings, Inc.</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Delaware</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36-2675207</w:t>
            </w:r>
          </w:p>
        </w:tc>
      </w:tr>
      <w:tr>
        <w:trPr>
          <w:trHeight w:val="32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2"/>
          </w:tcPr>
          <w:p>
            <w:pPr>
              <w:ind w:left="20"/>
              <w:spacing w:after="0"/>
              <w:rPr>
                <w:sz w:val="20"/>
                <w:szCs w:val="20"/>
                <w:color w:val="auto"/>
              </w:rPr>
            </w:pPr>
            <w:r>
              <w:rPr>
                <w:rFonts w:ascii="Arial" w:cs="Arial" w:eastAsia="Arial" w:hAnsi="Arial"/>
                <w:sz w:val="13"/>
                <w:szCs w:val="13"/>
                <w:color w:val="auto"/>
              </w:rPr>
              <w:t xml:space="preserve">233 South Wacker Drive,   Chicago,   Illinois  </w:t>
            </w:r>
            <w:r>
              <w:rPr>
                <w:rFonts w:ascii="Arial" w:cs="Arial" w:eastAsia="Arial" w:hAnsi="Arial"/>
                <w:sz w:val="25"/>
                <w:szCs w:val="25"/>
                <w:color w:val="auto"/>
                <w:vertAlign w:val="subscript"/>
              </w:rPr>
              <w:t>60606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-832485</wp:posOffset>
            </wp:positionV>
            <wp:extent cx="10718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880" cy="171450"/>
                    </a:xfrm>
                    <a:prstGeom prst="rect">
                      <a:avLst/>
                    </a:prstGeom>
                    <a:noFill/>
                  </pic:spPr>
                </pic:pic>
              </a:graphicData>
            </a:graphic>
          </wp:anchor>
        </w:drawing>
      </w:r>
    </w:p>
    <w:p>
      <w:pPr>
        <w:spacing w:after="0" w:line="31" w:lineRule="exact"/>
        <w:rPr>
          <w:sz w:val="24"/>
          <w:szCs w:val="24"/>
          <w:color w:val="auto"/>
        </w:rPr>
      </w:pPr>
    </w:p>
    <w:tbl>
      <w:tblPr>
        <w:tblLayout w:type="fixed"/>
        <w:tblInd w:w="3440" w:type="dxa"/>
        <w:tblCellMar>
          <w:top w:w="0" w:type="dxa"/>
          <w:left w:w="0" w:type="dxa"/>
          <w:bottom w:w="0" w:type="dxa"/>
          <w:right w:w="0" w:type="dxa"/>
        </w:tblCellMar>
      </w:tblP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w w:val="85"/>
              </w:rPr>
              <w:t>(872)</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8"/>
              </w:rPr>
              <w:t>825-4000</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tbl>
      <w:tblPr>
        <w:tblLayout w:type="fixed"/>
        <w:tblInd w:w="2600" w:type="dxa"/>
        <w:tblCellMar>
          <w:top w:w="0" w:type="dxa"/>
          <w:left w:w="0" w:type="dxa"/>
          <w:bottom w:w="0" w:type="dxa"/>
          <w:right w:w="0" w:type="dxa"/>
        </w:tblCellMar>
      </w:tblPr>
      <w:tr>
        <w:trPr>
          <w:trHeight w:val="164"/>
        </w:trPr>
        <w:tc>
          <w:tcPr>
            <w:tcW w:w="700" w:type="dxa"/>
            <w:vAlign w:val="bottom"/>
          </w:tcPr>
          <w:p>
            <w:pPr>
              <w:jc w:val="right"/>
              <w:ind w:right="77"/>
              <w:spacing w:after="0"/>
              <w:rPr>
                <w:sz w:val="20"/>
                <w:szCs w:val="20"/>
                <w:color w:val="auto"/>
              </w:rPr>
            </w:pPr>
            <w:r>
              <w:rPr>
                <w:rFonts w:ascii="Arial" w:cs="Arial" w:eastAsia="Arial" w:hAnsi="Arial"/>
                <w:sz w:val="13"/>
                <w:szCs w:val="13"/>
                <w:color w:val="auto"/>
                <w:w w:val="86"/>
              </w:rPr>
              <w:t>001-10323</w:t>
            </w:r>
          </w:p>
        </w:tc>
        <w:tc>
          <w:tcPr>
            <w:tcW w:w="1500" w:type="dxa"/>
            <w:vAlign w:val="bottom"/>
          </w:tcPr>
          <w:p>
            <w:pPr>
              <w:ind w:left="140"/>
              <w:spacing w:after="0"/>
              <w:rPr>
                <w:sz w:val="20"/>
                <w:szCs w:val="20"/>
                <w:color w:val="auto"/>
              </w:rPr>
            </w:pPr>
            <w:r>
              <w:rPr>
                <w:rFonts w:ascii="Arial" w:cs="Arial" w:eastAsia="Arial" w:hAnsi="Arial"/>
                <w:sz w:val="13"/>
                <w:szCs w:val="13"/>
                <w:b w:val="1"/>
                <w:bCs w:val="1"/>
                <w:color w:val="auto"/>
              </w:rPr>
              <w:t>United Airlines, Inc.</w:t>
            </w:r>
          </w:p>
        </w:tc>
        <w:tc>
          <w:tcPr>
            <w:tcW w:w="3120" w:type="dxa"/>
            <w:vAlign w:val="bottom"/>
          </w:tcPr>
          <w:p>
            <w:pPr>
              <w:ind w:left="2340"/>
              <w:spacing w:after="0"/>
              <w:rPr>
                <w:sz w:val="20"/>
                <w:szCs w:val="20"/>
                <w:color w:val="auto"/>
              </w:rPr>
            </w:pPr>
            <w:r>
              <w:rPr>
                <w:rFonts w:ascii="Arial" w:cs="Arial" w:eastAsia="Arial" w:hAnsi="Arial"/>
                <w:sz w:val="13"/>
                <w:szCs w:val="13"/>
                <w:color w:val="auto"/>
              </w:rPr>
              <w:t>Delaware</w:t>
            </w:r>
          </w:p>
        </w:tc>
        <w:tc>
          <w:tcPr>
            <w:tcW w:w="920" w:type="dxa"/>
            <w:vAlign w:val="bottom"/>
          </w:tcPr>
          <w:p>
            <w:pPr>
              <w:jc w:val="right"/>
              <w:spacing w:after="0"/>
              <w:rPr>
                <w:sz w:val="20"/>
                <w:szCs w:val="20"/>
                <w:color w:val="auto"/>
              </w:rPr>
            </w:pPr>
            <w:r>
              <w:rPr>
                <w:rFonts w:ascii="Arial" w:cs="Arial" w:eastAsia="Arial" w:hAnsi="Arial"/>
                <w:sz w:val="13"/>
                <w:szCs w:val="13"/>
                <w:color w:val="auto"/>
              </w:rPr>
              <w:t>74-2099724</w:t>
            </w:r>
          </w:p>
        </w:tc>
      </w:tr>
      <w:tr>
        <w:trPr>
          <w:trHeight w:val="329"/>
        </w:trPr>
        <w:tc>
          <w:tcPr>
            <w:tcW w:w="7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3"/>
                <w:szCs w:val="13"/>
                <w:color w:val="auto"/>
                <w:w w:val="92"/>
              </w:rPr>
              <w:t>233 South Wacker Drive,</w:t>
            </w:r>
          </w:p>
        </w:tc>
        <w:tc>
          <w:tcPr>
            <w:tcW w:w="3120" w:type="dxa"/>
            <w:vAlign w:val="bottom"/>
          </w:tcPr>
          <w:p>
            <w:pPr>
              <w:ind w:left="100"/>
              <w:spacing w:after="0"/>
              <w:rPr>
                <w:sz w:val="20"/>
                <w:szCs w:val="20"/>
                <w:color w:val="auto"/>
              </w:rPr>
            </w:pPr>
            <w:r>
              <w:rPr>
                <w:rFonts w:ascii="Arial" w:cs="Arial" w:eastAsia="Arial" w:hAnsi="Arial"/>
                <w:sz w:val="13"/>
                <w:szCs w:val="13"/>
                <w:color w:val="auto"/>
              </w:rPr>
              <w:t xml:space="preserve">Chicago,   Illinois  </w:t>
            </w:r>
            <w:r>
              <w:rPr>
                <w:rFonts w:ascii="Arial" w:cs="Arial" w:eastAsia="Arial" w:hAnsi="Arial"/>
                <w:sz w:val="25"/>
                <w:szCs w:val="25"/>
                <w:color w:val="auto"/>
                <w:vertAlign w:val="subscript"/>
              </w:rPr>
              <w:t>60606</w:t>
            </w:r>
          </w:p>
        </w:tc>
        <w:tc>
          <w:tcPr>
            <w:tcW w:w="920" w:type="dxa"/>
            <w:vAlign w:val="bottom"/>
          </w:tcPr>
          <w:p>
            <w:pPr>
              <w:spacing w:after="0"/>
              <w:rPr>
                <w:sz w:val="24"/>
                <w:szCs w:val="24"/>
                <w:color w:val="auto"/>
              </w:rPr>
            </w:pPr>
          </w:p>
        </w:tc>
      </w:tr>
    </w:tbl>
    <w:p>
      <w:pPr>
        <w:spacing w:after="0" w:line="51" w:lineRule="exact"/>
        <w:rPr>
          <w:sz w:val="24"/>
          <w:szCs w:val="24"/>
          <w:color w:val="auto"/>
        </w:rPr>
      </w:pPr>
    </w:p>
    <w:p>
      <w:pPr>
        <w:ind w:left="3860" w:hanging="415"/>
        <w:spacing w:after="0"/>
        <w:tabs>
          <w:tab w:leader="none" w:pos="3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825-4000</w:t>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-91440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22" w:lineRule="exact"/>
        <w:rPr>
          <w:sz w:val="24"/>
          <w:szCs w:val="24"/>
          <w:color w:val="auto"/>
        </w:rPr>
      </w:pPr>
    </w:p>
    <w:p>
      <w:pPr>
        <w:jc w:val="right"/>
        <w:ind w:right="600"/>
        <w:spacing w:after="0"/>
        <w:tabs>
          <w:tab w:leader="none" w:pos="4540" w:val="left"/>
          <w:tab w:leader="none" w:pos="244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3"/>
          <w:szCs w:val="13"/>
          <w:b w:val="1"/>
          <w:bCs w:val="1"/>
          <w:color w:val="auto"/>
        </w:rPr>
        <w:t>Trading Symbol</w:t>
      </w:r>
      <w:r>
        <w:rPr>
          <w:sz w:val="20"/>
          <w:szCs w:val="20"/>
          <w:color w:val="auto"/>
        </w:rPr>
        <w:tab/>
      </w:r>
      <w:r>
        <w:rPr>
          <w:rFonts w:ascii="Arial" w:cs="Arial" w:eastAsia="Arial" w:hAnsi="Arial"/>
          <w:sz w:val="11"/>
          <w:szCs w:val="11"/>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3641090</wp:posOffset>
            </wp:positionH>
            <wp:positionV relativeFrom="paragraph">
              <wp:posOffset>19685</wp:posOffset>
            </wp:positionV>
            <wp:extent cx="3610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ectPr>
          <w:pgSz w:w="11900" w:h="16838" w:orient="portrait"/>
          <w:cols w:equalWidth="0" w:num="1">
            <w:col w:w="11420"/>
          </w:cols>
          <w:pgMar w:left="240" w:top="423" w:right="239" w:bottom="1012" w:gutter="0" w:footer="0" w:header="0"/>
        </w:sectPr>
      </w:pPr>
    </w:p>
    <w:p>
      <w:pPr>
        <w:spacing w:after="0" w:line="15"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3620" w:type="dxa"/>
            <w:vAlign w:val="bottom"/>
          </w:tcPr>
          <w:p>
            <w:pPr>
              <w:spacing w:after="0"/>
              <w:rPr>
                <w:sz w:val="20"/>
                <w:szCs w:val="20"/>
                <w:color w:val="auto"/>
              </w:rPr>
            </w:pPr>
            <w:r>
              <w:rPr>
                <w:rFonts w:ascii="Arial" w:cs="Arial" w:eastAsia="Arial" w:hAnsi="Arial"/>
                <w:sz w:val="13"/>
                <w:szCs w:val="13"/>
                <w:color w:val="auto"/>
              </w:rPr>
              <w:t>United Airlines Holdings, Inc.</w:t>
            </w:r>
          </w:p>
        </w:tc>
        <w:tc>
          <w:tcPr>
            <w:tcW w:w="1960" w:type="dxa"/>
            <w:vAlign w:val="bottom"/>
            <w:tcBorders>
              <w:top w:val="single" w:sz="8" w:color="auto"/>
            </w:tcBorders>
            <w:vMerge w:val="restart"/>
          </w:tcPr>
          <w:p>
            <w:pPr>
              <w:ind w:left="40"/>
              <w:spacing w:after="0"/>
              <w:rPr>
                <w:sz w:val="20"/>
                <w:szCs w:val="20"/>
                <w:color w:val="auto"/>
              </w:rPr>
            </w:pPr>
            <w:r>
              <w:rPr>
                <w:rFonts w:ascii="Arial" w:cs="Arial" w:eastAsia="Arial" w:hAnsi="Arial"/>
                <w:sz w:val="13"/>
                <w:szCs w:val="13"/>
                <w:color w:val="auto"/>
              </w:rPr>
              <w:t>Common Stock, $0.01 par value</w:t>
            </w:r>
          </w:p>
        </w:tc>
        <w:tc>
          <w:tcPr>
            <w:tcW w:w="0" w:type="dxa"/>
            <w:vAlign w:val="bottom"/>
          </w:tcPr>
          <w:p>
            <w:pPr>
              <w:spacing w:after="0"/>
              <w:rPr>
                <w:sz w:val="1"/>
                <w:szCs w:val="1"/>
                <w:color w:val="auto"/>
              </w:rPr>
            </w:pPr>
          </w:p>
        </w:tc>
      </w:tr>
      <w:tr>
        <w:trPr>
          <w:trHeight w:val="70"/>
        </w:trPr>
        <w:tc>
          <w:tcPr>
            <w:tcW w:w="362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3"/>
                <w:szCs w:val="13"/>
                <w:color w:val="auto"/>
              </w:rPr>
              <w:t>United Airlines, Inc.</w:t>
            </w:r>
          </w:p>
        </w:tc>
        <w:tc>
          <w:tcPr>
            <w:tcW w:w="1960" w:type="dxa"/>
            <w:vAlign w:val="bottom"/>
            <w:vMerge w:val="restart"/>
          </w:tcPr>
          <w:p>
            <w:pPr>
              <w:ind w:left="4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tabs>
          <w:tab w:leader="none" w:pos="2020" w:val="left"/>
        </w:tabs>
        <w:rPr>
          <w:sz w:val="20"/>
          <w:szCs w:val="20"/>
          <w:color w:val="auto"/>
        </w:rPr>
      </w:pPr>
      <w:r>
        <w:rPr>
          <w:rFonts w:ascii="Arial" w:cs="Arial" w:eastAsia="Arial" w:hAnsi="Arial"/>
          <w:sz w:val="11"/>
          <w:szCs w:val="11"/>
          <w:color w:val="auto"/>
        </w:rPr>
        <w:t>UAL</w:t>
      </w:r>
      <w:r>
        <w:rPr>
          <w:sz w:val="20"/>
          <w:szCs w:val="20"/>
          <w:color w:val="auto"/>
        </w:rPr>
        <w:tab/>
      </w:r>
      <w:r>
        <w:rPr>
          <w:rFonts w:ascii="Arial" w:cs="Arial" w:eastAsia="Arial" w:hAnsi="Arial"/>
          <w:sz w:val="11"/>
          <w:szCs w:val="11"/>
          <w:color w:val="auto"/>
        </w:rPr>
        <w:t>The Nasdaq Stock Market LLC</w:t>
      </w:r>
    </w:p>
    <w:p>
      <w:pPr>
        <w:spacing w:after="0" w:line="144" w:lineRule="exact"/>
        <w:rPr>
          <w:sz w:val="24"/>
          <w:szCs w:val="24"/>
          <w:color w:val="auto"/>
        </w:rPr>
      </w:pPr>
    </w:p>
    <w:p>
      <w:pPr>
        <w:spacing w:after="0"/>
        <w:tabs>
          <w:tab w:leader="none" w:pos="2020" w:val="left"/>
        </w:tabs>
        <w:rPr>
          <w:sz w:val="20"/>
          <w:szCs w:val="20"/>
          <w:color w:val="auto"/>
        </w:rPr>
      </w:pPr>
      <w:r>
        <w:rPr>
          <w:rFonts w:ascii="Arial" w:cs="Arial" w:eastAsia="Arial" w:hAnsi="Arial"/>
          <w:sz w:val="13"/>
          <w:szCs w:val="13"/>
          <w:color w:val="auto"/>
        </w:rPr>
        <w:t>None</w:t>
      </w:r>
      <w:r>
        <w:rPr>
          <w:sz w:val="20"/>
          <w:szCs w:val="20"/>
          <w:color w:val="auto"/>
        </w:rPr>
        <w:tab/>
      </w:r>
      <w:r>
        <w:rPr>
          <w:rFonts w:ascii="Arial" w:cs="Arial" w:eastAsia="Arial" w:hAnsi="Arial"/>
          <w:sz w:val="13"/>
          <w:szCs w:val="13"/>
          <w:color w:val="auto"/>
        </w:rPr>
        <w:t>None</w:t>
      </w:r>
    </w:p>
    <w:p>
      <w:pPr>
        <w:spacing w:after="0" w:line="11" w:lineRule="exact"/>
        <w:rPr>
          <w:sz w:val="24"/>
          <w:szCs w:val="24"/>
          <w:color w:val="auto"/>
        </w:rPr>
      </w:pPr>
    </w:p>
    <w:p>
      <w:pPr>
        <w:sectPr>
          <w:pgSz w:w="11900" w:h="16838" w:orient="portrait"/>
          <w:cols w:equalWidth="0" w:num="2">
            <w:col w:w="5620" w:space="140"/>
            <w:col w:w="5660"/>
          </w:cols>
          <w:pgMar w:left="240" w:top="423" w:right="239" w:bottom="1012"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4800" w:type="dxa"/>
            <w:vAlign w:val="bottom"/>
            <w:gridSpan w:val="5"/>
          </w:tcPr>
          <w:p>
            <w:pPr>
              <w:ind w:left="860"/>
              <w:spacing w:after="0"/>
              <w:rPr>
                <w:sz w:val="20"/>
                <w:szCs w:val="20"/>
                <w:color w:val="auto"/>
              </w:rPr>
            </w:pPr>
            <w:r>
              <w:rPr>
                <w:rFonts w:ascii="Arial" w:cs="Arial" w:eastAsia="Arial" w:hAnsi="Arial"/>
                <w:sz w:val="13"/>
                <w:szCs w:val="13"/>
                <w:b w:val="1"/>
                <w:bCs w:val="1"/>
                <w:color w:val="auto"/>
              </w:rPr>
              <w:t>Securities registered pursuant to Section 12(g) of the Act:</w:t>
            </w: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320" w:type="dxa"/>
            <w:vAlign w:val="bottom"/>
          </w:tcPr>
          <w:p>
            <w:pPr>
              <w:spacing w:after="0"/>
              <w:rPr>
                <w:sz w:val="24"/>
                <w:szCs w:val="24"/>
                <w:color w:val="auto"/>
              </w:rPr>
            </w:pPr>
          </w:p>
        </w:tc>
        <w:tc>
          <w:tcPr>
            <w:tcW w:w="1720" w:type="dxa"/>
            <w:vAlign w:val="bottom"/>
            <w:gridSpan w:val="2"/>
          </w:tcPr>
          <w:p>
            <w:pPr>
              <w:ind w:left="140"/>
              <w:spacing w:after="0"/>
              <w:rPr>
                <w:sz w:val="20"/>
                <w:szCs w:val="20"/>
                <w:color w:val="auto"/>
              </w:rPr>
            </w:pPr>
            <w:r>
              <w:rPr>
                <w:rFonts w:ascii="Arial" w:cs="Arial" w:eastAsia="Arial" w:hAnsi="Arial"/>
                <w:sz w:val="13"/>
                <w:szCs w:val="13"/>
                <w:color w:val="auto"/>
                <w:w w:val="93"/>
              </w:rPr>
              <w:t>United Airlines Holdings, Inc.</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vMerge w:val="restart"/>
          </w:tcPr>
          <w:p>
            <w:pPr>
              <w:ind w:left="120"/>
              <w:spacing w:after="0"/>
              <w:rPr>
                <w:sz w:val="20"/>
                <w:szCs w:val="20"/>
                <w:color w:val="auto"/>
              </w:rPr>
            </w:pPr>
            <w:r>
              <w:rPr>
                <w:rFonts w:ascii="Arial" w:cs="Arial" w:eastAsia="Arial" w:hAnsi="Arial"/>
                <w:sz w:val="13"/>
                <w:szCs w:val="13"/>
                <w:color w:val="auto"/>
              </w:rPr>
              <w:t>None</w:t>
            </w: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vMerge w:val="restart"/>
          </w:tcPr>
          <w:p>
            <w:pPr>
              <w:ind w:left="120"/>
              <w:spacing w:after="0"/>
              <w:rPr>
                <w:sz w:val="20"/>
                <w:szCs w:val="20"/>
                <w:color w:val="auto"/>
              </w:rPr>
            </w:pPr>
            <w:r>
              <w:rPr>
                <w:rFonts w:ascii="Arial" w:cs="Arial" w:eastAsia="Arial" w:hAnsi="Arial"/>
                <w:sz w:val="13"/>
                <w:szCs w:val="13"/>
                <w:color w:val="auto"/>
              </w:rPr>
              <w:t>None</w:t>
            </w:r>
          </w:p>
        </w:tc>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320" w:type="dxa"/>
            <w:vAlign w:val="bottom"/>
          </w:tcPr>
          <w:p>
            <w:pPr>
              <w:spacing w:after="0"/>
              <w:rPr>
                <w:sz w:val="11"/>
                <w:szCs w:val="11"/>
                <w:color w:val="auto"/>
              </w:rPr>
            </w:pPr>
          </w:p>
        </w:tc>
        <w:tc>
          <w:tcPr>
            <w:tcW w:w="4800" w:type="dxa"/>
            <w:vAlign w:val="bottom"/>
            <w:tcBorders>
              <w:bottom w:val="single" w:sz="8" w:color="auto"/>
            </w:tcBorders>
            <w:gridSpan w:val="5"/>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120" w:type="dxa"/>
            <w:vAlign w:val="bottom"/>
            <w:gridSpan w:val="6"/>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3320" w:type="dxa"/>
            <w:vAlign w:val="bottom"/>
          </w:tcPr>
          <w:p>
            <w:pPr>
              <w:ind w:left="40"/>
              <w:spacing w:after="0"/>
              <w:rPr>
                <w:sz w:val="20"/>
                <w:szCs w:val="20"/>
                <w:color w:val="auto"/>
              </w:rPr>
            </w:pPr>
            <w:r>
              <w:rPr>
                <w:rFonts w:ascii="Arial" w:cs="Arial" w:eastAsia="Arial" w:hAnsi="Arial"/>
                <w:sz w:val="13"/>
                <w:szCs w:val="13"/>
                <w:color w:val="auto"/>
              </w:rPr>
              <w:t>United Airlines Holdings, Inc.</w:t>
            </w:r>
          </w:p>
        </w:tc>
        <w:tc>
          <w:tcPr>
            <w:tcW w:w="1340" w:type="dxa"/>
            <w:vAlign w:val="bottom"/>
          </w:tcPr>
          <w:p>
            <w:pPr>
              <w:ind w:left="1060"/>
              <w:spacing w:after="0"/>
              <w:rPr>
                <w:sz w:val="20"/>
                <w:szCs w:val="20"/>
                <w:color w:val="auto"/>
              </w:rPr>
            </w:pPr>
            <w:r>
              <w:rPr>
                <w:rFonts w:ascii="Arial" w:cs="Arial" w:eastAsia="Arial" w:hAnsi="Arial"/>
                <w:sz w:val="13"/>
                <w:szCs w:val="13"/>
                <w:color w:val="auto"/>
              </w:rPr>
              <w:t>Yes</w:t>
            </w:r>
          </w:p>
        </w:tc>
        <w:tc>
          <w:tcPr>
            <w:tcW w:w="38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40"/>
              <w:spacing w:after="0"/>
              <w:rPr>
                <w:sz w:val="20"/>
                <w:szCs w:val="20"/>
                <w:color w:val="auto"/>
              </w:rPr>
            </w:pPr>
            <w:r>
              <w:rPr>
                <w:rFonts w:ascii="Arial" w:cs="Arial" w:eastAsia="Arial" w:hAnsi="Arial"/>
                <w:sz w:val="13"/>
                <w:szCs w:val="13"/>
                <w:color w:val="auto"/>
              </w:rPr>
              <w:t>No</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440" w:type="dxa"/>
            <w:vAlign w:val="bottom"/>
          </w:tcPr>
          <w:p>
            <w:pPr>
              <w:ind w:left="320"/>
              <w:spacing w:after="0"/>
              <w:rPr>
                <w:sz w:val="20"/>
                <w:szCs w:val="20"/>
                <w:color w:val="auto"/>
              </w:rPr>
            </w:pPr>
            <w:r>
              <w:rPr>
                <w:rFonts w:ascii="Arial" w:cs="Arial" w:eastAsia="Arial" w:hAnsi="Arial"/>
                <w:sz w:val="13"/>
                <w:szCs w:val="13"/>
                <w:color w:val="auto"/>
              </w:rPr>
              <w:t>United Airlines, Inc.</w:t>
            </w:r>
          </w:p>
        </w:tc>
        <w:tc>
          <w:tcPr>
            <w:tcW w:w="2240" w:type="dxa"/>
            <w:vAlign w:val="bottom"/>
          </w:tcPr>
          <w:p>
            <w:pPr>
              <w:ind w:left="1980"/>
              <w:spacing w:after="0"/>
              <w:rPr>
                <w:sz w:val="20"/>
                <w:szCs w:val="20"/>
                <w:color w:val="auto"/>
              </w:rPr>
            </w:pPr>
            <w:r>
              <w:rPr>
                <w:rFonts w:ascii="Arial" w:cs="Arial" w:eastAsia="Arial" w:hAnsi="Arial"/>
                <w:sz w:val="13"/>
                <w:szCs w:val="13"/>
                <w:color w:val="auto"/>
              </w:rPr>
              <w:t>Yes</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420" w:type="dxa"/>
            <w:vAlign w:val="bottom"/>
          </w:tcPr>
          <w:p>
            <w:pPr>
              <w:ind w:left="120"/>
              <w:spacing w:after="0"/>
              <w:rPr>
                <w:sz w:val="20"/>
                <w:szCs w:val="20"/>
                <w:color w:val="auto"/>
              </w:rPr>
            </w:pPr>
            <w:r>
              <w:rPr>
                <w:rFonts w:ascii="Arial" w:cs="Arial" w:eastAsia="Arial" w:hAnsi="Arial"/>
                <w:sz w:val="13"/>
                <w:szCs w:val="13"/>
                <w:color w:val="auto"/>
              </w:rPr>
              <w:t>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16"/>
        </w:trPr>
        <w:tc>
          <w:tcPr>
            <w:tcW w:w="8120" w:type="dxa"/>
            <w:vAlign w:val="bottom"/>
            <w:gridSpan w:val="6"/>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3320" w:type="dxa"/>
            <w:vAlign w:val="bottom"/>
          </w:tcPr>
          <w:p>
            <w:pPr>
              <w:ind w:left="40"/>
              <w:spacing w:after="0"/>
              <w:rPr>
                <w:sz w:val="20"/>
                <w:szCs w:val="20"/>
                <w:color w:val="auto"/>
              </w:rPr>
            </w:pPr>
            <w:r>
              <w:rPr>
                <w:rFonts w:ascii="Arial" w:cs="Arial" w:eastAsia="Arial" w:hAnsi="Arial"/>
                <w:sz w:val="13"/>
                <w:szCs w:val="13"/>
                <w:color w:val="auto"/>
              </w:rPr>
              <w:t>United Airlines Holdings, Inc.</w:t>
            </w:r>
          </w:p>
        </w:tc>
        <w:tc>
          <w:tcPr>
            <w:tcW w:w="1340" w:type="dxa"/>
            <w:vAlign w:val="bottom"/>
          </w:tcPr>
          <w:p>
            <w:pPr>
              <w:ind w:left="1060"/>
              <w:spacing w:after="0"/>
              <w:rPr>
                <w:sz w:val="20"/>
                <w:szCs w:val="20"/>
                <w:color w:val="auto"/>
              </w:rPr>
            </w:pPr>
            <w:r>
              <w:rPr>
                <w:rFonts w:ascii="Arial" w:cs="Arial" w:eastAsia="Arial" w:hAnsi="Arial"/>
                <w:sz w:val="13"/>
                <w:szCs w:val="13"/>
                <w:color w:val="auto"/>
              </w:rPr>
              <w:t>Yes</w:t>
            </w:r>
          </w:p>
        </w:tc>
        <w:tc>
          <w:tcPr>
            <w:tcW w:w="38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40"/>
              <w:spacing w:after="0"/>
              <w:rPr>
                <w:sz w:val="20"/>
                <w:szCs w:val="20"/>
                <w:color w:val="auto"/>
              </w:rPr>
            </w:pPr>
            <w:r>
              <w:rPr>
                <w:rFonts w:ascii="Arial" w:cs="Arial" w:eastAsia="Arial" w:hAnsi="Arial"/>
                <w:sz w:val="13"/>
                <w:szCs w:val="13"/>
                <w:color w:val="auto"/>
              </w:rPr>
              <w:t>No</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440" w:type="dxa"/>
            <w:vAlign w:val="bottom"/>
          </w:tcPr>
          <w:p>
            <w:pPr>
              <w:ind w:left="320"/>
              <w:spacing w:after="0"/>
              <w:rPr>
                <w:sz w:val="20"/>
                <w:szCs w:val="20"/>
                <w:color w:val="auto"/>
              </w:rPr>
            </w:pPr>
            <w:r>
              <w:rPr>
                <w:rFonts w:ascii="Arial" w:cs="Arial" w:eastAsia="Arial" w:hAnsi="Arial"/>
                <w:sz w:val="13"/>
                <w:szCs w:val="13"/>
                <w:color w:val="auto"/>
              </w:rPr>
              <w:t>United Airlines, Inc.</w:t>
            </w:r>
          </w:p>
        </w:tc>
        <w:tc>
          <w:tcPr>
            <w:tcW w:w="2240" w:type="dxa"/>
            <w:vAlign w:val="bottom"/>
          </w:tcPr>
          <w:p>
            <w:pPr>
              <w:ind w:left="1980"/>
              <w:spacing w:after="0"/>
              <w:rPr>
                <w:sz w:val="20"/>
                <w:szCs w:val="20"/>
                <w:color w:val="auto"/>
              </w:rPr>
            </w:pPr>
            <w:r>
              <w:rPr>
                <w:rFonts w:ascii="Arial" w:cs="Arial" w:eastAsia="Arial" w:hAnsi="Arial"/>
                <w:sz w:val="13"/>
                <w:szCs w:val="13"/>
                <w:color w:val="auto"/>
              </w:rPr>
              <w:t>Yes</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420" w:type="dxa"/>
            <w:vAlign w:val="bottom"/>
          </w:tcPr>
          <w:p>
            <w:pPr>
              <w:ind w:left="120"/>
              <w:spacing w:after="0"/>
              <w:rPr>
                <w:sz w:val="20"/>
                <w:szCs w:val="20"/>
                <w:color w:val="auto"/>
              </w:rPr>
            </w:pPr>
            <w:r>
              <w:rPr>
                <w:rFonts w:ascii="Arial" w:cs="Arial" w:eastAsia="Arial" w:hAnsi="Arial"/>
                <w:sz w:val="13"/>
                <w:szCs w:val="13"/>
                <w:color w:val="auto"/>
              </w:rPr>
              <w:t>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56"/>
        </w:trPr>
        <w:tc>
          <w:tcPr>
            <w:tcW w:w="11080" w:type="dxa"/>
            <w:vAlign w:val="bottom"/>
            <w:gridSpan w:val="9"/>
          </w:tcPr>
          <w:p>
            <w:pPr>
              <w:spacing w:after="0"/>
              <w:rPr>
                <w:sz w:val="20"/>
                <w:szCs w:val="20"/>
                <w:color w:val="auto"/>
              </w:rPr>
            </w:pPr>
            <w:r>
              <w:rPr>
                <w:rFonts w:ascii="Arial" w:cs="Arial" w:eastAsia="Arial" w:hAnsi="Arial"/>
                <w:sz w:val="13"/>
                <w:szCs w:val="13"/>
                <w:color w:val="auto"/>
                <w:w w:val="88"/>
              </w:rPr>
              <w:t>Indicate by check mark whether the registrant (1) has filed all reports required to be filed by Section 13 or 15(d) of the Securities Exchange Act of 1934 during the preceding 12 months (or for such shorter period that the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120" w:type="dxa"/>
            <w:vAlign w:val="bottom"/>
            <w:gridSpan w:val="6"/>
          </w:tcPr>
          <w:p>
            <w:pPr>
              <w:spacing w:after="0"/>
              <w:rPr>
                <w:sz w:val="20"/>
                <w:szCs w:val="20"/>
                <w:color w:val="auto"/>
              </w:rPr>
            </w:pPr>
            <w:r>
              <w:rPr>
                <w:rFonts w:ascii="Arial" w:cs="Arial" w:eastAsia="Arial" w:hAnsi="Arial"/>
                <w:sz w:val="13"/>
                <w:szCs w:val="13"/>
                <w:color w:val="auto"/>
              </w:rPr>
              <w:t>registrant was required to file such reports), and (2) has been subject to such filing requirements for the past 90 days.</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320" w:type="dxa"/>
            <w:vAlign w:val="bottom"/>
          </w:tcPr>
          <w:p>
            <w:pPr>
              <w:ind w:left="40"/>
              <w:spacing w:after="0"/>
              <w:rPr>
                <w:sz w:val="20"/>
                <w:szCs w:val="20"/>
                <w:color w:val="auto"/>
              </w:rPr>
            </w:pPr>
            <w:r>
              <w:rPr>
                <w:rFonts w:ascii="Arial" w:cs="Arial" w:eastAsia="Arial" w:hAnsi="Arial"/>
                <w:sz w:val="13"/>
                <w:szCs w:val="13"/>
                <w:color w:val="auto"/>
              </w:rPr>
              <w:t>United Airlines Holdings, Inc.</w:t>
            </w:r>
          </w:p>
        </w:tc>
        <w:tc>
          <w:tcPr>
            <w:tcW w:w="1340" w:type="dxa"/>
            <w:vAlign w:val="bottom"/>
          </w:tcPr>
          <w:p>
            <w:pPr>
              <w:ind w:left="1060"/>
              <w:spacing w:after="0"/>
              <w:rPr>
                <w:sz w:val="20"/>
                <w:szCs w:val="20"/>
                <w:color w:val="auto"/>
              </w:rPr>
            </w:pPr>
            <w:r>
              <w:rPr>
                <w:rFonts w:ascii="Arial" w:cs="Arial" w:eastAsia="Arial" w:hAnsi="Arial"/>
                <w:sz w:val="13"/>
                <w:szCs w:val="13"/>
                <w:color w:val="auto"/>
              </w:rPr>
              <w:t>Yes</w:t>
            </w:r>
          </w:p>
        </w:tc>
        <w:tc>
          <w:tcPr>
            <w:tcW w:w="38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40"/>
              <w:spacing w:after="0"/>
              <w:rPr>
                <w:sz w:val="20"/>
                <w:szCs w:val="20"/>
                <w:color w:val="auto"/>
              </w:rPr>
            </w:pPr>
            <w:r>
              <w:rPr>
                <w:rFonts w:ascii="Arial" w:cs="Arial" w:eastAsia="Arial" w:hAnsi="Arial"/>
                <w:sz w:val="13"/>
                <w:szCs w:val="13"/>
                <w:color w:val="auto"/>
              </w:rPr>
              <w:t>No</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440" w:type="dxa"/>
            <w:vAlign w:val="bottom"/>
          </w:tcPr>
          <w:p>
            <w:pPr>
              <w:ind w:left="320"/>
              <w:spacing w:after="0"/>
              <w:rPr>
                <w:sz w:val="20"/>
                <w:szCs w:val="20"/>
                <w:color w:val="auto"/>
              </w:rPr>
            </w:pPr>
            <w:r>
              <w:rPr>
                <w:rFonts w:ascii="Arial" w:cs="Arial" w:eastAsia="Arial" w:hAnsi="Arial"/>
                <w:sz w:val="13"/>
                <w:szCs w:val="13"/>
                <w:color w:val="auto"/>
              </w:rPr>
              <w:t>United Airlines, Inc.</w:t>
            </w:r>
          </w:p>
        </w:tc>
        <w:tc>
          <w:tcPr>
            <w:tcW w:w="2240" w:type="dxa"/>
            <w:vAlign w:val="bottom"/>
          </w:tcPr>
          <w:p>
            <w:pPr>
              <w:ind w:left="1980"/>
              <w:spacing w:after="0"/>
              <w:rPr>
                <w:sz w:val="20"/>
                <w:szCs w:val="20"/>
                <w:color w:val="auto"/>
              </w:rPr>
            </w:pPr>
            <w:r>
              <w:rPr>
                <w:rFonts w:ascii="Arial" w:cs="Arial" w:eastAsia="Arial" w:hAnsi="Arial"/>
                <w:sz w:val="13"/>
                <w:szCs w:val="13"/>
                <w:color w:val="auto"/>
              </w:rPr>
              <w:t>Yes</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420" w:type="dxa"/>
            <w:vAlign w:val="bottom"/>
          </w:tcPr>
          <w:p>
            <w:pPr>
              <w:ind w:left="120"/>
              <w:spacing w:after="0"/>
              <w:rPr>
                <w:sz w:val="20"/>
                <w:szCs w:val="20"/>
                <w:color w:val="auto"/>
              </w:rPr>
            </w:pPr>
            <w:r>
              <w:rPr>
                <w:rFonts w:ascii="Arial" w:cs="Arial" w:eastAsia="Arial" w:hAnsi="Arial"/>
                <w:sz w:val="13"/>
                <w:szCs w:val="13"/>
                <w:color w:val="auto"/>
              </w:rPr>
              <w:t>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03"/>
        </w:trPr>
        <w:tc>
          <w:tcPr>
            <w:tcW w:w="11080" w:type="dxa"/>
            <w:vAlign w:val="bottom"/>
            <w:gridSpan w:val="9"/>
          </w:tcPr>
          <w:p>
            <w:pPr>
              <w:spacing w:after="0"/>
              <w:rPr>
                <w:sz w:val="20"/>
                <w:szCs w:val="20"/>
                <w:color w:val="auto"/>
              </w:rPr>
            </w:pPr>
            <w:r>
              <w:rPr>
                <w:rFonts w:ascii="Arial" w:cs="Arial" w:eastAsia="Arial" w:hAnsi="Arial"/>
                <w:sz w:val="13"/>
                <w:szCs w:val="13"/>
                <w:color w:val="auto"/>
                <w:w w:val="88"/>
              </w:rPr>
              <w:t>Indicate by check mark whether the registrant has submitted electronically every Interactive Data File required to be submitted pursuant to Rule 405 of Regulation S-T (§232.405 of this Chapter) during the preceding 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3"/>
                <w:szCs w:val="13"/>
                <w:color w:val="auto"/>
                <w:w w:val="92"/>
              </w:rPr>
              <w:t>months (or for such shorter period that the registrant was required to submit such files).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320" w:type="dxa"/>
            <w:vAlign w:val="bottom"/>
          </w:tcPr>
          <w:p>
            <w:pPr>
              <w:ind w:left="40"/>
              <w:spacing w:after="0"/>
              <w:rPr>
                <w:sz w:val="20"/>
                <w:szCs w:val="20"/>
                <w:color w:val="auto"/>
              </w:rPr>
            </w:pPr>
            <w:r>
              <w:rPr>
                <w:rFonts w:ascii="Arial" w:cs="Arial" w:eastAsia="Arial" w:hAnsi="Arial"/>
                <w:sz w:val="13"/>
                <w:szCs w:val="13"/>
                <w:color w:val="auto"/>
              </w:rPr>
              <w:t>United Airlines Holdings, Inc.</w:t>
            </w:r>
          </w:p>
        </w:tc>
        <w:tc>
          <w:tcPr>
            <w:tcW w:w="1340" w:type="dxa"/>
            <w:vAlign w:val="bottom"/>
          </w:tcPr>
          <w:p>
            <w:pPr>
              <w:ind w:left="1060"/>
              <w:spacing w:after="0"/>
              <w:rPr>
                <w:sz w:val="20"/>
                <w:szCs w:val="20"/>
                <w:color w:val="auto"/>
              </w:rPr>
            </w:pPr>
            <w:r>
              <w:rPr>
                <w:rFonts w:ascii="Arial" w:cs="Arial" w:eastAsia="Arial" w:hAnsi="Arial"/>
                <w:sz w:val="13"/>
                <w:szCs w:val="13"/>
                <w:color w:val="auto"/>
              </w:rPr>
              <w:t>Yes</w:t>
            </w:r>
          </w:p>
        </w:tc>
        <w:tc>
          <w:tcPr>
            <w:tcW w:w="38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40"/>
              <w:spacing w:after="0"/>
              <w:rPr>
                <w:sz w:val="20"/>
                <w:szCs w:val="20"/>
                <w:color w:val="auto"/>
              </w:rPr>
            </w:pPr>
            <w:r>
              <w:rPr>
                <w:rFonts w:ascii="Arial" w:cs="Arial" w:eastAsia="Arial" w:hAnsi="Arial"/>
                <w:sz w:val="13"/>
                <w:szCs w:val="13"/>
                <w:color w:val="auto"/>
              </w:rPr>
              <w:t>No</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440" w:type="dxa"/>
            <w:vAlign w:val="bottom"/>
          </w:tcPr>
          <w:p>
            <w:pPr>
              <w:ind w:left="320"/>
              <w:spacing w:after="0"/>
              <w:rPr>
                <w:sz w:val="20"/>
                <w:szCs w:val="20"/>
                <w:color w:val="auto"/>
              </w:rPr>
            </w:pPr>
            <w:r>
              <w:rPr>
                <w:rFonts w:ascii="Arial" w:cs="Arial" w:eastAsia="Arial" w:hAnsi="Arial"/>
                <w:sz w:val="13"/>
                <w:szCs w:val="13"/>
                <w:color w:val="auto"/>
              </w:rPr>
              <w:t>United Airlines, Inc.</w:t>
            </w:r>
          </w:p>
        </w:tc>
        <w:tc>
          <w:tcPr>
            <w:tcW w:w="2240" w:type="dxa"/>
            <w:vAlign w:val="bottom"/>
          </w:tcPr>
          <w:p>
            <w:pPr>
              <w:ind w:left="1980"/>
              <w:spacing w:after="0"/>
              <w:rPr>
                <w:sz w:val="20"/>
                <w:szCs w:val="20"/>
                <w:color w:val="auto"/>
              </w:rPr>
            </w:pPr>
            <w:r>
              <w:rPr>
                <w:rFonts w:ascii="Arial" w:cs="Arial" w:eastAsia="Arial" w:hAnsi="Arial"/>
                <w:sz w:val="13"/>
                <w:szCs w:val="13"/>
                <w:color w:val="auto"/>
              </w:rPr>
              <w:t>Yes</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420" w:type="dxa"/>
            <w:vAlign w:val="bottom"/>
          </w:tcPr>
          <w:p>
            <w:pPr>
              <w:ind w:left="120"/>
              <w:spacing w:after="0"/>
              <w:rPr>
                <w:sz w:val="20"/>
                <w:szCs w:val="20"/>
                <w:color w:val="auto"/>
              </w:rPr>
            </w:pPr>
            <w:r>
              <w:rPr>
                <w:rFonts w:ascii="Arial" w:cs="Arial" w:eastAsia="Arial" w:hAnsi="Arial"/>
                <w:sz w:val="13"/>
                <w:szCs w:val="13"/>
                <w:color w:val="auto"/>
              </w:rPr>
              <w:t>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2"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p>
      <w:pPr>
        <w:ind w:left="40"/>
        <w:spacing w:after="0" w:line="150" w:lineRule="exact"/>
        <w:tabs>
          <w:tab w:leader="none" w:pos="3020" w:val="left"/>
          <w:tab w:leader="none" w:pos="4360" w:val="left"/>
          <w:tab w:leader="none" w:pos="4720" w:val="left"/>
          <w:tab w:leader="none" w:pos="5740" w:val="left"/>
          <w:tab w:leader="none" w:pos="6100" w:val="left"/>
          <w:tab w:leader="none" w:pos="7340" w:val="left"/>
          <w:tab w:leader="none" w:pos="7720" w:val="left"/>
          <w:tab w:leader="none" w:pos="9300" w:val="left"/>
          <w:tab w:leader="none" w:pos="9640" w:val="left"/>
          <w:tab w:leader="none" w:pos="1122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9"/>
          <w:szCs w:val="9"/>
          <w:color w:val="auto"/>
        </w:rPr>
        <w:t>☐</w:t>
      </w:r>
    </w:p>
    <w:p>
      <w:pPr>
        <w:spacing w:after="0" w:line="53" w:lineRule="exact"/>
        <w:rPr>
          <w:sz w:val="24"/>
          <w:szCs w:val="24"/>
          <w:color w:val="auto"/>
        </w:rPr>
      </w:pPr>
    </w:p>
    <w:p>
      <w:pPr>
        <w:ind w:left="40"/>
        <w:spacing w:after="0" w:line="150" w:lineRule="exact"/>
        <w:tabs>
          <w:tab w:leader="none" w:pos="3020" w:val="left"/>
          <w:tab w:leader="none" w:pos="4360" w:val="left"/>
          <w:tab w:leader="none" w:pos="4720" w:val="left"/>
          <w:tab w:leader="none" w:pos="5740" w:val="left"/>
          <w:tab w:leader="none" w:pos="6100" w:val="left"/>
          <w:tab w:leader="none" w:pos="7340" w:val="left"/>
          <w:tab w:leader="none" w:pos="7720" w:val="left"/>
          <w:tab w:leader="none" w:pos="9300" w:val="left"/>
          <w:tab w:leader="none" w:pos="9640" w:val="left"/>
          <w:tab w:leader="none" w:pos="1122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9"/>
          <w:szCs w:val="9"/>
          <w:color w:val="auto"/>
        </w:rPr>
        <w:t>☐</w:t>
      </w:r>
    </w:p>
    <w:p>
      <w:pPr>
        <w:spacing w:after="0" w:line="78" w:lineRule="exact"/>
        <w:rPr>
          <w:sz w:val="24"/>
          <w:szCs w:val="24"/>
          <w:color w:val="auto"/>
        </w:rPr>
      </w:pPr>
    </w:p>
    <w:p>
      <w:pPr>
        <w:ind w:right="80"/>
        <w:spacing w:after="0" w:line="364"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40"/>
        <w:spacing w:after="0" w:line="150" w:lineRule="exact"/>
        <w:tabs>
          <w:tab w:leader="none" w:pos="334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MS PGothic" w:cs="MS PGothic" w:eastAsia="MS PGothic" w:hAnsi="MS PGothic"/>
          <w:sz w:val="12"/>
          <w:szCs w:val="12"/>
          <w:color w:val="auto"/>
        </w:rPr>
        <w:t>☐</w:t>
      </w:r>
    </w:p>
    <w:p>
      <w:pPr>
        <w:spacing w:after="0" w:line="49" w:lineRule="exact"/>
        <w:rPr>
          <w:sz w:val="24"/>
          <w:szCs w:val="24"/>
          <w:color w:val="auto"/>
        </w:rPr>
      </w:pPr>
    </w:p>
    <w:p>
      <w:pPr>
        <w:ind w:left="40"/>
        <w:spacing w:after="0" w:line="181" w:lineRule="exact"/>
        <w:tabs>
          <w:tab w:leader="none" w:pos="334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MS PGothic" w:cs="MS PGothic" w:eastAsia="MS PGothic" w:hAnsi="MS PGothic"/>
          <w:sz w:val="18"/>
          <w:szCs w:val="18"/>
          <w:color w:val="auto"/>
          <w:vertAlign w:val="subscript"/>
        </w:rPr>
        <w:t>☐</w:t>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29"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2420" w:type="dxa"/>
            <w:vAlign w:val="bottom"/>
          </w:tcPr>
          <w:p>
            <w:pPr>
              <w:spacing w:after="0"/>
              <w:rPr>
                <w:sz w:val="20"/>
                <w:szCs w:val="20"/>
                <w:color w:val="auto"/>
              </w:rPr>
            </w:pPr>
            <w:r>
              <w:rPr>
                <w:rFonts w:ascii="Arial" w:cs="Arial" w:eastAsia="Arial" w:hAnsi="Arial"/>
                <w:sz w:val="13"/>
                <w:szCs w:val="13"/>
                <w:color w:val="auto"/>
              </w:rPr>
              <w:t>United Airlines Holdings, Inc.</w:t>
            </w:r>
          </w:p>
        </w:tc>
        <w:tc>
          <w:tcPr>
            <w:tcW w:w="1180" w:type="dxa"/>
            <w:vAlign w:val="bottom"/>
          </w:tcPr>
          <w:p>
            <w:pPr>
              <w:ind w:left="900"/>
              <w:spacing w:after="0"/>
              <w:rPr>
                <w:sz w:val="20"/>
                <w:szCs w:val="20"/>
                <w:color w:val="auto"/>
              </w:rPr>
            </w:pPr>
            <w:r>
              <w:rPr>
                <w:rFonts w:ascii="Arial" w:cs="Arial" w:eastAsia="Arial" w:hAnsi="Arial"/>
                <w:sz w:val="13"/>
                <w:szCs w:val="13"/>
                <w:color w:val="auto"/>
              </w:rPr>
              <w:t>Yes</w:t>
            </w:r>
          </w:p>
        </w:tc>
        <w:tc>
          <w:tcPr>
            <w:tcW w:w="2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60"/>
              <w:spacing w:after="0"/>
              <w:rPr>
                <w:sz w:val="20"/>
                <w:szCs w:val="20"/>
                <w:color w:val="auto"/>
              </w:rPr>
            </w:pPr>
            <w:r>
              <w:rPr>
                <w:rFonts w:ascii="Arial" w:cs="Arial" w:eastAsia="Arial" w:hAnsi="Arial"/>
                <w:sz w:val="13"/>
                <w:szCs w:val="13"/>
                <w:color w:val="auto"/>
              </w:rPr>
              <w:t>No</w:t>
            </w:r>
          </w:p>
        </w:tc>
        <w:tc>
          <w:tcPr>
            <w:tcW w:w="200" w:type="dxa"/>
            <w:vAlign w:val="bottom"/>
          </w:tcPr>
          <w:p>
            <w:pPr>
              <w:ind w:left="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68"/>
        </w:trPr>
        <w:tc>
          <w:tcPr>
            <w:tcW w:w="2420" w:type="dxa"/>
            <w:vAlign w:val="bottom"/>
          </w:tcPr>
          <w:p>
            <w:pPr>
              <w:spacing w:after="0"/>
              <w:rPr>
                <w:sz w:val="20"/>
                <w:szCs w:val="20"/>
                <w:color w:val="auto"/>
              </w:rPr>
            </w:pPr>
            <w:r>
              <w:rPr>
                <w:rFonts w:ascii="Arial" w:cs="Arial" w:eastAsia="Arial" w:hAnsi="Arial"/>
                <w:sz w:val="13"/>
                <w:szCs w:val="13"/>
                <w:color w:val="auto"/>
              </w:rPr>
              <w:t>United Airlines, Inc.</w:t>
            </w:r>
          </w:p>
        </w:tc>
        <w:tc>
          <w:tcPr>
            <w:tcW w:w="1180" w:type="dxa"/>
            <w:vAlign w:val="bottom"/>
          </w:tcPr>
          <w:p>
            <w:pPr>
              <w:ind w:left="900"/>
              <w:spacing w:after="0"/>
              <w:rPr>
                <w:sz w:val="20"/>
                <w:szCs w:val="20"/>
                <w:color w:val="auto"/>
              </w:rPr>
            </w:pPr>
            <w:r>
              <w:rPr>
                <w:rFonts w:ascii="Arial" w:cs="Arial" w:eastAsia="Arial" w:hAnsi="Arial"/>
                <w:sz w:val="13"/>
                <w:szCs w:val="13"/>
                <w:color w:val="auto"/>
              </w:rPr>
              <w:t>Yes</w:t>
            </w:r>
          </w:p>
        </w:tc>
        <w:tc>
          <w:tcPr>
            <w:tcW w:w="2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60"/>
              <w:spacing w:after="0"/>
              <w:rPr>
                <w:sz w:val="20"/>
                <w:szCs w:val="20"/>
                <w:color w:val="auto"/>
              </w:rPr>
            </w:pPr>
            <w:r>
              <w:rPr>
                <w:rFonts w:ascii="Arial" w:cs="Arial" w:eastAsia="Arial" w:hAnsi="Arial"/>
                <w:sz w:val="13"/>
                <w:szCs w:val="13"/>
                <w:color w:val="auto"/>
              </w:rPr>
              <w:t>No</w:t>
            </w:r>
          </w:p>
        </w:tc>
        <w:tc>
          <w:tcPr>
            <w:tcW w:w="200" w:type="dxa"/>
            <w:vAlign w:val="bottom"/>
          </w:tcPr>
          <w:p>
            <w:pPr>
              <w:ind w:left="100"/>
              <w:spacing w:after="0" w:line="111" w:lineRule="exact"/>
              <w:rPr>
                <w:sz w:val="20"/>
                <w:szCs w:val="20"/>
                <w:color w:val="auto"/>
              </w:rPr>
            </w:pPr>
            <w:r>
              <w:rPr>
                <w:rFonts w:ascii="MS PGothic" w:cs="MS PGothic" w:eastAsia="MS PGothic" w:hAnsi="MS PGothic"/>
                <w:sz w:val="11"/>
                <w:szCs w:val="11"/>
                <w:color w:val="auto"/>
                <w:w w:val="72"/>
              </w:rPr>
              <w:t>☒</w:t>
            </w:r>
          </w:p>
        </w:tc>
      </w:tr>
    </w:tbl>
    <w:p>
      <w:pPr>
        <w:ind w:right="100"/>
        <w:spacing w:after="0" w:line="238" w:lineRule="auto"/>
        <w:rPr>
          <w:sz w:val="20"/>
          <w:szCs w:val="20"/>
          <w:color w:val="auto"/>
        </w:rPr>
      </w:pPr>
      <w:r>
        <w:rPr>
          <w:rFonts w:ascii="Arial" w:cs="Arial" w:eastAsia="Arial" w:hAnsi="Arial"/>
          <w:sz w:val="13"/>
          <w:szCs w:val="13"/>
          <w:color w:val="auto"/>
        </w:rPr>
        <w:t>The aggregate market value of common stock held by non-affiliates of United Airlines Holdings, Inc. was $21.1 billion as of June 28, 2019, based on the closing sale price of $87.55 on that date. There is no market for United Airlines, Inc. common stock.</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February 18, 2020.</w:t>
      </w:r>
    </w:p>
    <w:p>
      <w:pPr>
        <w:spacing w:after="0" w:line="151" w:lineRule="exact"/>
        <w:rPr>
          <w:sz w:val="24"/>
          <w:szCs w:val="24"/>
          <w:color w:val="auto"/>
        </w:rPr>
      </w:pPr>
    </w:p>
    <w:tbl>
      <w:tblPr>
        <w:tblLayout w:type="fixed"/>
        <w:tblInd w:w="40" w:type="dxa"/>
        <w:tblCellMar>
          <w:top w:w="0" w:type="dxa"/>
          <w:left w:w="0" w:type="dxa"/>
          <w:bottom w:w="0" w:type="dxa"/>
          <w:right w:w="0" w:type="dxa"/>
        </w:tblCellMar>
      </w:tblPr>
      <w:tr>
        <w:trPr>
          <w:trHeight w:val="160"/>
        </w:trPr>
        <w:tc>
          <w:tcPr>
            <w:tcW w:w="1740" w:type="dxa"/>
            <w:vAlign w:val="bottom"/>
          </w:tcPr>
          <w:p>
            <w:pPr>
              <w:spacing w:after="0"/>
              <w:rPr>
                <w:sz w:val="20"/>
                <w:szCs w:val="20"/>
                <w:color w:val="auto"/>
              </w:rPr>
            </w:pPr>
            <w:r>
              <w:rPr>
                <w:rFonts w:ascii="Arial" w:cs="Arial" w:eastAsia="Arial" w:hAnsi="Arial"/>
                <w:sz w:val="13"/>
                <w:szCs w:val="13"/>
                <w:color w:val="auto"/>
              </w:rPr>
              <w:t>United Airlines Holdings, Inc.</w:t>
            </w:r>
          </w:p>
        </w:tc>
        <w:tc>
          <w:tcPr>
            <w:tcW w:w="920" w:type="dxa"/>
            <w:vAlign w:val="bottom"/>
            <w:vMerge w:val="restart"/>
          </w:tcPr>
          <w:p>
            <w:pPr>
              <w:ind w:left="200"/>
              <w:spacing w:after="0"/>
              <w:rPr>
                <w:sz w:val="20"/>
                <w:szCs w:val="20"/>
                <w:color w:val="auto"/>
              </w:rPr>
            </w:pPr>
            <w:r>
              <w:rPr>
                <w:rFonts w:ascii="Arial" w:cs="Arial" w:eastAsia="Arial" w:hAnsi="Arial"/>
                <w:sz w:val="13"/>
                <w:szCs w:val="13"/>
                <w:color w:val="auto"/>
                <w:w w:val="96"/>
              </w:rPr>
              <w:t>247,951,116</w:t>
            </w:r>
          </w:p>
        </w:tc>
        <w:tc>
          <w:tcPr>
            <w:tcW w:w="4680" w:type="dxa"/>
            <w:vAlign w:val="bottom"/>
            <w:vMerge w:val="restart"/>
          </w:tcPr>
          <w:p>
            <w:pPr>
              <w:ind w:left="80"/>
              <w:spacing w:after="0"/>
              <w:rPr>
                <w:sz w:val="20"/>
                <w:szCs w:val="20"/>
                <w:color w:val="auto"/>
              </w:rPr>
            </w:pPr>
            <w:r>
              <w:rPr>
                <w:rFonts w:ascii="Arial" w:cs="Arial" w:eastAsia="Arial" w:hAnsi="Arial"/>
                <w:sz w:val="13"/>
                <w:szCs w:val="13"/>
                <w:color w:val="auto"/>
              </w:rPr>
              <w:t>shares of common stock ($0.01 par value)</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4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3"/>
                <w:szCs w:val="13"/>
                <w:color w:val="auto"/>
              </w:rPr>
              <w:t>United Airlines, Inc.</w:t>
            </w:r>
          </w:p>
        </w:tc>
        <w:tc>
          <w:tcPr>
            <w:tcW w:w="920" w:type="dxa"/>
            <w:vAlign w:val="bottom"/>
            <w:vMerge w:val="restart"/>
          </w:tcPr>
          <w:p>
            <w:pPr>
              <w:ind w:left="200"/>
              <w:spacing w:after="0"/>
              <w:rPr>
                <w:sz w:val="20"/>
                <w:szCs w:val="20"/>
                <w:color w:val="auto"/>
              </w:rPr>
            </w:pPr>
            <w:r>
              <w:rPr>
                <w:rFonts w:ascii="Arial" w:cs="Arial" w:eastAsia="Arial" w:hAnsi="Arial"/>
                <w:sz w:val="13"/>
                <w:szCs w:val="13"/>
                <w:color w:val="auto"/>
              </w:rPr>
              <w:t>1,000</w:t>
            </w:r>
          </w:p>
        </w:tc>
        <w:tc>
          <w:tcPr>
            <w:tcW w:w="4680" w:type="dxa"/>
            <w:vAlign w:val="bottom"/>
            <w:vMerge w:val="restart"/>
          </w:tcPr>
          <w:p>
            <w:pPr>
              <w:ind w:left="80"/>
              <w:spacing w:after="0"/>
              <w:rPr>
                <w:sz w:val="20"/>
                <w:szCs w:val="20"/>
                <w:color w:val="auto"/>
              </w:rPr>
            </w:pPr>
            <w:r>
              <w:rPr>
                <w:rFonts w:ascii="Arial" w:cs="Arial" w:eastAsia="Arial" w:hAnsi="Arial"/>
                <w:sz w:val="13"/>
                <w:szCs w:val="13"/>
                <w:color w:val="auto"/>
                <w:w w:val="88"/>
              </w:rPr>
              <w:t>shares of common stock ($0.01 par value) (100% owned by United Airlines Holdings, Inc.)</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4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This combined Form 10-K is separately filed by United Airlines Holdings, Inc. and United Airlines, Inc.</w:t>
      </w:r>
    </w:p>
    <w:p>
      <w:pPr>
        <w:spacing w:after="0" w:line="8" w:lineRule="exact"/>
        <w:rPr>
          <w:sz w:val="24"/>
          <w:szCs w:val="24"/>
          <w:color w:val="auto"/>
        </w:rPr>
      </w:pPr>
    </w:p>
    <w:p>
      <w:pPr>
        <w:ind w:left="4500"/>
        <w:spacing w:after="0"/>
        <w:rPr>
          <w:sz w:val="20"/>
          <w:szCs w:val="20"/>
          <w:color w:val="auto"/>
        </w:rPr>
      </w:pPr>
      <w:r>
        <w:rPr>
          <w:rFonts w:ascii="Arial" w:cs="Arial" w:eastAsia="Arial" w:hAnsi="Arial"/>
          <w:sz w:val="13"/>
          <w:szCs w:val="13"/>
          <w:b w:val="1"/>
          <w:bCs w:val="1"/>
          <w:color w:val="auto"/>
        </w:rPr>
        <w:t>OMISSION OF CERTAIN INFORMATION</w:t>
      </w:r>
    </w:p>
    <w:p>
      <w:pPr>
        <w:spacing w:after="0"/>
        <w:rPr>
          <w:sz w:val="20"/>
          <w:szCs w:val="20"/>
          <w:color w:val="auto"/>
        </w:rPr>
      </w:pPr>
      <w:r>
        <w:rPr>
          <w:rFonts w:ascii="Arial" w:cs="Arial" w:eastAsia="Arial" w:hAnsi="Arial"/>
          <w:sz w:val="12"/>
          <w:szCs w:val="12"/>
          <w:color w:val="auto"/>
        </w:rPr>
        <w:t>United Airlines, Inc. meets the conditions set forth in General Instruction I(1)(a) and (b) of Form 10-K and is therefore filing this form with the reduced disclosure format allowed under that General Instruction.</w:t>
      </w:r>
    </w:p>
    <w:p>
      <w:pPr>
        <w:spacing w:after="0" w:line="10"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DOCUMENTS INCORPORATED BY REFERENCE</w:t>
      </w:r>
    </w:p>
    <w:p>
      <w:pPr>
        <w:ind w:right="560"/>
        <w:spacing w:after="0" w:line="239" w:lineRule="auto"/>
        <w:rPr>
          <w:sz w:val="20"/>
          <w:szCs w:val="20"/>
          <w:color w:val="auto"/>
        </w:rPr>
      </w:pPr>
      <w:r>
        <w:rPr>
          <w:rFonts w:ascii="Arial" w:cs="Arial" w:eastAsia="Arial" w:hAnsi="Arial"/>
          <w:sz w:val="13"/>
          <w:szCs w:val="13"/>
          <w:color w:val="auto"/>
        </w:rPr>
        <w:t>Certain information required by Items 10, 11, 12 and 13 of Part III of this Form 10-K is incorporated by reference for United Airlines Holdings, Inc. from its definitive proxy statement for its 2020 Annual Meeting of Stockholders.</w:t>
      </w:r>
    </w:p>
    <w:p>
      <w:pPr>
        <w:sectPr>
          <w:pgSz w:w="11900" w:h="16838" w:orient="portrait"/>
          <w:cols w:equalWidth="0" w:num="1">
            <w:col w:w="11420"/>
          </w:cols>
          <w:pgMar w:left="240" w:top="423" w:right="239" w:bottom="1012"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80" w:type="dxa"/>
            <w:vAlign w:val="bottom"/>
            <w:gridSpan w:val="12"/>
          </w:tcPr>
          <w:p>
            <w:pPr>
              <w:jc w:val="center"/>
              <w:ind w:right="1300"/>
              <w:spacing w:after="0"/>
              <w:rPr>
                <w:sz w:val="20"/>
                <w:szCs w:val="20"/>
                <w:color w:val="auto"/>
              </w:rPr>
            </w:pPr>
            <w:r>
              <w:rPr>
                <w:rFonts w:ascii="Arial" w:cs="Arial" w:eastAsia="Arial" w:hAnsi="Arial"/>
                <w:sz w:val="18"/>
                <w:szCs w:val="18"/>
                <w:b w:val="1"/>
                <w:bCs w:val="1"/>
                <w:color w:val="auto"/>
                <w:w w:val="90"/>
              </w:rPr>
              <w:t>United Airlines Holdings, Inc. and Subsidiary Companies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80" w:type="dxa"/>
            <w:vAlign w:val="bottom"/>
            <w:gridSpan w:val="12"/>
          </w:tcPr>
          <w:p>
            <w:pPr>
              <w:jc w:val="center"/>
              <w:ind w:right="1280"/>
              <w:spacing w:after="0"/>
              <w:rPr>
                <w:sz w:val="20"/>
                <w:szCs w:val="20"/>
                <w:color w:val="auto"/>
              </w:rPr>
            </w:pPr>
            <w:r>
              <w:rPr>
                <w:rFonts w:ascii="Arial" w:cs="Arial" w:eastAsia="Arial" w:hAnsi="Arial"/>
                <w:sz w:val="18"/>
                <w:szCs w:val="18"/>
                <w:b w:val="1"/>
                <w:bCs w:val="1"/>
                <w:color w:val="auto"/>
                <w:w w:val="91"/>
              </w:rPr>
              <w:t>United Airlines, Inc. and Subsidiary Companies</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w w:val="93"/>
              </w:rPr>
              <w:t>Annual Report on Form 10-K</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4"/>
          </w:tcPr>
          <w:p>
            <w:pPr>
              <w:ind w:left="7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40" w:type="dxa"/>
            <w:vAlign w:val="bottom"/>
            <w:gridSpan w:val="7"/>
            <w:vMerge w:val="restart"/>
          </w:tcPr>
          <w:p>
            <w:pPr>
              <w:jc w:val="center"/>
              <w:ind w:right="3340"/>
              <w:spacing w:after="0"/>
              <w:rPr>
                <w:sz w:val="20"/>
                <w:szCs w:val="20"/>
                <w:color w:val="auto"/>
              </w:rPr>
            </w:pPr>
            <w:r>
              <w:rPr>
                <w:rFonts w:ascii="Arial" w:cs="Arial" w:eastAsia="Arial" w:hAnsi="Arial"/>
                <w:sz w:val="18"/>
                <w:szCs w:val="18"/>
                <w:b w:val="1"/>
                <w:bCs w:val="1"/>
                <w:color w:val="auto"/>
                <w:w w:val="98"/>
              </w:rPr>
              <w:t>PART I</w:t>
            </w: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40" w:type="dxa"/>
            <w:vAlign w:val="bottom"/>
            <w:gridSpan w:val="7"/>
            <w:vMerge w:val="continue"/>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880" w:type="dxa"/>
            <w:vAlign w:val="bottom"/>
            <w:gridSpan w:val="20"/>
          </w:tcPr>
          <w:p>
            <w:pPr>
              <w:spacing w:after="0"/>
              <w:rPr>
                <w:sz w:val="19"/>
                <w:szCs w:val="19"/>
                <w:color w:val="auto"/>
              </w:rPr>
            </w:pPr>
          </w:p>
        </w:tc>
        <w:tc>
          <w:tcPr>
            <w:tcW w:w="170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7620" w:type="dxa"/>
            <w:vAlign w:val="bottom"/>
            <w:gridSpan w:val="18"/>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85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6480" w:type="dxa"/>
            <w:vAlign w:val="bottom"/>
            <w:gridSpan w:val="1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85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852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gridSpan w:val="7"/>
          </w:tcPr>
          <w:p>
            <w:pPr>
              <w:jc w:val="center"/>
              <w:ind w:right="3340"/>
              <w:spacing w:after="0"/>
              <w:rPr>
                <w:sz w:val="20"/>
                <w:szCs w:val="20"/>
                <w:color w:val="auto"/>
              </w:rPr>
            </w:pPr>
            <w:r>
              <w:rPr>
                <w:rFonts w:ascii="Arial" w:cs="Arial" w:eastAsia="Arial" w:hAnsi="Arial"/>
                <w:sz w:val="18"/>
                <w:szCs w:val="18"/>
                <w:b w:val="1"/>
                <w:bCs w:val="1"/>
                <w:color w:val="auto"/>
              </w:rPr>
              <w:t>PART II</w:t>
            </w:r>
          </w:p>
        </w:tc>
        <w:tc>
          <w:tcPr>
            <w:tcW w:w="1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gridSpan w:val="20"/>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460" w:type="dxa"/>
            <w:vAlign w:val="bottom"/>
          </w:tcPr>
          <w:p>
            <w:pPr>
              <w:spacing w:after="0"/>
              <w:rPr>
                <w:sz w:val="19"/>
                <w:szCs w:val="19"/>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460" w:type="dxa"/>
            <w:vAlign w:val="bottom"/>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7"/>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080" w:type="dxa"/>
            <w:vAlign w:val="bottom"/>
            <w:gridSpan w:val="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2080" w:type="dxa"/>
            <w:vAlign w:val="bottom"/>
            <w:gridSpan w:val="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416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940" w:type="dxa"/>
            <w:vAlign w:val="bottom"/>
            <w:gridSpan w:val="13"/>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Combined Notes to Consolidated Financial Statements</w:t>
              </w:r>
            </w:hyperlink>
          </w:p>
        </w:tc>
        <w:tc>
          <w:tcPr>
            <w:tcW w:w="4580" w:type="dxa"/>
            <w:vAlign w:val="bottom"/>
            <w:gridSpan w:val="8"/>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8"/>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Changes in and Disagreements with Accountants on Accounting and Financial Disclosure</w:t>
              </w:r>
            </w:hyperlink>
          </w:p>
        </w:tc>
        <w:tc>
          <w:tcPr>
            <w:tcW w:w="2040" w:type="dxa"/>
            <w:vAlign w:val="bottom"/>
            <w:gridSpan w:val="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2040" w:type="dxa"/>
            <w:vAlign w:val="bottom"/>
            <w:gridSpan w:val="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67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gridSpan w:val="7"/>
          </w:tcPr>
          <w:p>
            <w:pPr>
              <w:jc w:val="center"/>
              <w:ind w:right="3320"/>
              <w:spacing w:after="0"/>
              <w:rPr>
                <w:sz w:val="20"/>
                <w:szCs w:val="20"/>
                <w:color w:val="auto"/>
              </w:rPr>
            </w:pPr>
            <w:r>
              <w:rPr>
                <w:rFonts w:ascii="Arial" w:cs="Arial" w:eastAsia="Arial" w:hAnsi="Arial"/>
                <w:sz w:val="18"/>
                <w:szCs w:val="18"/>
                <w:b w:val="1"/>
                <w:bCs w:val="1"/>
                <w:color w:val="auto"/>
              </w:rPr>
              <w:t>PART III</w:t>
            </w:r>
          </w:p>
        </w:tc>
        <w:tc>
          <w:tcPr>
            <w:tcW w:w="1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852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Directors, Executive Officers and Corporate Governance</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Executive Compensation</w:t>
              </w:r>
            </w:hyperlink>
          </w:p>
        </w:tc>
        <w:tc>
          <w:tcPr>
            <w:tcW w:w="2280" w:type="dxa"/>
            <w:vAlign w:val="bottom"/>
            <w:gridSpan w:val="6"/>
          </w:tcPr>
          <w:p>
            <w:pPr>
              <w:spacing w:after="0"/>
              <w:rPr>
                <w:sz w:val="21"/>
                <w:szCs w:val="21"/>
                <w:color w:val="auto"/>
              </w:rPr>
            </w:pPr>
          </w:p>
        </w:tc>
        <w:tc>
          <w:tcPr>
            <w:tcW w:w="4440" w:type="dxa"/>
            <w:vAlign w:val="bottom"/>
            <w:gridSpan w:val="7"/>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852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Security Ownership of Certain Beneficial Owners and Management and Related Stockholder Matters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Certain Relationships and Related Transactions, and Director Independence</w:t>
              </w:r>
            </w:hyperlink>
          </w:p>
        </w:tc>
        <w:tc>
          <w:tcPr>
            <w:tcW w:w="124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Principal Accountant Fees and Services</w:t>
              </w:r>
            </w:hyperlink>
          </w:p>
        </w:tc>
        <w:tc>
          <w:tcPr>
            <w:tcW w:w="3080" w:type="dxa"/>
            <w:vAlign w:val="bottom"/>
            <w:gridSpan w:val="5"/>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gridSpan w:val="7"/>
          </w:tcPr>
          <w:p>
            <w:pPr>
              <w:jc w:val="center"/>
              <w:ind w:right="3320"/>
              <w:spacing w:after="0"/>
              <w:rPr>
                <w:sz w:val="20"/>
                <w:szCs w:val="20"/>
                <w:color w:val="auto"/>
              </w:rPr>
            </w:pPr>
            <w:r>
              <w:rPr>
                <w:rFonts w:ascii="Arial" w:cs="Arial" w:eastAsia="Arial" w:hAnsi="Arial"/>
                <w:sz w:val="18"/>
                <w:szCs w:val="18"/>
                <w:b w:val="1"/>
                <w:bCs w:val="1"/>
                <w:color w:val="auto"/>
              </w:rPr>
              <w:t>PART IV</w:t>
            </w:r>
          </w:p>
        </w:tc>
        <w:tc>
          <w:tcPr>
            <w:tcW w:w="1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Exhibits and Financial Statement Schedules</w:t>
              </w:r>
            </w:hyperlink>
          </w:p>
        </w:tc>
        <w:tc>
          <w:tcPr>
            <w:tcW w:w="5360" w:type="dxa"/>
            <w:vAlign w:val="bottom"/>
            <w:gridSpan w:val="10"/>
          </w:tcPr>
          <w:p>
            <w:pPr>
              <w:spacing w:after="0"/>
              <w:rPr>
                <w:sz w:val="19"/>
                <w:szCs w:val="19"/>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5360" w:type="dxa"/>
            <w:vAlign w:val="bottom"/>
            <w:gridSpan w:val="10"/>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84"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This Annual Report on Form 10-K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United Airlines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2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UAL was incorporated under the laws of the State of Delaware on December 30, 1968. Effective June 27, 2019, UAL amended its Certificate of Incorporation to change its name to "United Airlines Holdings, Inc." Our principal executive office is located at 233 South Wacker Drive, Chicago, Illinois 60606 (telephone number (872) 825-4000).</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website is located at www.united.com and its investor relations website is located at ir.united.com. The information contained on or connected to the Company's websites is not incorporated by reference into this Annual Report on Form 10-K and should not be considered part of this or any other report filed with the U.S. Securities and Exchange Commission ("SEC"). The Company's filings with the SEC, including annual reports on Form 10-K, quarterly reports on Form 10-Q, current reports on Form 8-K, and all amendments to those reports, as well as UAL's proxy statement for its annual meeting of stockholders, are accessible without charge on the Company's investor relations website, as soon as reasonably practicable, after such material is electronically filed with, or furnished to, the SEC. Such filings are also available on the SEC's website at www.sec.gov.</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transports people and cargo throughout North America and to destinations in Asia, Europe, Africa, the Pacific, the Middle East and Latin America. UAL, through United and its regional carriers, operates more than 4,900 flights a day to 362 airports across six continents, with hubs at Newark Liberty International Airport ("Newark"), Chicago O'Hare International Airport ("Chicago O'Hare"), Denver International Airport ("Denver"), George Bush Intercontinental Airport ("Houston Bush"), Los Angeles International Airport ("LAX"), A.B. Won Pat International Airport ("Guam"), San Francisco International Airport ("SFO") and Washington Dulles International Airport ("Washington Dulles").</w:t>
      </w:r>
    </w:p>
    <w:p>
      <w:pPr>
        <w:spacing w:after="0" w:line="11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All of the Company's domestic hubs are located in large business and population centers, contributing to a large amount of "origin and destination" traffic. The hub and spoke system allows us to transport passengers between a large number of destinations with substantially more frequent service than if each route were served directly. The hub system also allows us to add service to a new destination from a large number of cities using only one or a limited number of aircraft. As discussed under </w:t>
      </w:r>
      <w:r>
        <w:rPr>
          <w:rFonts w:ascii="Arial" w:cs="Arial" w:eastAsia="Arial" w:hAnsi="Arial"/>
          <w:sz w:val="17"/>
          <w:szCs w:val="17"/>
          <w:i w:val="1"/>
          <w:iCs w:val="1"/>
          <w:color w:val="auto"/>
        </w:rPr>
        <w:t>Alliances</w:t>
      </w:r>
      <w:r>
        <w:rPr>
          <w:rFonts w:ascii="Arial" w:cs="Arial" w:eastAsia="Arial" w:hAnsi="Arial"/>
          <w:sz w:val="17"/>
          <w:szCs w:val="17"/>
          <w:color w:val="auto"/>
        </w:rPr>
        <w:t xml:space="preserve"> below, United is a member of Star Alliance, the world's largest alliance network.</w:t>
      </w:r>
    </w:p>
    <w:p>
      <w:pPr>
        <w:spacing w:after="0" w:line="19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Regional. </w:t>
      </w:r>
      <w:r>
        <w:rPr>
          <w:rFonts w:ascii="Arial" w:cs="Arial" w:eastAsia="Arial" w:hAnsi="Arial"/>
          <w:sz w:val="17"/>
          <w:szCs w:val="17"/>
          <w:color w:val="auto"/>
        </w:rPr>
        <w:t>The Company has contractual relationships with various regional carriers to provide regional aircraft service branded as United Express.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regional service complements our operations by carrying traffic that connects to our hubs and allows flights to smaller cities that cannot be provided economically with mainline aircraft. Champlain Enterprises, LLC d/b/a CommutAir ("CommutAir"), Republic Airline Inc. ("Republic"), ExpressJet Airlines LLC ("ExpressJet"), GoJet Airlines LLC ("GoJet"), Mesa Airlines, Inc. ("Mesa"), SkyWest Airlines, Inc. ("SkyWest"), Air Wisconsin Airlines LLC ("Air Wisconsin"), and Trans States Airlines, LLC ("Trans States") are all regional carriers that operate with capacity contracted to United under capacity purchase agreements ("CPAs"). Under these CPAs, the Company pays the regional carriers contractually agreed fees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84"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(carrier costs) for operating these flights plus a variable rate adjustment based on agreed performance metrics, subject to annual adjustments. The fees are based on specific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In return, the regional carriers operate the capacity of the aircraft included within the scope of such CPA exclusively for United, on schedules determined by the Company. The Company also determines pricing and revenue management, assumes the inventory and distribution risk for the available seats and permits mileage accrual and redemption for regional flights through its MileagePlus loyalty program.</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Alliances. </w:t>
      </w:r>
      <w:r>
        <w:rPr>
          <w:rFonts w:ascii="Arial" w:cs="Arial" w:eastAsia="Arial" w:hAnsi="Arial"/>
          <w:sz w:val="18"/>
          <w:szCs w:val="18"/>
          <w:color w:val="auto"/>
        </w:rPr>
        <w:t>United is a member of Star Alliance, a global integrated airline network and the largest and most comprehensive airline alliance in the world.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1, 2020, Star Alliance carriers served nearly 1,300 airports in 195 countries with more than 19,000 daily departures. Star Alliance members, in addition to United, are Aegean Airlines, Air Canada, Air China, Air India, Air New Zealand, All Nippon Airways ("ANA"), Asiana Airlines, Austrian Airlines, Aerovías del Continente Americano S.A. ("Avianca"), Brussels Airlines, Copa Airlines ("Copa"), Croatia Airlines, EGYPTAIR, Ethiopian Airlines, EVA Air, LOT Polish Airlines, Lufthansa, SAS Scandinavian Airlines, Shenzhen Airlines, Singapore Airlines, South African Airways, SWISS, TAP Air Portugal, THAI Airways International and Turkish Airlines. In addition to its members, Star Alliance includes Shanghai-based Juneyao Airlines as a connecting partner.</w:t>
      </w:r>
    </w:p>
    <w:p>
      <w:pPr>
        <w:spacing w:after="0" w:line="2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United has a variety of bilateral commercial alliance agreements and obligations with Star Alliance members, addressing, among other things, reciprocal earning and redemption of frequent flyer miles, access to airport lounges and, with certain Star Alliance members, codesharing of flight operations (whereby one carrier's selected flights can be marketed under the brand name of another carrier). In addition to the alliance agreements with Star Alliance members, United currently maintains independent marketing alliance agreements with other air carriers, including Aeromar, Aer Lingus, Air Dolomiti, Azul Linhas Aéreas Brasileiras S.A. ("Azul"), Boutique Air, Cape Air, Edelweiss, Eurowings, Hawaiian Airlines, Olympic Air, Silver Airways and Vistara. In addition to the marketing alliance agreements with air partners, United also offers a train-to-plane codeshare and frequent flyer alliance with Amtrak from Newark on select city pairs in the northeastern United States.</w:t>
      </w:r>
    </w:p>
    <w:p>
      <w:pPr>
        <w:spacing w:after="0" w:line="2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United also participates in four passenger joint business arrangements ("JBAs"): one with Air Canada and the Lufthansa Group (which includes Lufthansa and its affiliates Austrian Airlines, Brussels Airlines, Eurowings and SWISS) covering transatlantic routes, one with ANA covering certain transpacific routes, one with Air New Zealand covering certain routes between the United States and New Zealand and one with Avianca and Copa Airlines, which, upon receipt of regulatory approvals will cover routes between the United States and Central and South America, excluding Brazil. These passenger JBAs enable the participating carriers to integrate the services they provide in the respective regions, capturing revenue synergies and delivering enhanced customer benefits, such as highly competitive flight schedules, fares and services. United also participates in cargo JBAs with ANA for transpacific cargo services and with Lufthansa for transatlantic cargo services. These cargo JBAs offer expanded and more seamless access to cargo space across the carriers' respective combined networks.</w:t>
      </w:r>
    </w:p>
    <w:p>
      <w:pPr>
        <w:spacing w:after="0" w:line="2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Loyalty Program. </w:t>
      </w:r>
      <w:r>
        <w:rPr>
          <w:rFonts w:ascii="Arial" w:cs="Arial" w:eastAsia="Arial" w:hAnsi="Arial"/>
          <w:sz w:val="18"/>
          <w:szCs w:val="18"/>
          <w:color w:val="auto"/>
        </w:rPr>
        <w:t>United's MileagePlus loyalty program builds customer loyalty by offering awards, benefits and services to program participants.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program earn miles for flights on United, United Express, Star Alliance members and certain other airlines that participate in the program. Members can also earn miles by purchasing goods and services from our network of non-airline partners, such as domestic and international credit card issuers, retail merchants, hotels and car rental companies. Members can redeem miles for free (other than taxes and government-imposed fees), discounted or upgraded travel and non-travel awards.</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United has an agreement with JPMorgan Chase Bank, N.A. ("Chase"), pursuant to which members of United's MileagePlus loyalty program who are residents of the United States can earn miles for making purchases using a MileagePlus credit card issued by Chase (the "Co-Brand Agreement"). The Co-Brand Agreement also provides for joint marketing and other support for the MileagePlus credit card and provides Chase with other benefits such as permission to market to the Company's customer database.</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2019, approximately 6.1 million MileagePlus flight awards were used on United and United Express. These awards represented 7.2% of United's total revenue passenger miles. Total miles redeemed for flights on United and United Express, including class-of-service upgrades, represented approximately 87% of the total miles redeemed. In addition, excluding miles redeemed for flights on United and United Express, MileagePlus members redeemed miles for approximately 2.2 million other awards. These awards include United Club memberships, car and hotel awards, merchandise and flights on other air carriers.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84"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Aircraft Fuel. </w:t>
      </w:r>
      <w:r>
        <w:rPr>
          <w:rFonts w:ascii="Arial" w:cs="Arial" w:eastAsia="Arial" w:hAnsi="Arial"/>
          <w:sz w:val="18"/>
          <w:szCs w:val="18"/>
          <w:color w:val="auto"/>
        </w:rPr>
        <w:t>The table below summarizes UAL's aircraft fuel consumption and expense during the last three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Gallons Consumed</w:t>
            </w:r>
          </w:p>
        </w:tc>
        <w:tc>
          <w:tcPr>
            <w:tcW w:w="340" w:type="dxa"/>
            <w:vAlign w:val="bottom"/>
          </w:tcPr>
          <w:p>
            <w:pPr>
              <w:spacing w:after="0"/>
              <w:rPr>
                <w:sz w:val="17"/>
                <w:szCs w:val="17"/>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9"/>
              </w:rPr>
              <w:t>Fuel Expense</w:t>
            </w: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Percentage of Total Operating</w:t>
            </w:r>
          </w:p>
        </w:tc>
      </w:tr>
      <w:tr>
        <w:trPr>
          <w:trHeight w:val="210"/>
        </w:trPr>
        <w:tc>
          <w:tcPr>
            <w:tcW w:w="1940" w:type="dxa"/>
            <w:vAlign w:val="bottom"/>
            <w:gridSpan w:val="2"/>
          </w:tcPr>
          <w:p>
            <w:pPr>
              <w:ind w:left="700"/>
              <w:spacing w:after="0"/>
              <w:rPr>
                <w:sz w:val="20"/>
                <w:szCs w:val="20"/>
                <w:color w:val="auto"/>
              </w:rPr>
            </w:pPr>
            <w:r>
              <w:rPr>
                <w:rFonts w:ascii="Arial" w:cs="Arial" w:eastAsia="Arial" w:hAnsi="Arial"/>
                <w:sz w:val="16"/>
                <w:szCs w:val="16"/>
                <w:b w:val="1"/>
                <w:bCs w:val="1"/>
                <w:color w:val="auto"/>
              </w:rPr>
              <w:t>Year</w:t>
            </w:r>
          </w:p>
        </w:tc>
        <w:tc>
          <w:tcPr>
            <w:tcW w:w="2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3"/>
              </w:rPr>
              <w:t>(in millions)</w:t>
            </w:r>
          </w:p>
        </w:tc>
        <w:tc>
          <w:tcPr>
            <w:tcW w:w="140" w:type="dxa"/>
            <w:vAlign w:val="bottom"/>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 Per Gallon</w:t>
            </w:r>
          </w:p>
        </w:tc>
        <w:tc>
          <w:tcPr>
            <w:tcW w:w="2420" w:type="dxa"/>
            <w:vAlign w:val="bottom"/>
          </w:tcPr>
          <w:p>
            <w:pPr>
              <w:jc w:val="right"/>
              <w:ind w:right="839"/>
              <w:spacing w:after="0"/>
              <w:rPr>
                <w:sz w:val="20"/>
                <w:szCs w:val="20"/>
                <w:color w:val="auto"/>
              </w:rPr>
            </w:pPr>
            <w:r>
              <w:rPr>
                <w:rFonts w:ascii="Arial" w:cs="Arial" w:eastAsia="Arial" w:hAnsi="Arial"/>
                <w:sz w:val="16"/>
                <w:szCs w:val="16"/>
                <w:b w:val="1"/>
                <w:bCs w:val="1"/>
                <w:color w:val="auto"/>
              </w:rPr>
              <w:t>Expense</w:t>
            </w:r>
          </w:p>
        </w:tc>
      </w:tr>
      <w:tr>
        <w:trPr>
          <w:trHeight w:val="33"/>
        </w:trPr>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30"/>
        </w:trPr>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4,292</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2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4"/>
        </w:trPr>
        <w:tc>
          <w:tcPr>
            <w:tcW w:w="1700" w:type="dxa"/>
            <w:vAlign w:val="bottom"/>
          </w:tcPr>
          <w:p>
            <w:pPr>
              <w:ind w:left="700"/>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9"/>
                <w:szCs w:val="19"/>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4,137</w:t>
            </w:r>
          </w:p>
        </w:tc>
        <w:tc>
          <w:tcPr>
            <w:tcW w:w="2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9,307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2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47"/>
        </w:trPr>
        <w:tc>
          <w:tcPr>
            <w:tcW w:w="1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224"/>
        </w:trPr>
        <w:tc>
          <w:tcPr>
            <w:tcW w:w="170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2017</w:t>
            </w:r>
          </w:p>
        </w:tc>
        <w:tc>
          <w:tcPr>
            <w:tcW w:w="2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6,913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2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47"/>
        </w:trPr>
        <w:tc>
          <w:tcPr>
            <w:tcW w:w="17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420" w:type="dxa"/>
            <w:vAlign w:val="bottom"/>
            <w:shd w:val="clear" w:color="auto" w:fill="CCEEFF"/>
          </w:tcPr>
          <w:p>
            <w:pPr>
              <w:spacing w:after="0"/>
              <w:rPr>
                <w:sz w:val="4"/>
                <w:szCs w:val="4"/>
                <w:color w:val="auto"/>
              </w:rPr>
            </w:pPr>
          </w:p>
        </w:tc>
      </w:tr>
    </w:tbl>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certain major demand locations. The price of aircraft fuel has fluctuated substantially in the past several years. The Company's current strategy is to not enter into transactions to hedge its fuel consumption, although the Company regularly reviews its strategy based on market conditions and other factors.</w:t>
      </w:r>
    </w:p>
    <w:p>
      <w:pPr>
        <w:spacing w:after="0" w:line="200"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Third-Party Business. </w:t>
      </w:r>
      <w:r>
        <w:rPr>
          <w:rFonts w:ascii="Arial" w:cs="Arial" w:eastAsia="Arial" w:hAnsi="Arial"/>
          <w:sz w:val="16"/>
          <w:szCs w:val="16"/>
          <w:color w:val="auto"/>
        </w:rPr>
        <w:t>United generates third-party business revenue that includes maintenance services, catering, frequent flyer award non-travel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redemptions and ground handling. Third-party business revenue is recorded in Other operating revenue. Expenses associated with third-party business, except non-travel redemptions, are recorded in Other operating expenses. Non-travel redemptions expenses are recorded to Other operating revenue.</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Distribution Channels. </w:t>
      </w:r>
      <w:r>
        <w:rPr>
          <w:rFonts w:ascii="Arial" w:cs="Arial" w:eastAsia="Arial" w:hAnsi="Arial"/>
          <w:sz w:val="18"/>
          <w:szCs w:val="18"/>
          <w:color w:val="auto"/>
        </w:rPr>
        <w:t>The Company's airline seat inventory and fares are distributed through the Company's direct channels, traditional travel agencies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on-line travel agencies. The use of the Company's direct sales website, www.united.com, the Company's mobile applications and alternative distribution systems provides the Company with an opportunity to de-commoditize its services, better present its content, make more targeted offerings, better retain its customers, enhance its brand and lower its ticket distribution costs. Agency sales are primarily sold using global distribution systems ("GDS"). United has developed and expects to continue to develop capabilities to sell certain ancillary products through the GDS channel to provide an enhanced buying experience for customers who purchase in that channel.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Conditions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Domestic Competition. </w:t>
      </w:r>
      <w:r>
        <w:rPr>
          <w:rFonts w:ascii="Arial" w:cs="Arial" w:eastAsia="Arial" w:hAnsi="Arial"/>
          <w:sz w:val="17"/>
          <w:szCs w:val="17"/>
          <w:color w:val="auto"/>
        </w:rPr>
        <w:t>The domestic airline industry is highly competitive and dynamic. The Company's competitors consist primarily of other airlines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certain extent, other forms of transportation. Currently, any U.S. carrier deemed fit by the U.S. Department of Transportation (the "DOT") is largely free to operate scheduled passenger service between any two points within the United States. Competition can be direct, in the form of another carrier flying the exact non-stop route, or indirect, where a carrier serves the same two cities non-stop from an alternative airport in that city or via an itinerary requiring a connection at another airport. Air carriers' cost structures are not uniform and are influenced by numerous factors. Carriers with lower costs may offer lower fares to passengers, which could have a potential negative impact on the Company's revenues. Domestic pricing decisions are impacted by intense competitive pressure exerted on the Company by other U.S. airlines. In order to remain competitive and maintain passenger traffic levels, we often find it necessary to match competitors' discounted fares. Since we compete in a dynamic marketplace, attempts to generate additional revenue through increased fares often fail.</w:t>
      </w:r>
    </w:p>
    <w:p>
      <w:pPr>
        <w:spacing w:after="0" w:line="209"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b w:val="1"/>
          <w:bCs w:val="1"/>
          <w:i w:val="1"/>
          <w:iCs w:val="1"/>
          <w:color w:val="auto"/>
        </w:rPr>
        <w:t xml:space="preserve">International Competition. </w:t>
      </w:r>
      <w:r>
        <w:rPr>
          <w:rFonts w:ascii="Arial" w:cs="Arial" w:eastAsia="Arial" w:hAnsi="Arial"/>
          <w:sz w:val="16"/>
          <w:szCs w:val="16"/>
          <w:color w:val="auto"/>
        </w:rPr>
        <w:t>Internationally, the Company competes not only with U.S. airlines, but also with foreign carriers. International competition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and may continue to increase in the future as a result of airline mergers and acquisitions, JBAs, alliances, restructurings, liberalization of aviation bilateral agreements and new or increased service by competitors, including government subsidized competitors from certain Middle East countries.</w:t>
      </w:r>
    </w:p>
    <w:p>
      <w:pPr>
        <w:ind w:right="100"/>
        <w:spacing w:after="0" w:line="287" w:lineRule="auto"/>
        <w:rPr>
          <w:sz w:val="20"/>
          <w:szCs w:val="20"/>
          <w:color w:val="auto"/>
        </w:rPr>
      </w:pPr>
      <w:r>
        <w:rPr>
          <w:rFonts w:ascii="Arial" w:cs="Arial" w:eastAsia="Arial" w:hAnsi="Arial"/>
          <w:sz w:val="16"/>
          <w:szCs w:val="16"/>
          <w:color w:val="auto"/>
        </w:rPr>
        <w:t xml:space="preserve">Competition on international routes is subject to varying degrees of governmental regulation. The Company's ability to compete successfully with non-U.S. carriers on international routes depends in part on its ability to generate traffic to and from the entire United States via its integrated domestic route network and its ability to overcome business and operational challenges across its network worldwide. Foreign carriers currently are prohibited by U.S. law from carrying local passengers between two points in the United States and the Company generally experiences comparable restrictions in foreign countries. Separately, "fifth freedom rights" allow the Company to operate between points in two different foreign countries and foreign carriers may also have fifth freedom rights between the U.S. and another foreign country. In the absence of fifth freedom rights, or some other extra-bilateral right to conduct operations between two foreign countries, U.S. carriers are constrained from carrying passengers to points beyond designated international gateway cities. To compensate partially for these structural limitations, U.S. and foreign carriers have entered into alliances, immunized JBAs and marketing arrangements that enable these carriers to exchange traffic between each other's flights and route networks. See </w:t>
      </w:r>
      <w:r>
        <w:rPr>
          <w:rFonts w:ascii="Arial" w:cs="Arial" w:eastAsia="Arial" w:hAnsi="Arial"/>
          <w:sz w:val="16"/>
          <w:szCs w:val="16"/>
          <w:i w:val="1"/>
          <w:iCs w:val="1"/>
          <w:color w:val="auto"/>
        </w:rPr>
        <w:t>Alliances,</w:t>
      </w:r>
      <w:r>
        <w:rPr>
          <w:rFonts w:ascii="Arial" w:cs="Arial" w:eastAsia="Arial" w:hAnsi="Arial"/>
          <w:sz w:val="16"/>
          <w:szCs w:val="16"/>
          <w:color w:val="auto"/>
        </w:rPr>
        <w:t xml:space="preserve"> above, for additional information.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84"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The air travel business is subject to seasonal fluctuations. Historically, demand for air travel is higher in the second and third quarters,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revenues, than in the first and fourth quarters, which are periods of lower travel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Domestic Regulation. </w:t>
      </w:r>
      <w:r>
        <w:rPr>
          <w:rFonts w:ascii="Arial" w:cs="Arial" w:eastAsia="Arial" w:hAnsi="Arial"/>
          <w:sz w:val="17"/>
          <w:szCs w:val="17"/>
          <w:color w:val="auto"/>
        </w:rPr>
        <w:t>All carriers engaged in air transportation in the United States are subject to regulation by the DOT. Absent an exemption, no air carrier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provide air transportation of passengers or property without first being issued a DOT certificate of public convenience and necessity. The DOT also grants international route authority, approves international codeshare arrangements and regulates methods of competition. The DOT regulates consumer protection and maintains jurisdiction over advertising, denied boarding compensation, tarmac delays, baggage liability and other areas and may add additional expensive regulatory burdens in the future. The DOT has launched investigations or claimed rulemaking authority to regulate commercial agreements among carriers or between carriers and third parties in a wide variety of contexts.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Airlines are also regulated by the Federal Aviation Administration (the "FAA"), an agency within the DOT, primarily in the areas of flight safety, air carrier operations and aircraft maintenance and airworthiness. The FAA issues air carrier operating certificates and aircraft airworthiness certificates, prescribes maintenance procedures, oversees airport operations, and regulates pilot and other employee training. From time to time, the FAA issues directives that require air carriers to inspect, modify or ground aircraft and other equipment, potentially causing the Company to incur substantial, unplanned expenses. The airline industry is also subject to numerous other federal laws and regulations. The U.S. Department of Homeland Security ("DHS") has jurisdiction over virtually every aspect of civil aviation security. The Antitrust Division of the U.S. Department of Justice ("DOJ") has jurisdiction over certain airline competition matters. The U.S. Postal Service has authority over certain aspects of the transportation of mail by airlines. Labor relations in the airline industry are generally governed by the Railway Labor Act ("RLA"), a federal statute. The Company is also subject to investigation inquiries by the DOT, FAA, DOJ, DHS, the U.S. Food and Drug Administration ("FDA"), the U.S. Department of Agriculture ("USDA") and other U.S. and international regulatory bodies.</w:t>
      </w:r>
    </w:p>
    <w:p>
      <w:pPr>
        <w:spacing w:after="0" w:line="11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Airport Access. </w:t>
      </w:r>
      <w:r>
        <w:rPr>
          <w:rFonts w:ascii="Arial" w:cs="Arial" w:eastAsia="Arial" w:hAnsi="Arial"/>
          <w:sz w:val="16"/>
          <w:szCs w:val="16"/>
          <w:color w:val="auto"/>
        </w:rPr>
        <w:t>Access to landing and take-off rights, or "slots," at several major U.S. airports served by the Company are subject to government regulation.</w:t>
      </w:r>
      <w:r>
        <w:rPr>
          <w:rFonts w:ascii="Arial" w:cs="Arial" w:eastAsia="Arial" w:hAnsi="Arial"/>
          <w:sz w:val="16"/>
          <w:szCs w:val="16"/>
          <w:i w:val="1"/>
          <w:iCs w:val="1"/>
          <w:color w:val="auto"/>
        </w:rPr>
        <w:t xml:space="preserve"> </w:t>
      </w:r>
      <w:r>
        <w:rPr>
          <w:rFonts w:ascii="Arial" w:cs="Arial" w:eastAsia="Arial" w:hAnsi="Arial"/>
          <w:sz w:val="16"/>
          <w:szCs w:val="16"/>
          <w:color w:val="auto"/>
        </w:rPr>
        <w:t>Federally-mandated domestic slot restrictions that limit operations and regulate capacity currently apply at three airports: Reagan National Airport in Washington, D.C. ("Reagan National"), John F. Kennedy International Airport and LaGuardia Airport ("LaGuardia") in the New York City metropolitan region. Of these three airports, United currently operates at two: Reagan National and LaGuardia. Additional restrictions on takeoff and landing slots at these and other airports may be implemented in the future and could affect the Company's rights of ownership and transfer as well as its operations.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Legislation</w:t>
      </w:r>
      <w:r>
        <w:rPr>
          <w:rFonts w:ascii="Arial" w:cs="Arial" w:eastAsia="Arial" w:hAnsi="Arial"/>
          <w:sz w:val="18"/>
          <w:szCs w:val="18"/>
          <w:color w:val="auto"/>
        </w:rPr>
        <w:t>. The airline industry is subject to legislative actions (or inactions) that may have an impact on operations and costs. In 2018, the U.S. Congress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a five-year reauthorization for the FAA, which encompasses significant aviation tax and policy-related issues. The law includes a range of policy changes related to airline customer service and aviation safety which are ongoing and, depending on how they are implemented, could impact our operations and costs. Additionally, the U.S. Congress may consider legislation related to aviation safety as well as environmental issues which could impact the Company and the airline industry.</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Catering Operations</w:t>
      </w:r>
      <w:r>
        <w:rPr>
          <w:rFonts w:ascii="Arial" w:cs="Arial" w:eastAsia="Arial" w:hAnsi="Arial"/>
          <w:sz w:val="18"/>
          <w:szCs w:val="18"/>
          <w:color w:val="auto"/>
        </w:rPr>
        <w:t>. The Company owns and operates catering kitchens at airports in Denver, Cleveland, Newark, Houston, and Honolulu, which prepare</w:t>
      </w:r>
      <w:r>
        <w:rPr>
          <w:rFonts w:ascii="Arial" w:cs="Arial" w:eastAsia="Arial" w:hAnsi="Arial"/>
          <w:sz w:val="18"/>
          <w:szCs w:val="18"/>
          <w:i w:val="1"/>
          <w:iCs w:val="1"/>
          <w:color w:val="auto"/>
        </w:rPr>
        <w:t xml:space="preserve"> </w:t>
      </w:r>
      <w:r>
        <w:rPr>
          <w:rFonts w:ascii="Arial" w:cs="Arial" w:eastAsia="Arial" w:hAnsi="Arial"/>
          <w:sz w:val="18"/>
          <w:szCs w:val="18"/>
          <w:color w:val="auto"/>
        </w:rPr>
        <w:t>ready-to-eat food for United flights. Some of the Company's kitchens also prepare ready-to-eat food for other domestic and international airlines. The Company's onboard food service operations are subject to FDA regulation through its interstate conveyance sanitation regulations, and the Company's catering operations are subject to regulation by the FDA and the USDA, as well as other federal, state, and local regulatory agencies. In particular, the FDA enforces the Federal Food Safety Modernization Act which requires all food manufacturers, including ready-to-eat catering operations, to implement stringent risk-based preventive controls. As a result, the Company's catering and food service operations are periodically subject to inspections and enforcement by regulatory agencies.</w:t>
      </w:r>
    </w:p>
    <w:p>
      <w:pPr>
        <w:spacing w:after="0" w:line="2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International Regulation. </w:t>
      </w:r>
      <w:r>
        <w:rPr>
          <w:rFonts w:ascii="Arial" w:cs="Arial" w:eastAsia="Arial" w:hAnsi="Arial"/>
          <w:sz w:val="18"/>
          <w:szCs w:val="18"/>
          <w:color w:val="auto"/>
        </w:rPr>
        <w:t>International air transportation is subject to extensive government regulation. In connection with the Company's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the Company is regulated by both the U.S. government and the governments of the foreign countries the Company serves. In addition, the availability of international routes to U.S. carriers is regulated by aviation agreements between the U.S. and foreign governments, and in some cases, fares and schedules require the approval of the DOT and/or the relevant foreign governments.</w:t>
      </w:r>
    </w:p>
    <w:p>
      <w:pPr>
        <w:spacing w:after="0" w:line="1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Legislation. </w:t>
      </w:r>
      <w:r>
        <w:rPr>
          <w:rFonts w:ascii="Arial" w:cs="Arial" w:eastAsia="Arial" w:hAnsi="Arial"/>
          <w:sz w:val="16"/>
          <w:szCs w:val="16"/>
          <w:color w:val="auto"/>
        </w:rPr>
        <w:t>Foreign countries are increasingly enacting passenger protection laws, rules and regulations that meet or exceed U.S. requirements. In cases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this activity exceeds U.S. requirements, additional burden and liability may be placed on the Company. Certain countries have regulations requiring passenger compensation and/or enforcement penalties from the Company in addition to changes in operating procedures due to canceled and delayed flights.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84"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Airport Access. </w:t>
      </w:r>
      <w:r>
        <w:rPr>
          <w:rFonts w:ascii="Arial" w:cs="Arial" w:eastAsia="Arial" w:hAnsi="Arial"/>
          <w:sz w:val="17"/>
          <w:szCs w:val="17"/>
          <w:color w:val="auto"/>
        </w:rPr>
        <w:t>Historically, access to foreign markets has been tightly controlled through bilateral agreements between the U.S. and each foreign country</w:t>
      </w:r>
      <w:r>
        <w:rPr>
          <w:rFonts w:ascii="Arial" w:cs="Arial" w:eastAsia="Arial" w:hAnsi="Arial"/>
          <w:sz w:val="17"/>
          <w:szCs w:val="17"/>
          <w:i w:val="1"/>
          <w:iCs w:val="1"/>
          <w:color w:val="auto"/>
        </w:rPr>
        <w:t xml:space="preserve"> </w:t>
      </w:r>
      <w:r>
        <w:rPr>
          <w:rFonts w:ascii="Arial" w:cs="Arial" w:eastAsia="Arial" w:hAnsi="Arial"/>
          <w:sz w:val="17"/>
          <w:szCs w:val="17"/>
          <w:color w:val="auto"/>
        </w:rPr>
        <w:t>involved. These agreements regulate the markets served, the number of carriers allowed to serve each market and the frequency of carriers' flights. Since the early 1990s, the U.S. has pursued a policy of "Open Skies" (meaning all U.S.-flag carriers have access to the destination), under which the U.S. government has negotiated a number of bilateral agreements allowing unrestricted access between U.S. and foreign markets. Currently, there are more than 100 Open Skies agreements in effect. However, even with Open Skies, many of the airports that the Company serves in Europe, Asia and Latin America maintain slot controls. A large number of these slot controls exist due to congestion, environmental and noise protection and reduced capacity due to runway and air traffic control ("ATC") construction work, among other reasons. London Heathrow International Airport, Frankfurt Rhein-Main Airport, Shanghai Pudong International Airport, Beijing Capital International Airport, Sao Paulo Guarulhos International Airport and Tokyo Haneda International Airport are among the most restrictive foreign airports due to slot and capacity limitations.</w:t>
      </w:r>
    </w:p>
    <w:p>
      <w:pPr>
        <w:spacing w:after="0" w:line="12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ability to serve some foreign markets and expand into certain others is limited by the absence of aviation agreements between the U.S. government and the relevant foreign governments. Shifts in U.S. or foreign government aviation policies may lead to the alteration or termination of air service agreements. Depending on the nature of any such change, the value of the Company's international route authorities and slot rights may be materially enhanced or diminished. Similarly, foreign governments control their airspace and can restrict our ability to overfly their territory, enhancing or diminishing the value of the Company's existing international route authorities and slot rights.</w:t>
      </w:r>
    </w:p>
    <w:p>
      <w:pPr>
        <w:spacing w:after="0" w:line="11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 xml:space="preserve">Environmental Regulation. </w:t>
      </w:r>
      <w:r>
        <w:rPr>
          <w:rFonts w:ascii="Arial" w:cs="Arial" w:eastAsia="Arial" w:hAnsi="Arial"/>
          <w:sz w:val="16"/>
          <w:szCs w:val="16"/>
          <w:color w:val="auto"/>
        </w:rPr>
        <w:t>The airline industry is subject to increasingly stringent federal, state, local and international environmental requirements,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those regulating emissions to air, water discharges, safe drinking water and the use and management of hazardous substances and wastes.</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Climate Change</w:t>
      </w:r>
      <w:r>
        <w:rPr>
          <w:rFonts w:ascii="Arial" w:cs="Arial" w:eastAsia="Arial" w:hAnsi="Arial"/>
          <w:sz w:val="16"/>
          <w:szCs w:val="16"/>
          <w:color w:val="auto"/>
        </w:rPr>
        <w:t>. There is an increasing global regulatory focus on greenhouse gas ("GHG") emissions and their potential impacts relating to climate change.</w:t>
      </w:r>
      <w:r>
        <w:rPr>
          <w:rFonts w:ascii="Arial" w:cs="Arial" w:eastAsia="Arial" w:hAnsi="Arial"/>
          <w:sz w:val="16"/>
          <w:szCs w:val="16"/>
          <w:i w:val="1"/>
          <w:iCs w:val="1"/>
          <w:color w:val="auto"/>
        </w:rPr>
        <w:t xml:space="preserve"> </w:t>
      </w:r>
      <w:r>
        <w:rPr>
          <w:rFonts w:ascii="Arial" w:cs="Arial" w:eastAsia="Arial" w:hAnsi="Arial"/>
          <w:sz w:val="16"/>
          <w:szCs w:val="16"/>
          <w:color w:val="auto"/>
        </w:rPr>
        <w:t>An initiative to regulate GHG emissions from aviation known as the European Union ("EU") Emission Trading System ("ETS") was adopted in 2009, but applicability to flights arriving or departing from airports outside the EU has been postponed several times. In December 2017, the European Parliament voted to extend exemptions for extra-EU flights until December 2023 in order to align the extension date with the completion of the pilot phase of the International Civil Aviation Organization's ("ICAO") Carbon Offsetting and Reduction Scheme for International Aviation ("CORSIA"). CORSIA, which was adopted in October 2016, is intended to create a single global market-based measure to achieve carbon-neutral growth for international aviation after 2020, which can be achieved through airline purchases of carbon offset credits. However, the European Parliament is expected to assess CORSIA implementation and re-assess the applicability of EU ETS to international aviation in 2024, at which point the EU could require all extra- and intra-EU flights to participate in EU ETS. Certain CORSIA program details remain to be developed and could potentially be affected by political developments in participating countries or the results of the pilot phase of the program, and thus the impact of CORSIA cannot be fully predicted. However, CORSIA is expected to increase operating costs for the Company, depending on a number of factors, including the number of its flights that are subject to CORSIA, the fuel efficiency of the Company's fleet, the Company's purchase and use of CORSIA-eligible sustainable aviation fuels, aviation sector growth, and the price of CORSIA-eligible offsets. In 2017, ICAO also adopted a carbon dioxide ("CO2") emission standard for aircraft. In 2016, the U.S. Environmental Protection Agency ("EPA") commenced procedural steps necessary to adopt its own standard, but has not yet taken further action. While the precise timing and final form of these various programs and requirements continue to evolve, the Company is taking various actions that are expected to help reduce its CO2 emissions over time such as improving fuel efficiency, fleet renewal, aircraft retrofits and promoting the commercialization of sustainable aviation fuels.</w:t>
      </w:r>
    </w:p>
    <w:p>
      <w:pPr>
        <w:spacing w:after="0" w:line="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Other Regulations</w:t>
      </w:r>
      <w:r>
        <w:rPr>
          <w:rFonts w:ascii="Arial" w:cs="Arial" w:eastAsia="Arial" w:hAnsi="Arial"/>
          <w:sz w:val="16"/>
          <w:szCs w:val="16"/>
          <w:color w:val="auto"/>
        </w:rPr>
        <w:t>. Our operations are subject to a variety of other environmental laws and regulations both in the United States and internationally.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noise-related restrictions on aircraft types and operating times and state and local air quality initiatives which have, or could in the future, result in curtailments in services, increased operating costs, limits on expansion, or further emission reduction requirements. Certain airports and/or governments, both domestically and internationally, either have or are seeking to establish environmental fees and other requirements applicable to carbon emissions, local air quality pollutants and/or noise. The implementation of these requirements is expected to result in restrictions on mobile sources such as cars, trucks and airport ground support equipment in corresponding locations. Finally, environmental cleanup laws could require the Company to undertake or subject the Company to liability for investigation and remediation costs at certain owned or leased locations or third-party disposal locations.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Until applicability of new regulations to our specific operations is better defined and/or until pending regulations are finalized, future costs to comply with such regulations will remain uncertain but are likely to increase our operating costs over time. While we continue to monitor these developments, the precise nature of future requirements and their applicability to the Company are difficult to predict, but the financial impact to the Company and the aviation industry could be significant.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84"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2019, UAL, including its subsidiaries, had approximately 96,000 employees. Approximately 84% of the Company's employees were represented by various U.S. labor organizations.</w:t>
      </w:r>
    </w:p>
    <w:p>
      <w:pPr>
        <w:spacing w:after="0" w:line="19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Collective bargaining agreements between the Company and its represented employee groups are negotiated under the RLA. Such agreements typically do not contain an expiration date and instead specify an amendable date, upon which the agreement is considered "open for amendment."</w:t>
      </w:r>
    </w:p>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 2019, the collective bargaining agreement with the Air Line Pilots Association ("ALPA"), the labor union representing United's pilots, became amendable. The Company and ALPA are in negotiations for an amended agreement. The Company and UNITE HERE, the labor union representing United's Catering employees, started negotiations for a first collective bargaining agreement in March 2019.</w:t>
      </w:r>
    </w:p>
    <w:p>
      <w:pPr>
        <w:spacing w:after="0" w:line="10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table reflects the Company's represented employee groups, the number of employees per represented group, union representation for each employee group, and the amendable date for each employee group's collective bargaining agreement as of December 31,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ind w:left="1700"/>
              <w:spacing w:after="0"/>
              <w:rPr>
                <w:sz w:val="20"/>
                <w:szCs w:val="20"/>
                <w:color w:val="auto"/>
              </w:rPr>
            </w:pPr>
            <w:r>
              <w:rPr>
                <w:rFonts w:ascii="Arial" w:cs="Arial" w:eastAsia="Arial" w:hAnsi="Arial"/>
                <w:sz w:val="14"/>
                <w:szCs w:val="14"/>
                <w:b w:val="1"/>
                <w:bCs w:val="1"/>
                <w:color w:val="auto"/>
              </w:rPr>
              <w:t>Employee</w:t>
            </w:r>
          </w:p>
        </w:tc>
        <w:tc>
          <w:tcPr>
            <w:tcW w:w="12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c>
          <w:tcPr>
            <w:tcW w:w="434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Union</w:t>
            </w:r>
          </w:p>
        </w:tc>
        <w:tc>
          <w:tcPr>
            <w:tcW w:w="100" w:type="dxa"/>
            <w:vAlign w:val="bottom"/>
            <w:vMerge w:val="restart"/>
          </w:tcPr>
          <w:p>
            <w:pPr>
              <w:spacing w:after="0"/>
              <w:rPr>
                <w:sz w:val="14"/>
                <w:szCs w:val="14"/>
                <w:color w:val="auto"/>
              </w:rPr>
            </w:pPr>
          </w:p>
        </w:tc>
        <w:tc>
          <w:tcPr>
            <w:tcW w:w="1700" w:type="dxa"/>
            <w:vAlign w:val="bottom"/>
          </w:tcPr>
          <w:p>
            <w:pPr>
              <w:ind w:left="320"/>
              <w:spacing w:after="0"/>
              <w:rPr>
                <w:sz w:val="20"/>
                <w:szCs w:val="20"/>
                <w:color w:val="auto"/>
              </w:rPr>
            </w:pPr>
            <w:r>
              <w:rPr>
                <w:rFonts w:ascii="Arial" w:cs="Arial" w:eastAsia="Arial" w:hAnsi="Arial"/>
                <w:sz w:val="14"/>
                <w:szCs w:val="14"/>
                <w:b w:val="1"/>
                <w:bCs w:val="1"/>
                <w:color w:val="auto"/>
              </w:rPr>
              <w:t>Agreement Open</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Group</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Employees</w:t>
            </w:r>
          </w:p>
        </w:tc>
        <w:tc>
          <w:tcPr>
            <w:tcW w:w="120" w:type="dxa"/>
            <w:vAlign w:val="bottom"/>
            <w:tcBorders>
              <w:bottom w:val="single" w:sz="8" w:color="CCEEFF"/>
            </w:tcBorders>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for Amendment</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Flight Attendants</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24,203</w:t>
            </w:r>
          </w:p>
        </w:tc>
        <w:tc>
          <w:tcPr>
            <w:tcW w:w="1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Association of Flight Attendants (the "AFA")</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August 2021</w:t>
            </w:r>
          </w:p>
        </w:tc>
        <w:tc>
          <w:tcPr>
            <w:tcW w:w="0" w:type="dxa"/>
            <w:vAlign w:val="bottom"/>
          </w:tcPr>
          <w:p>
            <w:pPr>
              <w:spacing w:after="0"/>
              <w:rPr>
                <w:sz w:val="1"/>
                <w:szCs w:val="1"/>
                <w:color w:val="auto"/>
              </w:rPr>
            </w:pPr>
          </w:p>
        </w:tc>
      </w:tr>
      <w:tr>
        <w:trPr>
          <w:trHeight w:val="220"/>
        </w:trPr>
        <w:tc>
          <w:tcPr>
            <w:tcW w:w="4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Fleet Service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w w:val="98"/>
              </w:rPr>
              <w:t>International Association of Machinists and Aerospace Workers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vMerge w:val="continue"/>
          </w:tcPr>
          <w:p>
            <w:pPr>
              <w:spacing w:after="0"/>
              <w:rPr>
                <w:sz w:val="17"/>
                <w:szCs w:val="17"/>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13,803</w:t>
            </w:r>
          </w:p>
        </w:tc>
        <w:tc>
          <w:tcPr>
            <w:tcW w:w="120" w:type="dxa"/>
            <w:vAlign w:val="bottom"/>
          </w:tcPr>
          <w:p>
            <w:pPr>
              <w:spacing w:after="0"/>
              <w:rPr>
                <w:sz w:val="17"/>
                <w:szCs w:val="17"/>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(the "IAM")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Passenger Service</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12,135</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Pilots</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12,251</w:t>
            </w: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ALPA</w:t>
            </w:r>
          </w:p>
        </w:tc>
        <w:tc>
          <w:tcPr>
            <w:tcW w:w="1700" w:type="dxa"/>
            <w:vAlign w:val="bottom"/>
          </w:tcPr>
          <w:p>
            <w:pPr>
              <w:ind w:left="20"/>
              <w:spacing w:after="0"/>
              <w:rPr>
                <w:sz w:val="20"/>
                <w:szCs w:val="20"/>
                <w:color w:val="auto"/>
              </w:rPr>
            </w:pPr>
            <w:r>
              <w:rPr>
                <w:rFonts w:ascii="Arial" w:cs="Arial" w:eastAsia="Arial" w:hAnsi="Arial"/>
                <w:sz w:val="16"/>
                <w:szCs w:val="16"/>
                <w:color w:val="auto"/>
              </w:rPr>
              <w:t>January 2019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Technicians</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9,318</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International Brotherhood of Teamsters (the "IBT")</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2022 (a)</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Passenger Service - United Ground Express, Inc.</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4,155</w:t>
            </w: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March 2025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Catering</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 HERE</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Storekeepers</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Dispatchers</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Professional Airline Flight Control Association</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Fleet Tech Instructors</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Load Planners</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Security Officers</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Maintenance Instructors</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The collective bargaining agreement with the IBT contains provisions that require the Company to align contract terms with other airlines' workgroups under certain conditions.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 xml:space="preserve">Kate Gebo. </w:t>
      </w:r>
      <w:r>
        <w:rPr>
          <w:rFonts w:ascii="Arial" w:cs="Arial" w:eastAsia="Arial" w:hAnsi="Arial"/>
          <w:sz w:val="18"/>
          <w:szCs w:val="18"/>
          <w:color w:val="auto"/>
        </w:rPr>
        <w:t>Age 51. Ms. Gebo has served as Executive Vice President Human Resources and Labor Relations of UAL and United since December 2017.</w:t>
      </w:r>
      <w:r>
        <w:rPr>
          <w:rFonts w:ascii="Arial" w:cs="Arial" w:eastAsia="Arial" w:hAnsi="Arial"/>
          <w:sz w:val="18"/>
          <w:szCs w:val="18"/>
          <w:b w:val="1"/>
          <w:bCs w:val="1"/>
          <w:color w:val="auto"/>
        </w:rPr>
        <w:t xml:space="preserve"> </w:t>
      </w:r>
      <w:r>
        <w:rPr>
          <w:rFonts w:ascii="Arial" w:cs="Arial" w:eastAsia="Arial" w:hAnsi="Arial"/>
          <w:sz w:val="18"/>
          <w:szCs w:val="18"/>
          <w:color w:val="auto"/>
        </w:rPr>
        <w:t>From November 2016 to November 2017, Ms. Gebo served as Senior Vice President, Global Customer Service Delivery and Chief Customer Officer of United. From October 2015 to November 2016, Ms. Gebo served as Vice President of the Office of the Chief Executive Officer. From November 2009 to October 2015, Ms. Gebo served as Vice President of Corporate Real Estate of United.</w:t>
      </w:r>
    </w:p>
    <w:p>
      <w:pPr>
        <w:spacing w:after="0" w:line="20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Brett J. Hart. </w:t>
      </w:r>
      <w:r>
        <w:rPr>
          <w:rFonts w:ascii="Arial" w:cs="Arial" w:eastAsia="Arial" w:hAnsi="Arial"/>
          <w:sz w:val="16"/>
          <w:szCs w:val="16"/>
          <w:color w:val="auto"/>
        </w:rPr>
        <w:t>Age 50. Mr. Hart has served as Executive Vice President and Chief Administrative Officer of UAL and United since March 2019. From May</w:t>
      </w:r>
      <w:r>
        <w:rPr>
          <w:rFonts w:ascii="Arial" w:cs="Arial" w:eastAsia="Arial" w:hAnsi="Arial"/>
          <w:sz w:val="16"/>
          <w:szCs w:val="16"/>
          <w:b w:val="1"/>
          <w:bCs w:val="1"/>
          <w:color w:val="auto"/>
        </w:rPr>
        <w:t xml:space="preserve"> </w:t>
      </w:r>
      <w:r>
        <w:rPr>
          <w:rFonts w:ascii="Arial" w:cs="Arial" w:eastAsia="Arial" w:hAnsi="Arial"/>
          <w:sz w:val="16"/>
          <w:szCs w:val="16"/>
          <w:color w:val="auto"/>
        </w:rPr>
        <w:t>2017 to March 2019, he served as Executive Vice President, Chief Administrative Officer and General Counsel of UAL and United. From February 2012 to May 2017, he served as Executive Vice President and General Counsel of UAL and United. Mr. Hart served as acting Chief Executive Officer and principal executive officer of the Company, on an interim basis, from October 2015 to March 2016. From December 2010 to February 2012, he served as Senior Vice President, General Counsel and Secretary of UAL, United and Continental Airlines, Inc. ("Continental"). From June 2009 to December 2010, Mr. Hart served as Executive Vice President, General Counsel and Corporate Secretary at Sara Lee Corporation, a consumer food and beverage company. From March 2005 to May 2009, Mr. Hart served as Deputy General Counsel and Chief Global Compliance Officer of Sara Lee Corporation.</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Gregory L. Hart. </w:t>
      </w:r>
      <w:r>
        <w:rPr>
          <w:rFonts w:ascii="Arial" w:cs="Arial" w:eastAsia="Arial" w:hAnsi="Arial"/>
          <w:sz w:val="18"/>
          <w:szCs w:val="18"/>
          <w:color w:val="auto"/>
        </w:rPr>
        <w:t>Age 54. Mr. Hart has served as Executive Vice President and Chief Operations Officer of UAL and United since February 2014. From</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2013 to February 2014, he served as Senior Vice President Operations of UAL and United. From September 2012 to December 2013, Mr. Hart served as Senior Vice President Technical Operations of United. From October 2010 to September 2012, Mr. Hart served as Senior Vice President Network of United and Continental. From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84"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September 2008 to September 2010, Mr. Hart served as Vice President Network Strategy of Continental. Mr. Hart joined Continental in 1997.</w:t>
      </w:r>
    </w:p>
    <w:p>
      <w:pPr>
        <w:spacing w:after="0" w:line="248"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b w:val="1"/>
          <w:bCs w:val="1"/>
          <w:color w:val="auto"/>
        </w:rPr>
        <w:t xml:space="preserve">Linda P. Jojo. </w:t>
      </w:r>
      <w:r>
        <w:rPr>
          <w:rFonts w:ascii="Arial" w:cs="Arial" w:eastAsia="Arial" w:hAnsi="Arial"/>
          <w:sz w:val="18"/>
          <w:szCs w:val="18"/>
          <w:color w:val="auto"/>
        </w:rPr>
        <w:t>Age 54. Ms. Jojo has served as Executive Vice President Technology and Chief Digital Officer of UAL and United since May 2017. From</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2014 to May 2017, Ms. Jojo served as Executive Vice President and Chief Information Officer of UAL and United. From July 2011 to October 2014, Ms. Jojo served as Executive Vice President and Chief Information Officer of Rogers Communications, Inc., a Canadian communications and media company. From October 2008 to June 2011, Ms. Jojo served as Chief Information Officer of Energy Future Holdings, a Dallas-based privately held energy company and electrical utility provider.</w:t>
      </w:r>
    </w:p>
    <w:p>
      <w:pPr>
        <w:spacing w:after="0" w:line="21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Chris Kenny. </w:t>
      </w:r>
      <w:r>
        <w:rPr>
          <w:rFonts w:ascii="Arial" w:cs="Arial" w:eastAsia="Arial" w:hAnsi="Arial"/>
          <w:sz w:val="18"/>
          <w:szCs w:val="18"/>
          <w:color w:val="auto"/>
        </w:rPr>
        <w:t>Age 55. Mr. Kenny has served as Vice President and Controller of UAL and United since October 2010. From September 2003 to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2010, Mr. Kenny served as Vice President and Controller of Continental. Mr. Kenny joined Continental in 1997.</w:t>
      </w:r>
    </w:p>
    <w:p>
      <w:pPr>
        <w:spacing w:after="0" w:line="189"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b w:val="1"/>
          <w:bCs w:val="1"/>
          <w:color w:val="auto"/>
        </w:rPr>
        <w:t xml:space="preserve">J. Scott Kirby. </w:t>
      </w:r>
      <w:r>
        <w:rPr>
          <w:rFonts w:ascii="Arial" w:cs="Arial" w:eastAsia="Arial" w:hAnsi="Arial"/>
          <w:sz w:val="16"/>
          <w:szCs w:val="16"/>
          <w:color w:val="auto"/>
        </w:rPr>
        <w:t>Age 52. Mr. Kirby has served as President of UAL and United since August 2016. Prior to joining the Company, from December 2013 to</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2016, Mr. Kirby served as President of American Airlines Group and American Airlines, Inc. Mr. Kirby also previously served as President of US Airways from October 2006 to December 2013. Mr. Kirby held significant other leadership roles at US Airways and at America West prior to the 2005 merger of those carriers, including Executive Vice President—Sales and Marketing (2001 to 2006); Senior Vice President, e-business (2000 to 2001); Vice President, Revenue Management (1998 to 2000); Vice President, Planning (1997 to 1998); and Senior Director, Scheduling and Planning (1995 to 1998). Prior to joining America West, Mr. Kirby worked for American Airlines Decision Technologies and at the Pentagon.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December 2019, the Company announced that Mr. Kirby will become Chief Executive Officer of UAL and United following UAL's 2020 Annual Meeting of Stockholders, scheduled for May 20, 2020 (the "2020 Annual Meeting").</w:t>
      </w:r>
    </w:p>
    <w:p>
      <w:pPr>
        <w:spacing w:after="0" w:line="19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Gerald Laderman. </w:t>
      </w:r>
      <w:r>
        <w:rPr>
          <w:rFonts w:ascii="Arial" w:cs="Arial" w:eastAsia="Arial" w:hAnsi="Arial"/>
          <w:sz w:val="16"/>
          <w:szCs w:val="16"/>
          <w:color w:val="auto"/>
        </w:rPr>
        <w:t>Age 62</w:t>
      </w:r>
      <w:r>
        <w:rPr>
          <w:rFonts w:ascii="Arial" w:cs="Arial" w:eastAsia="Arial" w:hAnsi="Arial"/>
          <w:sz w:val="16"/>
          <w:szCs w:val="16"/>
          <w:b w:val="1"/>
          <w:bCs w:val="1"/>
          <w:color w:val="auto"/>
        </w:rPr>
        <w:t xml:space="preserve">. </w:t>
      </w:r>
      <w:r>
        <w:rPr>
          <w:rFonts w:ascii="Arial" w:cs="Arial" w:eastAsia="Arial" w:hAnsi="Arial"/>
          <w:sz w:val="16"/>
          <w:szCs w:val="16"/>
          <w:color w:val="auto"/>
        </w:rPr>
        <w:t>Mr. Laderman has served as Executive Vice President and Chief Financial Officer since August 2018. Mr. Laderman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Finance, Procurement and Treasurer for UAL and United from 2013 to August 2015, and again from August 2016 to May 2018. Mr. Laderman additionally was acting Chief Financial Officer from August 2015 to August 2016 and from May 2018 to August 2018. Mr. Laderman served as Senior Vice President Finance and Treasurer for the Company from 2010 to 2013. From 2001 to 2010, Mr. Laderman served as Senior Vice President of Finance and Treasurer for Continental. Mr. Laderman joined Continental in 1988 as senior director legal affairs, finance and aircraft programs.</w:t>
      </w:r>
    </w:p>
    <w:p>
      <w:pPr>
        <w:spacing w:after="0" w:line="18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Oscar Munoz. </w:t>
      </w:r>
      <w:r>
        <w:rPr>
          <w:rFonts w:ascii="Arial" w:cs="Arial" w:eastAsia="Arial" w:hAnsi="Arial"/>
          <w:sz w:val="17"/>
          <w:szCs w:val="17"/>
          <w:color w:val="auto"/>
        </w:rPr>
        <w:t>Age 61. Mr. Munoz has served as Chief Executive Officer of UAL and United since September 2015, and also as President of UAL and</w:t>
      </w:r>
      <w:r>
        <w:rPr>
          <w:rFonts w:ascii="Arial" w:cs="Arial" w:eastAsia="Arial" w:hAnsi="Arial"/>
          <w:sz w:val="17"/>
          <w:szCs w:val="17"/>
          <w:b w:val="1"/>
          <w:bCs w:val="1"/>
          <w:color w:val="auto"/>
        </w:rPr>
        <w:t xml:space="preserve"> </w:t>
      </w:r>
      <w:r>
        <w:rPr>
          <w:rFonts w:ascii="Arial" w:cs="Arial" w:eastAsia="Arial" w:hAnsi="Arial"/>
          <w:sz w:val="17"/>
          <w:szCs w:val="17"/>
          <w:color w:val="auto"/>
        </w:rPr>
        <w:t>United from September 2015 until August 2016. From February 2015 to September 2015, Mr. Munoz served as President and Chief Operating Officer of CSX Corporation ("CSX"), a railroad and intermodal transportation services company, overseeing operations, sales and marketing, human resources, service design and information technology. Prior to his appointment as President and Chief Operating Officer of CSX, Mr. Munoz served as Executive Vice President and Chief Operating Officer of CSX from January 2012 to February 2015 and as Executive Vice President and Chief Financial Officer of CSX from 2003 to 2012. Mr. Munoz has been a member of the UAL Board of Directors since 2010.</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December 2019, the Company announced that Mr. Munoz will transition from the role of Chief Executive Officer of UAL and United following UAL's 2020 Annual Meeting and assume the role of Executive Chairman of the Board of Directors of UAL.</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Andrew Nocella. </w:t>
      </w:r>
      <w:r>
        <w:rPr>
          <w:rFonts w:ascii="Arial" w:cs="Arial" w:eastAsia="Arial" w:hAnsi="Arial"/>
          <w:sz w:val="18"/>
          <w:szCs w:val="18"/>
          <w:color w:val="auto"/>
        </w:rPr>
        <w:t>Age 50. Mr. Nocella has served as Executive Vice President and Chief Commercial Officer of UAL and United since September 2017.</w:t>
      </w:r>
      <w:r>
        <w:rPr>
          <w:rFonts w:ascii="Arial" w:cs="Arial" w:eastAsia="Arial" w:hAnsi="Arial"/>
          <w:sz w:val="18"/>
          <w:szCs w:val="18"/>
          <w:b w:val="1"/>
          <w:bCs w:val="1"/>
          <w:color w:val="auto"/>
        </w:rPr>
        <w:t xml:space="preserve"> </w:t>
      </w:r>
      <w:r>
        <w:rPr>
          <w:rFonts w:ascii="Arial" w:cs="Arial" w:eastAsia="Arial" w:hAnsi="Arial"/>
          <w:sz w:val="18"/>
          <w:szCs w:val="18"/>
          <w:color w:val="auto"/>
        </w:rPr>
        <w:t>From February 2017 to September 2017, he served as Executive Vice President and Chief Revenue Officer of UAL and United. Prior to joining the Company, from August 2016 to February 2017, Mr. Nocella served as Senior Vice President, Alliances and Sales of American Airlines, Inc. From December 2013 to August 2016, he served as Senior Vice President and Chief Marketing Officer of American Airlines, Inc. From August 2007 to December 2013, he served as Senior Vice President, Marketing and Planning of US Airways.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84"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The following risk factors should be read carefully when evaluating the Company's business and the forward-looking statements contained in this report and other statements the Company or its representatives make from time to time. Any of the following risks could materially and adversely affect the Company's business, operating results, financial condition and the actual outcome of matters as to which forward-looking statements are made in this report.</w:t>
      </w:r>
    </w:p>
    <w:p>
      <w:pPr>
        <w:spacing w:after="0" w:line="1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do not successfully execute our strategic operating plan, or if our strategic operating plan is unsuccessful, our business, operating results and financial condition could be materially and adversely affected.</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announced several strategic plans in recent years, including several revenue-generating initiatives and plans to optimize our revenue, such as our plans to add capacity, including international expansion and new or increased service to mid-size airports, and initiatives and plans to optimize and control our costs. We also continue to explore opportunities to enhance our segmentation, including the introduction of Polaris, Basic Economy and United Premium Plus, and are implementing many programs and policies to improve the customer experience at all points in air travel. In developing our strategic operating plan, we make certain assumptions, including, but not limited to, those related to customer demand, competition, market consolidation, the availability of aircraft and the global economy. Actual economic, market and other conditions may be different from our assumptions. In 2019, our capacity growth was lower than planned due to the grounding of Boeing 737 MAX aircraft, among other factors, which adversely impacted our ability to execute our strategic operating plans. If we do not successfully execute our strategic operating plan, or if actual results vary significantly from our assumptions, our business, operating results and financial condition could be materially and adversely impacted.</w:t>
      </w:r>
    </w:p>
    <w:p>
      <w:pPr>
        <w:spacing w:after="0" w:line="2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Unfavorable economic and political conditions, in the United States and globally, may have a material adverse effect on our business, operating results and financial condition.</w:t>
      </w:r>
    </w:p>
    <w:p>
      <w:pPr>
        <w:spacing w:after="0" w:line="19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business and operating results are significantly impacted by U.S. and global economic and political conditions. The airline industry is highly cyclical, and the level of demand for air travel is correlated to the strength of the U.S. and global economies. Robust demand for the Company's air transportation services depends largely on favorable economic conditions, including the strength of the domestic and foreign economies, low unemployment levels, strong consumer confidence levels and the availability of consumer and business credit. Air transportation is often a discretionary purchase that leisure travelers may limit or eliminate during difficult economic times. Short-haul travelers, in particular, have the option to replace air travel with surface travel. In addition, during periods of unfavorable economic conditions, business travelers historically have reduced the volume of their travel, either due to cost-saving initiatives, the replacement of travel with alternatives such as videoconferencing, or as a result of decreased business activity requiring travel. During such periods, the Company's business and operating results may be adversely affected due to significant declines in industry passenger demand, particularly with respect to the Company's business and premium cabin travelers, and a reduction in fare levels.</w:t>
      </w:r>
    </w:p>
    <w:p>
      <w:pPr>
        <w:spacing w:after="0" w:line="1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global business with operations outside of the United States from which it derives significant operating revenues, volatile conditions in certain international regions may have a negative impact on the Company's operating results and its ability to achieve its business objectives. The Company's international operations are a vital part of its worldwide airline network. Political disruptions and instability in certain regions can negatively impact the demand and network availability for air travel. Additionally, any deterioration in global trade relations, such as increased tariffs or other trade barriers, could result in a decrease in the demand for international air travel.</w:t>
      </w:r>
    </w:p>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Stagnant or weakening global economic conditions either in the United States or in other geographic regions may have a material adverse effect on the Company's revenues, operating results and liquidity.</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global airline industry is highly competitive and susceptible to price discounting and changes in capacity, which could have a material adverse effect on our business, operating results and financial condition.</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airline industry is highly competitive, marked by significant competition with respect to routes, fares, schedules (both timing and frequency), services, products, customer service and frequent flyer programs. Consolidation in the airline industry, the rise of well-funded government sponsored international carriers, changes in international alliances and the creation of immunized JBAs have altered and are expected to continue to alter the competitive landscape in the industry, resulting in the formation of airlines and alliances with increased financial resources, more extensive global networks and services and competitive cost structures.</w:t>
      </w:r>
    </w:p>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Airlines also compete by increasing or decreasing their capacity, including route systems and the number of destinations served. Several of the Company's domestic and international competitors have increased their international capacity by including service to some destinations that the Company currently serves, causing overlap in destinations served, and therefore, increasing competition for those destinations. This increased competition in both domestic and international markets may have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84"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 material adverse effect on the Company's business, operating results and financial condition.</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U.S. operations are subject to competition from traditional network carriers, national point-to-point carriers, and discount carriers, including low-cost carriers and ultra-low-cost carriers. Such carriers may have lower costs and provide service at lower fares to destinations also served by the Company. The significant presence of low-cost carriers and ultra-low-cost carriers, which engage in substantial price discounting, may diminish our ability to achieve sustained profitability on domestic and international routes. Our ability to compete in the domestic market effectively depends, in part, on our ability to maintain a competitive cost structure. If we cannot maintain our costs at a competitive level, then our business, operating results and financial condition could be materially and adversely affected.</w:t>
      </w:r>
    </w:p>
    <w:p>
      <w:pPr>
        <w:spacing w:after="0" w:line="22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international operations are subject to competition from both foreign and domestic carriers. Competition is significant from government subsidized competitors from certain Middle East countries. These carriers have large numbers of international widebody aircraft on order and are increasing service to the U.S. from their hubs in the Middle East. The government support provided to these carriers has allowed them to grow quickly, reinvest in their product, invest in other airlines and expand their global presence. We also face competition from foreign carriers operating under "fifth freedom" rights permitted under international treaties that allow certain carriers to provide service to and from stopover points between their home country and ultimate destination, including points in the United States, in competition with service provided by us.</w:t>
      </w:r>
    </w:p>
    <w:p>
      <w:pPr>
        <w:spacing w:after="0" w:line="2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Through alliance and other marketing and codesharing agreements with foreign carriers, U.S. carriers have increased their ability to sell international transportation, such as services to and beyond traditional global gateway cities. Similarly, foreign carriers have obtained increased access to interior U.S. passenger traffic beyond traditional U.S. gateway cities through these relationships. In addition, several JBAs among U.S. and foreign carriers have received grants of antitrust immunity allowing the participating carriers to coordinate schedules, pricing, sales and inventory. If we are not able to continue participating in these types of alliance and other marketing and codesharing agreements in the future, our business, operating results and financial condition could be materially and adversely affected.</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High and/or volatile fuel prices or significant disruptions in the supply of aircraft fuel could have a material adverse impact on the Company's strategic plans, operating results, financial condition and liquidity.</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Aircraft fuel is critical to the Company's operations and is one of our largest operating expenses. During the year ended December 31, 2019, the Company's fuel expense was approximately $9.0 billion. The timely and adequate supply of fuel to meet operational demand depends on the continued availability of reliable fuel supply sources, as well as related service and delivery infrastructure. Although the Company has some ability to cover short-term fuel supply and infrastructure disruptions at some major demand locations, it depends significantly on the continued performance of its vendors and service providers to maintain supply integrity. Consequently, the Company can neither predict nor guarantee the continued timely availability of aircraft fuel throughout the Company's system.</w:t>
      </w:r>
    </w:p>
    <w:p>
      <w:pPr>
        <w:spacing w:after="0" w:line="22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Aircraft fuel has historically been the Company's most volatile operating expense due to the highly unpredictable nature of market prices for fuel. The Company generally sources fuel at prevailing market prices. Market prices for aircraft fuel have historically fluctuated substantially in short periods of time and continue to be highly volatile due to a dependence on a multitude of unpredictable factors beyond the Company's control. These factors include changes in global crude oil prices, the balance between aircraft fuel supply and demand, natural disasters, prevailing inventory levels and fuel production and transportation infrastructure. Prices of fuel are also impacted by indirect factors, such as geopolitical events, economic growth indicators, fiscal/monetary policies, fuel tax policies, changes in regulations, environmental concerns and financial investments in energy markets. Both actual changes in these factors, as well as changes in related market expectations, can potentially drive rapid changes in fuel prices in short periods of time.</w:t>
      </w:r>
    </w:p>
    <w:p>
      <w:pPr>
        <w:spacing w:after="0" w:line="1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Given the highly competitive nature of the airline industry, the Company may not be able to increase its fares and fees sufficiently to offset the full impact of increases in fuel prices, especially if these increases are significant, rapid and sustained. Further, any such fare or fee increase may not be sustainable, may reduce the general demand for air travel and may also eventually impact the Company's strategic growth and investment plans for the future. In addition, decreases in fuel prices for an extended period of time may result in increased industry capacity, increased competitive actions for market share and lower fares or surcharges. If fuel prices were to then subsequently rise quickly, there may be a lag between the rise in fuel prices and any improvement of the revenue environment.</w:t>
      </w:r>
    </w:p>
    <w:p>
      <w:pPr>
        <w:spacing w:after="0" w:line="22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To protect against increases in the market prices of fuel, the Company may hedge a portion of its future fuel requirements. The Company does not currently hedge its future fuel requirements. However, to the extent the Company decides to start a hedging program, such hedging program may not be successful in mitigating higher fuel costs, and any price protection provided may be limited due to the choice of hedging instruments and market conditions, including breakdown of correlation between hedging instrument and market price of aircraft fuel and failure of hedge counterparties. To the extent that the Company decides to hedge a portion of its future fuel requirements and uses hedge contracts that have the potential to create an obligation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84" w:right="2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to pay upon settlement if fuel prices decline significantly, such hedge contracts may limit the Company's ability to benefit fully from lower fuel prices in the future. If fuel prices decline significantly from the levels existing at the time the Company enters into a hedge contract, the Company may be required to post collateral (margin) beyond certain thresholds. There can be no assurance that the Company's hedging arrangements, if any, will provide any particular level of protection against rises in fuel prices or that its counterparties will be able to perform under the Company's hedging arrangements. Additionally, deterioration in the Company's financial condition could negatively affect its ability to enter into new hedge contracts in the future.</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Company relies heavily on technology and automated systems to operate its business and any significant failure or disruption of the technology or these systems could materially harm its business.</w:t>
      </w:r>
    </w:p>
    <w:p>
      <w:pPr>
        <w:spacing w:after="0" w:line="19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depends on automated systems and technology to operate its business, including, but not limited to, computerized airline reservation systems, demand prediction software, flight operations systems, revenue management systems, accounting systems, technical and business operations systems, telecommunication systems and commercial websites and applications, including www.united.com and the United Airlines app. United's website and other automated systems must be able to accommodate a high volume of traffic, maintain secure information and deliver important flight and schedule information, as well as process critical financial transactions. These systems could suffer substantial or repeated disruptions due to various events, some of which are beyond the Company's control, including natural disasters, power failures, terrorist attacks, equipment or software failures or cyber security attacks. We have initiatives in place to prevent disruptions and disaster recovery plans, and we continue to invest in improvements to these initiatives and plans; however, these measures may not be adequate to prevent or mitigate disruptions. Substantial or repeated systems failures or disruptions, including failures or disruptions related to the Company's complex integration of systems, could reduce the attractiveness of the Company's services versus those of its competitors, materially impair its ability to market its services and operate its flights, result in the unauthorized release of confidential or otherwise protected information, result in increased costs, lost revenue and the loss or compromise of important data, and may adversely affect the Company's business, operating results and financial condition.</w:t>
      </w:r>
    </w:p>
    <w:p>
      <w:pPr>
        <w:spacing w:after="0" w:line="20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Company's business relies extensively on third-party service providers, including certain technology providers. Failure of these parties to perform as expected, or interruptions in the Company's relationships with these providers or their provision of services to the Company, could have a material adverse effect on the Company's business, operating results and financial condition.</w:t>
      </w:r>
    </w:p>
    <w:p>
      <w:pPr>
        <w:spacing w:after="0" w:line="2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has engaged third-party service providers to perform a large number of functions that are integral to its business, including regional operations, operation of customer service call centers, distribution and sale of airline seat inventory, provision of information technology infrastructure and services, transmitting or uploading of data, provision of aircraft maintenance and repairs, provision of various utilities, performance of aircraft fueling operations and catering services, among other vital functions and services. The Company does not directly control these third-party service providers, although generally it does enter into agreements that define expected service performance and compliance requirements, such as compliance with legal requirements, including anti-corruption laws; however, there can be no assurance that our third-party service providers will adhere to these requirements.</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Any of these third-party service providers, however, may materially fail to meet its service performance commitments to the Company or may suffer disruptions to its systems that could impact its services. For example, failures in certain third-party technology or communications systems may cause flight delays or cancellations. The failure of any of the Company's third-party service providers to perform its service obligations adequately, or other interruptions of services, may reduce the Company's revenues and increase its expenses, prevent the Company from operating its flights and providing other services to its customers or result in adverse publicity or harm to our brand. We may also be subject to consequences from any illegal conduct of our third-party service providers, including for their failure to comply with anti-corruption laws, such as the U.S. Foreign Corrupt Practices Act. In addition, the Company's business and financial performance could be materially harmed if its customers believe that its services are unreliable or unsatisfactory.</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may also have disagreements with such providers or such contracts may be terminated or may not be extended or renewed. For example, the number of flight reservations booked through third-party GDSs or online travel agents ("OTAs") may be adversely affected by disruptions in the business relationships between the Company and these suppliers. Such disruptions, including a failure to agree upon acceptable contract terms when contracts expire or otherwise become subject to renegotiation, may cause the Company's flight information to be limited or unavailable for display by the affected GDS or OTA operator, significantly increase fees for both the Company and GDS/OTA users and impair the Company's relationships with its customers and travel agencies. Any such disruptions or contract terminations may adversely impact our operations and financial results.</w:t>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negotiate or renew agreements with third-party service providers, or if we renew existing agreements on less favorable terms, our operations and financial results may be adversely affected.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84"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Company could experience adverse publicity, harm to its brand, reduced travel demand and potential tort liability as a result of an accident, catastrophe or incident involving its aircraft or its operations, the aircraft or operations of its regional carriers, the aircraft or operations of its codeshare partners, or the aircraft or operations of another airline, which may result in a material adverse effect on the Company's business, operating results and financial condition.</w:t>
      </w:r>
    </w:p>
    <w:p>
      <w:pPr>
        <w:spacing w:after="0" w:line="214"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An accident, catastrophe or incident involving an aircraft that the Company operates, or an aircraft that is operated by a codeshare partner, one of the Company's regional carriers or another airline, or an incident involving the Company's operations, or the operations of a codeshare partner, one of the Company's regional carriers or of another airline, could have a material adverse effect on the Company if such accident, catastrophe or incident created a public perception that the Company's operations, or the operations of its codeshare partners or regional carriers, are not safe or reliable, or are less safe or reliable than other airlines. Additionally, any accident, catastrophe or incident involving an aircraft type that is operated by the Company, its codeshare partners or regional carriers could have a material adverse effect on the Company if such accident, catastrophe or incident creates a public perception that such aircraft type was not safe or reliable. Such public perception could, in turn, result in adverse publicity for the Company, cause harm to the Company's brand and reduce travel demand on the Company's flights, or the flights of its codeshare partners or regional carriers.</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any such accident, catastrophe or incident involving the Company, its regional carriers or its codeshare partners could expose the Company to significant tort liability. Although the Company currently maintains liability insurance in amounts and of the type the Company believes to be consistent with industry practice to cover damages arising from any such accident, catastrophe or incident, and the Company's codeshare partners and regional carriers carry similar insurance and generally indemnify the Company for their operations, if the Company's liability exceeds the applicable policy limits or the ability of another carrier to indemnify it, the Company could incur substantial losses from an accident, catastrophe or incident which may result in a material adverse effect on the Company's operating results and financial condition.</w:t>
      </w:r>
    </w:p>
    <w:p>
      <w:pPr>
        <w:spacing w:after="0" w:line="2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Terrorist attacks, international hostilities or other security events, or the fear of terrorist attacks or hostilities, even if not made directly on the airline industry, could negatively affect the Company and the airline industry.</w:t>
      </w:r>
    </w:p>
    <w:p>
      <w:pPr>
        <w:spacing w:after="0" w:line="19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Terrorist attacks or international hostilities, even if not made on or targeted directly at the airline industry, or the fear of or the precautions taken in anticipation of such attacks (including elevated national threat warnings, travel restrictions, selective cancellation or redirection of flights and new security regulations) could materially and adversely affect the Company and the airline industry. Security events pose a significant risk to our passenger and cargo operations. These events could include acts of violence in public areas that we cannot control. The Company's financial resources may not be sufficient to absorb the adverse effects of any future terrorist attacks, international hostilities or other security events. Any such events could have a material adverse impact on the Company's financial condition, liquidity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privacy and data security obligations or a significant data breach may adversely affect the Company's business.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regular business operations, we collect, transmit, process and store sensitive data, including personal information of our customers and employees such as payment processing information and information of our business partners. The Company depends on the ability to use information we collect to provide our services and operate our business.</w:t>
      </w:r>
    </w:p>
    <w:p>
      <w:pPr>
        <w:spacing w:after="0" w:line="20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must manage increasing legislative, regulatory and consumer focus on privacy issues and data security. For example, in May 2018, the EU's General Data Protection Regulation became effective, which imposes significant privacy and data security requirements, as well as potential for substantial penalties for non-compliance. Recent penalties imposed by regulators have resulted in substantial adverse financial consequences to those companies. Also, some of the Company's commercial partners, such as credit card companies, have imposed data security standards that the Company must meet. These standards continue to evolve. The Company will continue its efforts to meet its privacy and data security obligations; however, it is possible that certain new obligations or customer expectations may be difficult to meet and could increase the Company's costs.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the Company must manage evolving cybersecurity risks. Our network systems and storage applications, and those systems and storage and other business applications maintained by our third-party providers, may be subject to attempts to gain unauthorized access, breach, malfeasance or other system disruptions. In some cases, it is difficult to anticipate or to detect immediately such incidents and the damage caused thereby. In addition, as attacks by cybercriminals become more sophisticated, frequent and intense, the costs of proactive defense measures may increase. While we continually work to safeguard our internal network systems, including through risk assessments, system monitoring, information security policies and employee awareness and training, and review and validate our third-party security standards, there is no assurance that such actions will be sufficient to prevent cyber-attacks or data breaches.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loss, disclosure, misappropriation of or access to customers', employees' or business partners' information or the Company's failure to meet its obligations could result in legal claims or proceedings, penalties and remediation costs. A</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84"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significant data breach or the Company's failure to meet its obligations may adversely affect the Company's reputation, relationships with our business partners, business, operating results and financial condition.</w:t>
      </w:r>
    </w:p>
    <w:p>
      <w:pPr>
        <w:spacing w:after="0" w:line="19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mandatory grounding of our Boeing 737 MAX 9 aircraft may have a material adverse effect on our business, operating results and financial condition.</w:t>
      </w:r>
    </w:p>
    <w:p>
      <w:pPr>
        <w:spacing w:after="0" w:line="19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March 13, 2019, the Federal Aviation Administration issued an emergency order prohibiting the operation of Boeing 737 MAX series aircraft by U.S. certificated operators (the "FAA Order"). As a result, the Company grounded all 14 Boeing 737 MAX 9 aircraft in its fleet and Boeing also suspended deliveries of new Boeing 737 MAX series aircraft. The Company does not know whether, on what conditions or when the MAX grounding will end. The long-term operational and financial impact of this grounding is uncertain and could negatively affect the Company based on a number of factors, including, among others, the period of time the aircraft are unavailable, the availability of replacement aircraft, to the extent needed, and the circumstances of any reintroduction of the grounded aircraft to service.</w:t>
      </w:r>
    </w:p>
    <w:p>
      <w:pPr>
        <w:spacing w:after="0" w:line="220"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In 2019, the grounding affected the delivery of 16 Boeing 737 MAX aircraft that were scheduled for delivery and were not delivered, and it is also expected to affect the timing of future Boeing 737 MAX aircraft deliveries, including the 28 Boeing 737 MAX aircraft that the Company planned to take delivery in 2020. The extent of the delay of future deliveries is expected to be impacted by the length of time the FAA Order remains in place, Boeing's production rate and the pace at which Boeing can deliver aircraft following the lifting of the FAA Order, among other factors.</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continues to make adjustments to its flight schedule and operations, including substituting replacement aircraft on routes originally intended to be flown by Boeing 737 MAX aircraft. The grounding has impacted the Company's ability to implement its strategic growth strategy, reducing the Company's scheduled capacity from its planned capacity, and has resulted in increased costs as well as lower operating revenue. The Company has had discussions with Boeing regarding compensation from Boeing for the Company's financial damages related to the grounding of the airline's Boeing 737 MAX aircraft; however, the parties have not agreed to any settlement, and the amount, nature and timing of any settlement with Boeing remains uncertain.</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contractual relationships with various regional carriers to provide regional aircraft service branded as United Express. These regional operations are an extension of the Company's mainline network and complement the Company's operations by carrying traffic that connects to mainline service and allows flights to smaller cities that cannot be provided economically with mainline aircraft. The Company's business and operations are dependent on its regional flight network, with regional capacity accounting for approximately 11% of the Company's total capacity for the year ended December 31, 2019.</w:t>
      </w:r>
    </w:p>
    <w:p>
      <w:pPr>
        <w:spacing w:after="0" w:line="2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has agreements with its regional carriers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 and seasonality. In addition, the decrease in qualified pilots driven by changes to federal regulations has adversely impacted and could continue to affect the Company's regional flying. For example, the FAA's expansion of minimum pilot qualification standards, including a requirement that a pilot have at least 1,500 total flight hours, as well as the FAA's revised pilot flight and duty time requirements under Part 117 of the Federal Aviation Regulations, have contributed to a smaller supply of pilots available to regional carriers. The decrease in qualified pilots resulting from the regulations as well as factors including a decreased student pilot population and a shrinking U.S. military from which to hire qualified pilots, could adversely impact the Company's operations and financial condition, and could also require the Company to reduce regional carrier flying.</w:t>
      </w:r>
    </w:p>
    <w:p>
      <w:pPr>
        <w:spacing w:after="0" w:line="19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If a significant disruption occurs to the Company's regional network or flights or if one or more of the regional carriers with which the Company has relationships is unable to perform their obligations over an extended period of time, there could be a material adverse effect on the Company's business, operating results and financial condition.</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Current or future litigation and regulatory actions, or failure to comply with the terms of any settlement, order or arrangement relating to these actions, could have a material adverse impact on the Company.</w:t>
      </w:r>
    </w:p>
    <w:p>
      <w:pPr>
        <w:spacing w:after="0" w:line="19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From time to time, we are subject to litigation and other legal and regulatory proceedings relating to our business or investigations or other actions by governmental agencies, including as described in Part I, Item 3, Legal Proceedings, of this report. No assurances can be given that the results of these or new matters will be favorable to us. An adverse resolution of lawsuits, arbitrations, investigations or other proceedings or actions could have a material adverse effect on our financial condition and operating results, including as a result of non-monetary remedies, and could also result in adverse publicity. Defending ourselves in these matters may be time-consuming, expensive and disruptive to normal business operations and may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84"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result in significant expense and a diversion of management's time and attention from the operation of our business, which could impede our ability to achieve our business objectives. Additionally, any amount that we may be required to pay to satisfy a judgment, settlement, fine or penalty may not be covered by insurance. If we fail to comply with the terms contained in any settlement, order or agreement with a governmental authority relating to these matters, we could be subject to criminal or civil penalties, which could have a material adverse impact on the Company. Under our charter and certain indemnification agreements that we have entered into (and may in the future enter into) with our officers, directors and certain third parties, we could be required to indemnify and advance expenses to them in connection with their involvement in certain actions, suits, investigations and other proceedings. There can be no assurance that any of these payments will not be material.</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significant investments in other airlines, including in other parts of the world, and the commercial relationships that we have with those carriers may not produce the returns or results we expect.</w:t>
      </w:r>
    </w:p>
    <w:p>
      <w:pPr>
        <w:spacing w:after="0" w:line="19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An important part of our strategy to expand our global network includes making significant investments in airlines both domestically and in other parts of the world and expanding our commercial relationships with these carriers. For example, in January 2019, we completed the acquisition of a 49.9% interest in ManaAir LLC, which, as of immediately following the closing of that investment, owns 100% of the equity interests in ExpressJet Airlines LLC, a domestic regional airline. We also have minority equity interests in CommutAir and Republic Airways Holdings Inc. See Note 9 to the financial statements included in Part II, Item 8 of this report for additional information regarding our investments in regional airlines. We also have significant investments in Latin American airlines, including significant investments in Avianca Holdings, S.A. ("AVH") and BRW Aviation LLC ("BRW"), an affiliate of Synergy Aerospace Corporation and the majority shareholder of AVH, and an equity investment in Azul. See Note 8 and Note 9 to the financial statements included in Part II, Item 8 of this report for additional information regarding our investments in AVH and Azul, respectively. See also the additional risks with respect to our investment in AVH described in this Part I, Item 1A. Risk Factors.</w:t>
      </w:r>
    </w:p>
    <w:p>
      <w:pPr>
        <w:spacing w:after="0" w:line="2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expect to continue exploring similar non-controlling investments in, and entering into JBAs, commercial agreements, loan transactions and strategic alliances with, other carriers as part of our regional and global business strategy. These transactions and relationships involve significant challenges and risks, and we face competition in forming and maintaining these relationships, since there are a limited number of potential arrangements and other airlines are looking to enter into similar relationships. We are dependent on these other carriers for significant aspects of our network in the regions in which they operate. While we work closely with these carriers, each is a separately certificated commercial air carrier, and we do not have control over their operations, strategy, management or business methods. And not only are these airlines subject to a number of the same risks as our business, which are described elsewhere in this Part I, Item 1A. Risk Factors, including competitive pressures on pricing, demand and capacity, changes in aircraft fuel pricing, and the impact of global and local political and economic conditions on operations and customer travel patterns, among others, they are also subject to their own distinct financial and operational risks.</w:t>
      </w:r>
    </w:p>
    <w:p>
      <w:pPr>
        <w:spacing w:after="0" w:line="20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a result of these and other factors, we may not realize a satisfactory return on our investment, and we may not receive repayment of any invested or loaned funds. Further, these investments may not generate the revenue or operational synergies we expect, and they may distract management focus from our operations or other strategic options. Finally, our reliance on these other carriers in the regions in which they operate may negatively impact our regional and global operations and results if those carriers are impacted by general business risks or perform below our expectations or needs. Any one or more of these events could have a material adverse effect on our operating results or financial condition.</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also be subject to consequences from any illegal conduct of JBA partners, including for failure to comply with anti-corruption laws such as the U.S. Foreign Corrupt Practices Act. Furthermore, our relationships with these carriers may be subject to the laws and regulations of non-U.S. jurisdictions in which these carriers are located or conduct business. In addition, any political or regulatory change in these jurisdictions that negatively impacts or prohibits our arrangements with these carriers could have an adverse effect on our operating results or financial condition. To the extent that the operations of any of these carriers are disrupted over an extended period of time or their actions subject us to the consequences of failure to comply with laws and regulations, our operating results may be adversely affected.</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significant investments in AVH and its affiliates, and the commercial relationships that we have with Avianca may not produce the returns or results we expect.</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November 2018, as part of our global network strategy, United entered into a revenue-sharing JBA with Avianca, a subsidiary of AVH, Copa and several of their respective affiliates, subject to regulatory approval. Concurrently with this transaction, United, as lender, entered into a Term Loan Agreement (the "BRW Term Loan Agreement") with, among others, BRW Aviation Holding LLC ("BRW Holding") and BRW, as guarantor and borrower, respectively. Pursuant to the BRW Term Loan Agreement, United provided to BRW a $456 million term loan (the "BRW Term Loan"), secured by a pledge of BRW's equity, as well as BRW's 516 million common shares of AVH (which are eligible to be converted into the same number of</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84"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preferred shares, which maybe be deposited with the depositary for AVH's American Depositary Receipts ("ADRs"), the class of AVH securities that trades on the New York Stock Exchange (the "NYSE"), in exchange for 64.5 million ADRs) (such shares and equity, collectively, the "BRW Loan Collateral"). BRW is currently in default under the BRW Term Loan Agreement. In order to protect the value of its collateral, on May 24, 2019, United began to exercise certain remedies available to it under the terms of the BRW Term Loan Agreement and related documents. In connection with the delivery by United of a notice of default to BRW, Kingsland Holdings Limited ("Kingsland"), AVH's largest minority shareholder, was granted, in accordance with the agreements related to the BRW Term Loan Agreement, authority to manage BRW, which remains the majority shareholder of AVH. After a hearing on September 26, 2019, a New York state court granted Kingsland summary judgment authorizing it to foreclose on the BRW Loan Collateral under the BRW Term Loan Agreement. Kingsland is continuing with the foreclosure process, which is expected to result in a judicially supervised sale of the BRW Loan Collateral. The New York state court also granted Kingsland's motion for a preliminary injunction that, among other things, enjoins BRW Holding from interfering with Kingsland's ability to exercise voting and other rights in certain equity interests in BRW. These rulings are intermediate steps in the judicial foreclosure process in New York and are subject to appeal. The repayment of the BRW Term Loan is dependent on this judicial foreclosure process and there is no assurance that a judicial foreclosure sale will be completed, or, if completed, will result in the full satisfaction of all of the obligations under the BRW Term Loan. Our ability to enforce a deficiency judgment against BRW in the event that the proceeds from the sale of the BRW Loan Collateral in the judicial foreclosure are insufficient to repay the full amount of the BRW Term Loan may be limited. Any of these circumstances may lead to a loss or delay in the repayment of the BRW Term Loan. Further, the amount we receive from the foreclosure sale of the BRW Loan Collateral may be inadequate to fully pay the amounts owed to us by BRW and our costs incurred to foreclose, repossess and sell the property.</w:t>
      </w:r>
    </w:p>
    <w:p>
      <w:pPr>
        <w:spacing w:after="0" w:line="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November 2019, United entered into a senior secured convertible term loan agreement (the "AVH Convertible Loan Agreement") with, among others, AVH, as borrower, for the provision by the lenders thereunder (including United) to AVH of convertible term loans for general corporate purposes. In December 2019, United provided such a convertible term loan to AVH under the Convertible Loan Agreement in the aggregate amount of $150 million (the "AVH Convertible Loan").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8 to the financial statements included in Part II, Item 8 of this report for additional information regarding our investments in AVH and its affiliates.</w:t>
      </w:r>
    </w:p>
    <w:p>
      <w:pPr>
        <w:spacing w:after="0" w:line="2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transactions and relationships involve significant challenges and risks, particularly given AVH's recent debt restructuring and the judicial foreclosure process to which the repayment of the BRW Term Loan is subject. While AVH has successfully carried out its debt restructuring plan to date, there is no guarantee that such debt restructuring plan will improve AVH's long-term financial condition, United's exposure to which has increased with the completion of the AVH Convertible Loan. While we work closely with Avianca in connection with the JBA, and have supported AVH by providing capital in the form of the AVH Convertible Loan, Avianca is a separately certificated commercial air carrier, and we do not have control over its or AVH's operations, strategy, management or business methods. Avianca is also subject to a number of the same risks as our business, which are described in this Part I, Item 1A, Risk Factors, including competitive pressures on pricing, demand and capacity, changes in aircraft fuel pricing, and the impact of global and local political and economic conditions on operations and customer travel patterns, among others, as well as to its own distinct financial and operational risks.</w:t>
      </w:r>
    </w:p>
    <w:p>
      <w:pPr>
        <w:spacing w:after="0" w:line="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the value of the BRW Loan Collateral and the collateral securing the AVH Convertible Loan is subject to market and other conditions. Changes in the aviation market may adversely affect the value of the BRW Loan Collateral and the collateral securing the AVH Convertible Loan and thereby lower the value to be derived from a foreclosure or other exercise of remedies with respect to the BRW Term Loan Agreement or the AVH Convertible Loan. As a result of these and other factors, including delays in foreclosure proceedings, we may not receive full repayment of our BRW Term Loan or our AVH Convertible Loan, and we may be unable to realize the full value of the BRW Loan Collateral or the collateral securing the AVH Convertible Loan. As a consequence, we may not realize a satisfactory return on our invested or loaned funds with respect to AVH and its affiliates.</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Further, these investments may not generate the revenue or operational synergies we expect, and they may distract management focus from our operations or other strategic options. Finally, our reliance on Avianca in the region in which it operates may negatively impact our global operations and results if AVH does not successfully recover from its debt restructuring or is otherwise impacted by general business risks or performs below our expectations or needs. Any one or more of these events could have a material adverse effect on our operating results or financial condition.</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airline industry may undergo further change with respect to alliances and JBAs or due to consolidations, any of which could have a material adverse effect on the Company.</w:t>
      </w:r>
    </w:p>
    <w:p>
      <w:pPr>
        <w:spacing w:after="0" w:line="19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faces, and may continue to face, strong competition from other carriers due to the modification of alliances and formation of new JBAs. Carriers may improve their competitive positions through airline alliances, slot swaps and/or JBAs. Certain types of airline JBAs further competition by allowing multiple airlines to coordinate routes, pool revenues and costs,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84"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and enjoy other mutual benefits, achieving many of the benefits of consolidation. Open Skies agreements, including the longstanding agreements between the United States and each of the EU, Canada, Japan, Korea, New Zealand, Australia, Colombia and Panama, as well as the more recent agreements between the United States and each of Mexico and Brazil, may also give rise to better integration opportunities among international carriers. Movement of airlines between current global airline alliances could reduce joint network coverage for members of such alliances while also creating opportunities for JBAs and bilateral alliances that did not exist before such realignment. Further airline and airline alliance consolidations or reorganizations could occur in the future. The Company routinely engages in analyses and discussions regarding its own strategic position, including current and potential alliances, asset acquisitions and divestitures and may have future discussions with other airlines regarding strategic activities. If other airlines participate in such activities, those airlines may significantly improve their cost structures or revenue generation capabilities, thereby potentially making them stronger competitors of the Company and potentially impairing the Company's ability to realize expected benefits from its own strategic relationships.</w:t>
      </w:r>
    </w:p>
    <w:p>
      <w:pPr>
        <w:spacing w:after="0" w:line="19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Orders for new aircraft typically must be placed years in advance of scheduled deliveries, and changes in the Company's network strategy over time or other factors outside of the Company's control may make aircraft on order less economic for the Company, result in costs related to modification or termination of aircraft orders or cause the Company to enter into orders for new aircraft on less favorable terms.</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orders for new aircraft are typically made years in advance of actual delivery of such aircraft, and the financial commitment required for purchases of new aircraft is substantial. At December 31, 2019, the Company had firm commitments to purchase 304 new aircraft from The Boeing Company ("Boeing"), Airbus S.A.S ("Airbus") and Embraer S.A. ("Embraer"), as well as related agreements with engine manufacturers, maintenance providers and others. As of December 31, 2019, the Company's commitments relating to the acquisition of aircraft and related spare engines, aircraft improvements and other related obligations aggregated to a total of $26.7 billion.</w:t>
      </w:r>
    </w:p>
    <w:p>
      <w:pPr>
        <w:spacing w:after="0" w:line="21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Subsequent to the Company placing an order for new aircraft, the Company's network strategy may change. As a result, the Company's preference for a particular aircraft that it has ordered, often years in advance, may be decreased or eliminated. If the Company were to modify or terminate any of its existing aircraft order commitments, it may be responsible for material liabilities to its counterparties arising from any such modification. Additionally, the Company may have a need for additional aircraft that are not available under its existing orders. In such cases, the Company may seek to acquire aircraft from other sources, such as through lease arrangements, which may result in higher costs or less favorable terms, or through the purchase or lease of used aircraft. The Company may not be able to acquire such aircraft when needed on favorable terms or at all.</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imposition of new tariffs, or any increase in existing tariffs, on the importation of commercial aircraft that the Company orders may result in higher costs. For example, in October 2019, the United States imposed tariffs on certain imports from the EU, including a customs duty at an ad valorem rate of 10% on new commercial aircraft, which rate, in February 2020, was increased to 15%. These tariffs apply to certain new Airbus aircraft that we have on order. While the scope and rate of these tariffs are subject to change, if and to the extent these tariffs are imposed on us, they could increase the effective cost of, among other things, new Airbus aircraft.</w:t>
      </w:r>
    </w:p>
    <w:p>
      <w:pPr>
        <w:spacing w:after="0" w:line="21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A majority of the Company's aircraft and certain parts are sourced from single suppliers; therefore, the Company would be materially and adversely affected if it were unable to obtain timely deliveries, additional equipment or support from any of these suppliers.</w:t>
      </w:r>
    </w:p>
    <w:p>
      <w:pPr>
        <w:spacing w:after="0" w:line="17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currently sources the majority of its aircraft and many related aircraft parts from Boeing. In addition, our aircraft suppliers are dependent on other suppliers for certain other aircraft parts. Therefore, if the Company is unable to acquire additional aircraft from Boeing, or if Boeing fails to make timely deliveries of aircraft or to provide adequate support for its products, the Company's operations could be materially and adversely affected. The Company is also dependent on a limited number of suppliers for aircraft engines and certain other aircraft parts and could, therefore, also be materially and adversely affected in the event of the unavailability of these engines and other parts.</w:t>
      </w:r>
    </w:p>
    <w:p>
      <w:pPr>
        <w:spacing w:after="0" w:line="2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Union disputes, employee strikes or slowdowns, and other labor-related disruptions could adversely affect the Company's operations and could result in increased costs that impair its financial performance.</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United is a highly unionized company. As of December 31, 2019, the Company and its subsidiaries had approximately 96,000 active employees, of whom approximately 84% were represented by various U.S. labor organizations. See Part I, Item 1. Business—Employees, of this report for additional information on our represented employee groups and collective bargaining agreements.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is a risk that unions or individual employees might pursue judicial or arbitral claims arising out of changes implemented as a result of the Company entering into collective bargaining agreements with its represented employee groups. There is also a possibility that employees or unions could engage in job actions such as slowdowns, work-to-rule campaigns, sick-outs or other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84"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actions designed to disrupt the Company's normal operations, in an attempt to pressure the Company in collective bargaining negotiations. Although the RLA makes such actions unlawful until the parties have been lawfully released to self-help, and the Company can seek injunctive relief against premature self-help, such actions can cause significant harm even if ultimately enjoined. Similarly, if the operations of our third-party regional carriers, ground handlers or other vendors are impacted by labor-related disruptions, our operations could be adversely affected. In addition, collective bargaining agreements with the Company's represented employee groups increase the Company's labor costs, which increase could be material.</w:t>
      </w:r>
    </w:p>
    <w:p>
      <w:pPr>
        <w:spacing w:after="0" w:line="20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 outbreak of disease or similar public health threat, such as the coronavirus, could have a material adverse impact on the Company's business, operating results and financial condition.</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 outbreak of disease or similar public health threat, or fear of such an event, that affects travel demand, travel behavior, or travel restrictions could have a material adverse impact on the Company's business, financial condition and operating results. In addition, outbreaks of disease could result in increased government restrictions and regulation, including quarantines of our personnel or an inability to access facilities or our aircraft, which could adversely affect our operations.</w:t>
      </w:r>
    </w:p>
    <w:p>
      <w:pPr>
        <w:spacing w:after="0" w:line="21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December 2019, a novel strain of coronavirus ("COVID-19") was reported in Wuhan, China. The World Health Organization has declared COVID-19 to constitute a "Public Health Emergency of International Concern." On January 30, 2020, the U.S. Department of State issued a Level 4 "do not travel" advisory for China. The U.S. government has also implemented enhanced screenings, quarantine requirements and travel restrictions in connection with the COVID-19 outbreak. The Company has suspended its flights between the United States and each of Beijing, Chengdu, Shanghai and Hong Kong through April 24, 2020. These routes represented approximately 5% of the Company's 2020 planned capacity and the Company's other trans-Pacific routes represented an additional 10% of the Company's 2020 planned capacity. As of the date of this report, the Company is experiencing an approximately 100% decline in near-term demand to China and an approximately 75% decline in near-term demand on the rest of the Company's trans-Pacific routes. The extent of the impact of the COVID-19 on the Company's operational and financial performance will depend on future developments, including the duration and spread of the outbreak and related travel advisories and restrictions and the impact of the COVID-19 on overall demand for air travel, all of which are highly uncertain and cannot be predicted. If traffic on the Company's trans-Pacific routes were to remain at these levels for an extended period, and/or routes in other parts of the Company's network begin to see significant declines in demand, our results of operations for full year 2020 may be materially adversely affected.</w:t>
      </w:r>
    </w:p>
    <w:p>
      <w:pPr>
        <w:spacing w:after="0" w:line="2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experience changes in, or are unable to retain, our senior management team or other key employees, our operating results could be adversely affected.</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Much of our future success depends on the continued availability of skilled personnel with industry experience and knowledge, including our senior management team and other key employees. If we are unable to attract and retain talented, highly qualified senior management and other key employees, or if we are unable to effectively provide for the succession of senior management, our business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Extended interruptions or disruptions in service at major airports where we operate could have a material adverse impact on our operations.</w:t>
      </w:r>
    </w:p>
    <w:p>
      <w:pPr>
        <w:spacing w:after="0" w:line="26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airline industry is heavily dependent on business models that concentrate operations in major airports in the United States and throughout the world. An extended interruption or disruption at an airport where we have significant operations could have a material impact on our business, financial condition and results of operation.</w:t>
      </w:r>
    </w:p>
    <w:p>
      <w:pPr>
        <w:spacing w:after="0" w:line="20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operate principally through our domestic hubs in at Newark, Chicago O'Hare, Denver, Houston Bush, LAX, Guam, SFO and Washington Dulles. Substantially all of our flights either originate in or fly into one of these locations. A significant interruption or disruption in service at one of our hubs or other airports where we have a significant presence resulting from ATC delays, weather conditions, natural disasters, growth constraints, relations with third-party service providers, failure of computer systems, disruptions to government agencies or personnel (including as a result of government shutdowns), disruptions at airport facilities or other key facilities used by us to manage our operations, labor relations, power supplies, fuel supplies, terrorist activities, international hostilities or otherwise could result in the cancellation or delay of a significant portion of our flights and, as a result, could have a material impact on our business, operating results and financial condition. We have minimal control over the operation, quality or maintenance of these services or whether vendors will improve or continue to provide services that are essential to our business.</w:t>
      </w:r>
    </w:p>
    <w:p>
      <w:pPr>
        <w:spacing w:after="0" w:line="2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airline industry is subject to extensive government regulation, which imposes significant costs and may adversely impact our business, operating results and financial condition.</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Airlines are subject to extensive regulatory and legal oversight. Compliance with U.S. and international regulations imposes significant costs and may have adverse effects on the Company. Laws, regulations, taxes and airport rates and charges, both</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84"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domestically and internationally, have been proposed from time to time that could significantly increase the cost of airline operations or reduce airline revenue. The airline industry is heavily taxed and additional taxation could negatively impact our business.</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United provides air transportation under certificates of public convenience and necessity issued by the DOT. If the DOT altered, amended, modified, suspended or revoked these certificates, it could have a material adverse effect on the Company's business. The DOT also regulates consumer protection and, through its investigations or rulemaking authority, could impose restrictions that materially impact the Company's business. The FAA regulates the safety of United's operations. United operates pursuant to an air carrier operating certificate issued by the FAA. The FAA's regulations include stringent pilot flight and duty time requirements under Part 117 of the Federal Aviation Regulations, as well as minimum qualifications for air carrier first officers. These regulations have caused mainline airlines to hire regional pilots, while simultaneously significantly reducing the pool of new pilots from which regional carriers themselves can hire. Although this is an industry issue, it directly affects the Company and has required it to reduce regional partner flying, as several regional partners have experienced difficulty flying their schedules due to reduced pilot availability. From time to time, the FAA also issues orders, airworthiness directives and other regulations relating to the maintenance and operation of aircraft that require material expenditures or operational restrictions by the Company. These FAA orders and directives have resulted in the temporary grounding of an entire aircraft type if the FAA identifies design, manufacturing, maintenance or other issues requiring immediate corrective action (including the FAA Order grounding Boeing 737 MAX aircraft). These FAA directives or requirements could have a material adverse effect on the Company.</w:t>
      </w:r>
    </w:p>
    <w:p>
      <w:pPr>
        <w:spacing w:after="0" w:line="2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2018, the U.S. Congress approved a five-year reauthorization for the FAA, which encompasses significant aviation tax and policy-related issues. The law includes a range of policy changes related to airline customer service and aviation safety which are ongoing and, depending on how they are implemented, could impact our operations and costs. Additionally, the U.S. Congress may consider legislation related to aviation safety as well as environmental issues which could impact the Company and the airline industry.</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operations may also be adversely impacted due to the existing antiquated ATC system utilized by the U.S. government and regulated by the FAA. During peak travel periods in certain markets, the current ATC system's inability to handle demand has led to short-term capacity constraints imposed by government agencies and resulted in delays and disruptions of air traffic. In addition, the current system will not be able to effectively handle projected future air traffic growth. The outdated technologies also cause the ATC to be less resilient in the event of a failure, causing flight cancellations and delays. Imposition of these ATC constraints on a long-term basis may have a material adverse effect on the Company's operations. Failure to update the ATC system in a timely manner and the substantial funding requirements of a modernized ATC system that may be imposed on air carriers may have an adverse impact on the Company's financial condition or operating results.</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Access to landing and take-off rights, or "slots," at several major U.S. airports and many foreign airports served by the Company are, or recently have been, subject to government regulation. Certain of the Company's major hubs are among the most congested airports in the United States and have been or could be the subject of regulatory action that might limit the number of flights and/or increase costs of operations at certain times or throughout the day. The FAA may limit the Company's airport access by limiting the number of departure and arrival slots at high density traffic airports, which could affect the Company's ownership and transfer rights, and local airport authorities may have the ability to control access to certain facilities or the cost of access to their facilities, which could have an adverse effect on the Company's business. The FAA historically has taken actions with respect to airlines' slot holdings that airlines have challenged; if the FAA were to take actions that adversely affect the Company's slot holdings, the Company could incur substantial costs to preserve its slots or may lose slots. If slots are eliminated at an airport, or if the number of hours of operation governed by slots is reduced at an airport, the lack of controls on take-offs and landings could result in greater congestion both at the affected airport or in the regional airspace (e.g., the New York City metropolitan region airspace) and could significantly impact the Company's operations. Further, the Company's operating costs at airports, including the Company's major hubs, may increase significantly because of capital improvements at such airports that the Company may be required to fund, directly or indirectly. Such costs could be imposed by the relevant airport authority without the Company's approval and may have a material adverse effect on the Company's financial condition.</w:t>
      </w:r>
    </w:p>
    <w:p>
      <w:pPr>
        <w:spacing w:after="0" w:line="196"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ability of carriers to operate flights on international routes between the United States and other countries is highly regulated. Applicable arrangements between the United States and foreign governments may be amended from time to time, government policies with respect to airport operations may be revised, and the availability of appropriate slots or facilities may change. The Company currently operates a number of flights on international routes under government arrangements, regulations or policies that designate the number of carriers permitted to operate on such routes, the capacity of the carriers providing services on such routes, the airports at which carriers may operate international flights, or the number of carriers allowed access to particular airports. Any limitations, additions or modifications to such arrangements, regulations or policies could have a material adverse effect on the Company's financial condition and operating results. Additionally, a change in law,</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84"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regulation or policy for any of the Company's international routes, such as Open Skies, could have a material adverse impact on the Company's financial condition and operating results and could result in the impairment of material amounts of related tangible and intangible assets. In addition, competition from revenue-sharing JBAs and other alliance arrangements by and among other airlines could impair the value of the Company's business and assets on the Open Skies routes. The Company's plans to enter into or expand U.S. antitrust immunized alliances and JBAs on various international routes are subject to receipt of approvals from applicable U.S. federal authorities and obtaining other applicable foreign government clearances or satisfying the necessary applicable regulatory requirements. There can be no assurance that such approvals and clearances will be granted or will continue in effect upon further regulatory review or that changes in regulatory requirements or standards can be satisfied.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 Business—Industry Regulation, of this report for additional information on government regulation impacting the Company.</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many forms of environmental regulation and liability and risks associated with climate change, and may incur substantial costs as a result.</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aspects of the Company's operations are subject to increasingly stringent federal, state, local and international laws protecting the environment, including those relating to emissions to the air, water discharges, safe drinking water and the use and management of hazardous materials and wastes. Compliance with existing and future environmental laws and regulations can require significant expenditures and violations can lead to significant fines and penalties. In addition, from time to time we are identified as a responsible party for environmental investigation and remediation costs under applicable environmental laws due to the disposal of hazardous substances generated by our operations. We could also be subject to environmental liability claims from various parties, including airport authorities, related to our operations at our owned or leased premises or the off-site disposal of waste generated at our facilities.</w:t>
      </w:r>
    </w:p>
    <w:p>
      <w:pPr>
        <w:spacing w:after="0" w:line="2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may incur substantial costs as a result of changes in weather patterns due to climate change. Increases in the frequency, severity or duration of severe weather events such as thunderstorms, hurricanes, flooding, typhoons, tornados and other severe weather events could result in increases in delays and cancellations, turbulence-related injuries and fuel consumption to avoid such weather, any of which could result in significant loss of revenue and higher costs.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mitigate climate change risks, CORSIA has been developed by ICAO, a UN specialized agency. CORSIA is intended to create a single global market-based measure to achieve carbon-neutral growth for international aviation after 2020 through airline purchases of carbon offset credits. Certain CORSIA program details remain to be developed and could potentially be affected by political developments in participating countries or the results of the pilot phase of the program, and thus the impact of CORSIA cannot be fully predicted. However, CORSIA is expected to result in increased operating costs for airlines that operate internationally, including the Company.</w:t>
      </w:r>
    </w:p>
    <w:p>
      <w:pPr>
        <w:spacing w:after="0" w:line="21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addition to CORSIA, the EPA has begun preliminary work to adopt its own aircraft engine GHG emission standards, which were expected to be aligned with recent ICAO carbon dioxide emission standards. The timing of any U.S. EPA aircraft engine GHG emission standards is currently unknown, but some jurisdictions in which United operates have adopted or are considering GHG emission reduction initiatives, which could impact various aspects of the Company's business. The precise nature of future requirements and their applicability to the Company are difficult to predict, but the financial impact to the Company and the aviation industry would likely be adverse and could be significant.</w:t>
      </w:r>
    </w:p>
    <w:p>
      <w:pPr>
        <w:spacing w:after="0" w:line="2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Part I, Item 1. Business—Industry Regulation—Environmental Regulation, of this report for additional information on environmental regulation impacting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Kingdom's withdrawal from the EU may adversely impact our operations in the United Kingdom and elsewhere.</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June 2016, United Kingdom ("UK") voters approved an advisory referendum for the UK to exit the EU. The UK parliament voted in favor of allowing the government to commence negotiations to determine the future terms of the UK's relationship with the EU, including the terms of trade between the UK and the EU and other nations. On January 31, 2020, the UK withdrew from the EU, and started a transition period that will potentially run through December 31, 2020. The nature and terms of the UK's relationship with the EU after the transition period remain uncertain.</w:t>
      </w:r>
    </w:p>
    <w:p>
      <w:pPr>
        <w:spacing w:after="0" w:line="3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connection with a UK exit from the EU, we could face new challenges in our operations, such as instability in global financial and foreign exchange markets. This instability could result in market volatility, including in the value of the British pound and European euro, additional travel restrictions on passengers traveling between the UK and other EU countries, changes to the legal status of EU-resident employees, legal uncertainty and divergent national laws and regulations. At this time, we cannot predict the impact that the UK's exit from the EU will have on our business generally and our UK and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84"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European operations more specifically, and no assurance can be given that our operating results, financial condition and prospects would not be adversely impacted by the result.</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Company's operating results fluctuate due to seasonality and other factors associated with the airline industry, many of which are beyond the Company's control.</w:t>
      </w:r>
    </w:p>
    <w:p>
      <w:pPr>
        <w:spacing w:after="0" w:line="19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Due to greater demand for air travel during the spring and summer months, revenues in the airline industry in the second and third quarters of the year are generally stronger than revenues in the first and fourth quarters of the year, which are periods of lower travel demand. The Company's operating results generally reflect this seasonality, but have also been impacted by numerous other factors that are not necessarily seasonal, including, among others, extreme or severe weather, outbreaks of disease or pandemics, ATC congestion, geological events, political instability, terrorism, natural disasters, changes in the competitive environment due to industry consolidation, tax obligations, general economic conditions and other factors. As a result, the Company's quarterly operating results are not necessarily indicative of operating results for an entire year and historical operating results in a quarterly or annual period are not necessarily indicative of future operating results.</w:t>
      </w: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Increases in insurance costs or inadequate insurance coverage may materially and adversely impact our business, operating results and financial condition.</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could be exposed to significant liability or loss if its property or operations were to be affected by a natural catastrophe or other event, including aircraft accidents. The Company maintains insurance policies, including, but not limited to, terrorism, aviation hull and liability, workers' compensation and property and business interruption insurance, but we are not fully insured against all potential hazards and risks incident to our business. If the Company is unable to obtain sufficient insurance with acceptable terms, the costs of such insurance increase materially, or if the coverage obtained is insufficient relative to actual liability or losses that the Company experiences, whether due to insurance market conditions, policy limitations and exclusions or otherwise, our operating results and financial condition could be materially and adversely affected.</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Company has a significant amount of financial leverage from fixed obligations, and insufficient liquidity may have a material adverse effect on the Company's financial condition and business.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 significant amount of financial leverage from fixed obligations, including aircraft lease and debt financings, leases of airport property and other facilities, and other material cash obligations. In addition, the Company has substantial noncancelable commitments for capital expenditures, including for the acquisition of new aircraft and related spare engines.</w:t>
      </w: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 Company's cash flows from operations and its available capital, including the proceeds from financing transactions, have been sufficient to meet these obligations and commitments to date, the Company's future liquidity could be negatively affected by the risk factors discussed in this report. If the Company's liquidity is materially diminished, the Company might not be able to timely pay its leases and debts or comply with certain operating and financial covenants under its financing and credit card processing agreements or with other material provisions of its contractual obligations.</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substantial level of indebtedness and non-investment grade credit rating, as well as market conditions and the availability of assets as collateral for loans or other indebtedness, may make it difficult for the Company to raise additional capital if needed to meet its liquidity needs on acceptable terms, or at all.</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as of December 31, 2019, the Company had $3.4 billion in variable rate indebtedness, all or a portion of which uses London interbank offered rates ("LIBOR") as a benchmark for establishing applicable rates. As announced in July 2017, LIBOR is expected to be phased out by the end of 2021. Although many of our LIBOR-based obligations provide for alternative methods of calculating the interest rate payable if LIBOR is not reported, the extent and manner of any future changes with respect to methods of calculating LIBOR or replacing LIBOR with another benchmark are unknown and impossible to predict at this time and, as such, may result in interest rates that are materially higher than current interest rates. If interest rates applicable to the Company's variable interest indebtedness increase, the Company's interest expense will also increase, which could make it difficult for the Company to make interest payments and fund other fixed costs and, in turn, adversely impact our cash flow available for general corporate purposes.</w:t>
      </w:r>
    </w:p>
    <w:p>
      <w:pPr>
        <w:spacing w:after="0" w:line="1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of this report for additional information regarding the Company's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84"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Agreements governing our debt include financial and other covenants. Failure to comply with these covenants could result in events of default.</w:t>
      </w:r>
    </w:p>
    <w:p>
      <w:pPr>
        <w:spacing w:after="0" w:line="2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financing agreements include various financial and other covenants. Certain of these covenants require UAL or United, as applicable, to maintain minimum liquidity and/or minimum collateral coverage ratios. UAL's or United's ability to comply with these covenants may be affected by events beyond its control, including the overall industry revenue environment, the level of fuel costs and the appraised value of the collateral. In addition, our financing agreements contain other negative covenants customary for such financings. These covenants are subject to important exceptions and qualifications. If we fail to comply with these covenants and are unable to remedy or obtain a waiver or amendment, an event of default would result.</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 event of default were to occur, the lenders could, among other things, declare outstanding amounts immediately due and payable. In addition, an event of default or declaration of acceleration under one financing agreement could also result in an event of default under other of our financing agreements due to cross-default and cross-acceleration provisions. The acceleration of significant amounts of debt could require us to renegotiate, repay or refinance the obligations under our financing arrangements.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never realize the full value of its intangible assets or its long-lived assets causing it to record impairments that may negatively affect its financial condition and operating results.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applicable accounting standards, the Company is required to test its indefinite-lived intangible assets for impairment on an annual basis, or more frequently where there is an indication of impairment. In addition, the Company is required to test certain of its other assets for impairment where there is any indication that an asset may be impaired.</w:t>
      </w:r>
    </w:p>
    <w:p>
      <w:pPr>
        <w:spacing w:after="0" w:line="20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may be required to recognize losses in the future due to, among other factors, extreme fuel price volatility, tight credit markets, government regulatory changes, decline in the fair values of certain tangible or intangible assets, such as aircraft, route authorities, airport slots and frequent flyer database, unfavorable trends in historical or forecasted results of operations and cash flows and an uncertain economic environment, as well as other uncertainties. For example, in 2019 and 2018, the Company recorded impairment charges of $90 million and $206 million, respectively, associated with its Hong Kong routes, resulting in the full impairment of these assets. The Company can provide no assurance that a material impairment loss of tangible or intangible assets will not occur in a future period. The value of the Company's aircraft could be impacted in future periods by changes in supply and demand for these aircraft. Such changes in supply and demand for certain aircraft types could result from the grounding of aircraft. An impairment loss could have a material adverse effect on the Company's financial condition and operating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in a public-facing industry and maintaining a good reputation is critical to our business. The Company's reputation or brand image could be adversely impacted by any failure to maintain satisfactory practices for all of our operations and activities, any failure to achieve and/or make progress toward our environmental and sustainability goals, public pressure from investors or policy groups to change our policies,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84"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Fleet. </w:t>
      </w:r>
      <w:r>
        <w:rPr>
          <w:rFonts w:ascii="Arial" w:cs="Arial" w:eastAsia="Arial" w:hAnsi="Arial"/>
          <w:sz w:val="18"/>
          <w:szCs w:val="18"/>
          <w:color w:val="auto"/>
        </w:rPr>
        <w:t>As of December 31, 2019, United's mainline and regional fleets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Seats in Standard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6"/>
              </w:rPr>
              <w:t>Average Age</w:t>
            </w:r>
          </w:p>
        </w:tc>
      </w:tr>
      <w:tr>
        <w:trPr>
          <w:trHeight w:val="210"/>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20" w:type="dxa"/>
            <w:vAlign w:val="bottom"/>
            <w:gridSpan w:val="2"/>
          </w:tcPr>
          <w:p>
            <w:pPr>
              <w:ind w:left="1620"/>
              <w:spacing w:after="0"/>
              <w:rPr>
                <w:sz w:val="20"/>
                <w:szCs w:val="20"/>
                <w:color w:val="auto"/>
              </w:rPr>
            </w:pPr>
            <w:r>
              <w:rPr>
                <w:rFonts w:ascii="Arial" w:cs="Arial" w:eastAsia="Arial" w:hAnsi="Arial"/>
                <w:sz w:val="16"/>
                <w:szCs w:val="16"/>
                <w:b w:val="1"/>
                <w:bCs w:val="1"/>
                <w:color w:val="auto"/>
              </w:rPr>
              <w:t>Aircraft Type</w:t>
            </w: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Owned</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Leased</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Configuration</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(In Years)</w:t>
            </w:r>
          </w:p>
        </w:tc>
      </w:tr>
      <w:tr>
        <w:trPr>
          <w:trHeight w:val="33"/>
        </w:trPr>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5740" w:type="dxa"/>
            <w:vAlign w:val="bottom"/>
            <w:gridSpan w:val="4"/>
          </w:tcPr>
          <w:p>
            <w:pPr>
              <w:ind w:left="40"/>
              <w:spacing w:after="0"/>
              <w:rPr>
                <w:sz w:val="20"/>
                <w:szCs w:val="20"/>
                <w:color w:val="auto"/>
              </w:rPr>
            </w:pPr>
            <w:r>
              <w:rPr>
                <w:rFonts w:ascii="Arial" w:cs="Arial" w:eastAsia="Arial" w:hAnsi="Arial"/>
                <w:sz w:val="16"/>
                <w:szCs w:val="16"/>
                <w:b w:val="1"/>
                <w:bCs w:val="1"/>
                <w:color w:val="auto"/>
              </w:rPr>
              <w:t>Mainline: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777-300ER</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5740" w:type="dxa"/>
            <w:vAlign w:val="bottom"/>
            <w:gridSpan w:val="4"/>
          </w:tcPr>
          <w:p>
            <w:pPr>
              <w:ind w:left="40"/>
              <w:spacing w:after="0"/>
              <w:rPr>
                <w:sz w:val="20"/>
                <w:szCs w:val="20"/>
                <w:color w:val="auto"/>
              </w:rPr>
            </w:pPr>
            <w:r>
              <w:rPr>
                <w:rFonts w:ascii="Arial" w:cs="Arial" w:eastAsia="Arial" w:hAnsi="Arial"/>
                <w:sz w:val="16"/>
                <w:szCs w:val="16"/>
                <w:color w:val="auto"/>
              </w:rPr>
              <w:t>777-200ER</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267-276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777-200</w:t>
            </w:r>
          </w:p>
        </w:tc>
        <w:tc>
          <w:tcPr>
            <w:tcW w:w="4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37"/>
        </w:trPr>
        <w:tc>
          <w:tcPr>
            <w:tcW w:w="720" w:type="dxa"/>
            <w:vAlign w:val="bottom"/>
            <w:gridSpan w:val="2"/>
          </w:tcPr>
          <w:p>
            <w:pPr>
              <w:ind w:left="40"/>
              <w:spacing w:after="0"/>
              <w:rPr>
                <w:sz w:val="20"/>
                <w:szCs w:val="20"/>
                <w:color w:val="auto"/>
              </w:rPr>
            </w:pPr>
            <w:r>
              <w:rPr>
                <w:rFonts w:ascii="Arial" w:cs="Arial" w:eastAsia="Arial" w:hAnsi="Arial"/>
                <w:sz w:val="16"/>
                <w:szCs w:val="16"/>
                <w:color w:val="auto"/>
              </w:rPr>
              <w:t>787-10</w:t>
            </w: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787-9</w:t>
            </w:r>
          </w:p>
        </w:tc>
        <w:tc>
          <w:tcPr>
            <w:tcW w:w="4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720" w:type="dxa"/>
            <w:vAlign w:val="bottom"/>
            <w:gridSpan w:val="2"/>
          </w:tcPr>
          <w:p>
            <w:pPr>
              <w:ind w:left="40"/>
              <w:spacing w:after="0"/>
              <w:rPr>
                <w:sz w:val="20"/>
                <w:szCs w:val="20"/>
                <w:color w:val="auto"/>
              </w:rPr>
            </w:pPr>
            <w:r>
              <w:rPr>
                <w:rFonts w:ascii="Arial" w:cs="Arial" w:eastAsia="Arial" w:hAnsi="Arial"/>
                <w:sz w:val="16"/>
                <w:szCs w:val="16"/>
                <w:color w:val="auto"/>
              </w:rPr>
              <w:t>787-8</w:t>
            </w: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767-400ER</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37"/>
        </w:trPr>
        <w:tc>
          <w:tcPr>
            <w:tcW w:w="5740" w:type="dxa"/>
            <w:vAlign w:val="bottom"/>
            <w:gridSpan w:val="4"/>
          </w:tcPr>
          <w:p>
            <w:pPr>
              <w:ind w:left="40"/>
              <w:spacing w:after="0"/>
              <w:rPr>
                <w:sz w:val="20"/>
                <w:szCs w:val="20"/>
                <w:color w:val="auto"/>
              </w:rPr>
            </w:pPr>
            <w:r>
              <w:rPr>
                <w:rFonts w:ascii="Arial" w:cs="Arial" w:eastAsia="Arial" w:hAnsi="Arial"/>
                <w:sz w:val="16"/>
                <w:szCs w:val="16"/>
                <w:color w:val="auto"/>
              </w:rPr>
              <w:t>767-300ER</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167-214</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757-300</w:t>
            </w:r>
          </w:p>
        </w:tc>
        <w:tc>
          <w:tcPr>
            <w:tcW w:w="4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37"/>
        </w:trPr>
        <w:tc>
          <w:tcPr>
            <w:tcW w:w="720" w:type="dxa"/>
            <w:vAlign w:val="bottom"/>
            <w:gridSpan w:val="2"/>
          </w:tcPr>
          <w:p>
            <w:pPr>
              <w:ind w:left="40"/>
              <w:spacing w:after="0"/>
              <w:rPr>
                <w:sz w:val="20"/>
                <w:szCs w:val="20"/>
                <w:color w:val="auto"/>
              </w:rPr>
            </w:pPr>
            <w:r>
              <w:rPr>
                <w:rFonts w:ascii="Arial" w:cs="Arial" w:eastAsia="Arial" w:hAnsi="Arial"/>
                <w:sz w:val="16"/>
                <w:szCs w:val="16"/>
                <w:color w:val="auto"/>
              </w:rPr>
              <w:t>757-200</w:t>
            </w: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142-176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33"/>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737-900ER</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37"/>
        </w:trPr>
        <w:tc>
          <w:tcPr>
            <w:tcW w:w="720" w:type="dxa"/>
            <w:vAlign w:val="bottom"/>
            <w:gridSpan w:val="2"/>
          </w:tcPr>
          <w:p>
            <w:pPr>
              <w:ind w:left="40"/>
              <w:spacing w:after="0"/>
              <w:rPr>
                <w:sz w:val="20"/>
                <w:szCs w:val="20"/>
                <w:color w:val="auto"/>
              </w:rPr>
            </w:pPr>
            <w:r>
              <w:rPr>
                <w:rFonts w:ascii="Arial" w:cs="Arial" w:eastAsia="Arial" w:hAnsi="Arial"/>
                <w:sz w:val="16"/>
                <w:szCs w:val="16"/>
                <w:color w:val="auto"/>
              </w:rPr>
              <w:t>737-900</w:t>
            </w: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33"/>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737-800</w:t>
            </w:r>
          </w:p>
        </w:tc>
        <w:tc>
          <w:tcPr>
            <w:tcW w:w="4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37"/>
        </w:trPr>
        <w:tc>
          <w:tcPr>
            <w:tcW w:w="720" w:type="dxa"/>
            <w:vAlign w:val="bottom"/>
            <w:gridSpan w:val="2"/>
          </w:tcPr>
          <w:p>
            <w:pPr>
              <w:ind w:left="40"/>
              <w:spacing w:after="0"/>
              <w:rPr>
                <w:sz w:val="20"/>
                <w:szCs w:val="20"/>
                <w:color w:val="auto"/>
              </w:rPr>
            </w:pPr>
            <w:r>
              <w:rPr>
                <w:rFonts w:ascii="Arial" w:cs="Arial" w:eastAsia="Arial" w:hAnsi="Arial"/>
                <w:sz w:val="16"/>
                <w:szCs w:val="16"/>
                <w:color w:val="auto"/>
              </w:rPr>
              <w:t>737-700</w:t>
            </w: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20.8</w:t>
            </w:r>
          </w:p>
        </w:tc>
      </w:tr>
      <w:tr>
        <w:trPr>
          <w:trHeight w:val="33"/>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A320-200</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r>
      <w:tr>
        <w:trPr>
          <w:trHeight w:val="237"/>
        </w:trPr>
        <w:tc>
          <w:tcPr>
            <w:tcW w:w="5740" w:type="dxa"/>
            <w:vAlign w:val="bottom"/>
            <w:gridSpan w:val="4"/>
          </w:tcPr>
          <w:p>
            <w:pPr>
              <w:ind w:left="40"/>
              <w:spacing w:after="0"/>
              <w:rPr>
                <w:sz w:val="20"/>
                <w:szCs w:val="20"/>
                <w:color w:val="auto"/>
              </w:rPr>
            </w:pPr>
            <w:r>
              <w:rPr>
                <w:rFonts w:ascii="Arial" w:cs="Arial" w:eastAsia="Arial" w:hAnsi="Arial"/>
                <w:sz w:val="16"/>
                <w:szCs w:val="16"/>
                <w:color w:val="auto"/>
              </w:rPr>
              <w:t>A319-100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126-128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Total mainline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aircraft presented in the table above, United owned or leased the following mainline aircraft as of December 31, 2019:</w:t>
      </w:r>
    </w:p>
    <w:p>
      <w:pPr>
        <w:spacing w:after="0" w:line="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Fourteen Boeing 737 MAX 9s, which are temporarily grounded pursuant to the FAA Order;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 Boeing 747-400s, which are permanently grounded;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Three Airbus A320s, which are temporarily grounded;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Boeing 767-200, which is being subleased to another airline.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Owned or Leased by</w:t>
            </w:r>
          </w:p>
        </w:tc>
        <w:tc>
          <w:tcPr>
            <w:tcW w:w="100" w:type="dxa"/>
            <w:vAlign w:val="bottom"/>
          </w:tcPr>
          <w:p>
            <w:pPr>
              <w:spacing w:after="0"/>
              <w:rPr>
                <w:sz w:val="17"/>
                <w:szCs w:val="17"/>
                <w:color w:val="auto"/>
              </w:rPr>
            </w:pPr>
          </w:p>
        </w:tc>
        <w:tc>
          <w:tcPr>
            <w:tcW w:w="3060" w:type="dxa"/>
            <w:vAlign w:val="bottom"/>
            <w:gridSpan w:val="3"/>
          </w:tcPr>
          <w:p>
            <w:pPr>
              <w:ind w:left="80"/>
              <w:spacing w:after="0"/>
              <w:rPr>
                <w:sz w:val="20"/>
                <w:szCs w:val="20"/>
                <w:color w:val="auto"/>
              </w:rPr>
            </w:pPr>
            <w:r>
              <w:rPr>
                <w:rFonts w:ascii="Arial" w:cs="Arial" w:eastAsia="Arial" w:hAnsi="Arial"/>
                <w:sz w:val="16"/>
                <w:szCs w:val="16"/>
                <w:b w:val="1"/>
                <w:bCs w:val="1"/>
                <w:color w:val="auto"/>
              </w:rPr>
              <w:t>Regional Carrier Operator and Number</w:t>
            </w:r>
          </w:p>
        </w:tc>
        <w:tc>
          <w:tcPr>
            <w:tcW w:w="1580" w:type="dxa"/>
            <w:vAlign w:val="bottom"/>
          </w:tcPr>
          <w:p>
            <w:pPr>
              <w:jc w:val="right"/>
              <w:ind w:right="99"/>
              <w:spacing w:after="0"/>
              <w:rPr>
                <w:sz w:val="20"/>
                <w:szCs w:val="20"/>
                <w:color w:val="auto"/>
              </w:rPr>
            </w:pPr>
            <w:r>
              <w:rPr>
                <w:rFonts w:ascii="Arial" w:cs="Arial" w:eastAsia="Arial" w:hAnsi="Arial"/>
                <w:sz w:val="16"/>
                <w:szCs w:val="16"/>
                <w:b w:val="1"/>
                <w:bCs w:val="1"/>
                <w:color w:val="auto"/>
              </w:rPr>
              <w:t>Seats in Standard</w:t>
            </w:r>
          </w:p>
        </w:tc>
      </w:tr>
      <w:tr>
        <w:trPr>
          <w:trHeight w:val="210"/>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Aircraft Type</w:t>
            </w:r>
          </w:p>
        </w:tc>
        <w:tc>
          <w:tcPr>
            <w:tcW w:w="10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Owned</w:t>
            </w: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rPr>
              <w:t>Regional Carrier</w:t>
            </w:r>
          </w:p>
        </w:tc>
        <w:tc>
          <w:tcPr>
            <w:tcW w:w="100" w:type="dxa"/>
            <w:vAlign w:val="bottom"/>
          </w:tcPr>
          <w:p>
            <w:pPr>
              <w:spacing w:after="0"/>
              <w:rPr>
                <w:sz w:val="18"/>
                <w:szCs w:val="18"/>
                <w:color w:val="auto"/>
              </w:rPr>
            </w:pPr>
          </w:p>
        </w:tc>
        <w:tc>
          <w:tcPr>
            <w:tcW w:w="2260" w:type="dxa"/>
            <w:vAlign w:val="bottom"/>
          </w:tcPr>
          <w:p>
            <w:pPr>
              <w:ind w:left="1120"/>
              <w:spacing w:after="0"/>
              <w:rPr>
                <w:sz w:val="20"/>
                <w:szCs w:val="20"/>
                <w:color w:val="auto"/>
              </w:rPr>
            </w:pPr>
            <w:r>
              <w:rPr>
                <w:rFonts w:ascii="Arial" w:cs="Arial" w:eastAsia="Arial" w:hAnsi="Arial"/>
                <w:sz w:val="16"/>
                <w:szCs w:val="16"/>
                <w:b w:val="1"/>
                <w:bCs w:val="1"/>
                <w:color w:val="auto"/>
              </w:rPr>
              <w:t>of Aircraft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Configuration</w:t>
            </w:r>
          </w:p>
        </w:tc>
      </w:tr>
      <w:tr>
        <w:trPr>
          <w:trHeight w:val="33"/>
        </w:trPr>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880" w:type="dxa"/>
            <w:vAlign w:val="bottom"/>
            <w:gridSpan w:val="4"/>
          </w:tcPr>
          <w:p>
            <w:pPr>
              <w:ind w:left="40"/>
              <w:spacing w:after="0"/>
              <w:rPr>
                <w:sz w:val="20"/>
                <w:szCs w:val="20"/>
                <w:color w:val="auto"/>
              </w:rPr>
            </w:pPr>
            <w:r>
              <w:rPr>
                <w:rFonts w:ascii="Arial" w:cs="Arial" w:eastAsia="Arial" w:hAnsi="Arial"/>
                <w:sz w:val="16"/>
                <w:szCs w:val="16"/>
                <w:b w:val="1"/>
                <w:bCs w:val="1"/>
                <w:color w:val="auto"/>
              </w:rPr>
              <w:t>Regional: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2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Embraer E175/E175LL</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SkyWest: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70-76</w:t>
            </w:r>
          </w:p>
        </w:tc>
      </w:tr>
      <w:tr>
        <w:trPr>
          <w:trHeight w:val="203"/>
        </w:trPr>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Mesa:</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Republic:</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ExpressJet: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37"/>
        </w:trPr>
        <w:tc>
          <w:tcPr>
            <w:tcW w:w="2880" w:type="dxa"/>
            <w:vAlign w:val="bottom"/>
            <w:gridSpan w:val="4"/>
          </w:tcPr>
          <w:p>
            <w:pPr>
              <w:ind w:left="40"/>
              <w:spacing w:after="0"/>
              <w:rPr>
                <w:sz w:val="20"/>
                <w:szCs w:val="20"/>
                <w:color w:val="auto"/>
              </w:rPr>
            </w:pPr>
            <w:r>
              <w:rPr>
                <w:rFonts w:ascii="Arial" w:cs="Arial" w:eastAsia="Arial" w:hAnsi="Arial"/>
                <w:sz w:val="16"/>
                <w:szCs w:val="16"/>
                <w:color w:val="auto"/>
              </w:rPr>
              <w:t>Embraer 170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260" w:type="dxa"/>
            <w:vAlign w:val="bottom"/>
          </w:tcPr>
          <w:p>
            <w:pPr>
              <w:ind w:left="40"/>
              <w:spacing w:after="0"/>
              <w:rPr>
                <w:sz w:val="20"/>
                <w:szCs w:val="20"/>
                <w:color w:val="auto"/>
              </w:rPr>
            </w:pPr>
            <w:r>
              <w:rPr>
                <w:rFonts w:ascii="Arial" w:cs="Arial" w:eastAsia="Arial" w:hAnsi="Arial"/>
                <w:sz w:val="16"/>
                <w:szCs w:val="16"/>
                <w:color w:val="auto"/>
              </w:rPr>
              <w:t>Republic:</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CRJ700</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Mesa:</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03"/>
        </w:trPr>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SkyWest: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GoJet: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37"/>
        </w:trPr>
        <w:tc>
          <w:tcPr>
            <w:tcW w:w="2880" w:type="dxa"/>
            <w:vAlign w:val="bottom"/>
            <w:gridSpan w:val="4"/>
          </w:tcPr>
          <w:p>
            <w:pPr>
              <w:ind w:left="40"/>
              <w:spacing w:after="0"/>
              <w:rPr>
                <w:sz w:val="20"/>
                <w:szCs w:val="20"/>
                <w:color w:val="auto"/>
              </w:rPr>
            </w:pPr>
            <w:r>
              <w:rPr>
                <w:rFonts w:ascii="Arial" w:cs="Arial" w:eastAsia="Arial" w:hAnsi="Arial"/>
                <w:sz w:val="16"/>
                <w:szCs w:val="16"/>
                <w:color w:val="auto"/>
              </w:rPr>
              <w:t>CRJ550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260" w:type="dxa"/>
            <w:vAlign w:val="bottom"/>
          </w:tcPr>
          <w:p>
            <w:pPr>
              <w:ind w:left="40"/>
              <w:spacing w:after="0"/>
              <w:rPr>
                <w:sz w:val="20"/>
                <w:szCs w:val="20"/>
                <w:color w:val="auto"/>
              </w:rPr>
            </w:pPr>
            <w:r>
              <w:rPr>
                <w:rFonts w:ascii="Arial" w:cs="Arial" w:eastAsia="Arial" w:hAnsi="Arial"/>
                <w:sz w:val="16"/>
                <w:szCs w:val="16"/>
                <w:color w:val="auto"/>
              </w:rPr>
              <w:t>GoJet: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CRJ200</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SkyWest: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Air Wisconsin:</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20"/>
        </w:trPr>
        <w:tc>
          <w:tcPr>
            <w:tcW w:w="2880" w:type="dxa"/>
            <w:vAlign w:val="bottom"/>
            <w:gridSpan w:val="4"/>
          </w:tcPr>
          <w:p>
            <w:pPr>
              <w:ind w:left="40"/>
              <w:spacing w:after="0"/>
              <w:rPr>
                <w:sz w:val="20"/>
                <w:szCs w:val="20"/>
                <w:color w:val="auto"/>
              </w:rPr>
            </w:pPr>
            <w:r>
              <w:rPr>
                <w:rFonts w:ascii="Arial" w:cs="Arial" w:eastAsia="Arial" w:hAnsi="Arial"/>
                <w:sz w:val="16"/>
                <w:szCs w:val="16"/>
                <w:color w:val="auto"/>
              </w:rPr>
              <w:t>Embraer ERJ 145 (XR/LR/ER)</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260" w:type="dxa"/>
            <w:vAlign w:val="bottom"/>
          </w:tcPr>
          <w:p>
            <w:pPr>
              <w:ind w:left="40"/>
              <w:spacing w:after="0"/>
              <w:rPr>
                <w:sz w:val="20"/>
                <w:szCs w:val="20"/>
                <w:color w:val="auto"/>
              </w:rPr>
            </w:pPr>
            <w:r>
              <w:rPr>
                <w:rFonts w:ascii="Arial" w:cs="Arial" w:eastAsia="Arial" w:hAnsi="Arial"/>
                <w:sz w:val="16"/>
                <w:szCs w:val="16"/>
                <w:color w:val="auto"/>
              </w:rPr>
              <w:t>ExpressJet: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03"/>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ind w:left="40"/>
              <w:spacing w:after="0"/>
              <w:rPr>
                <w:sz w:val="20"/>
                <w:szCs w:val="20"/>
                <w:color w:val="auto"/>
              </w:rPr>
            </w:pPr>
            <w:r>
              <w:rPr>
                <w:rFonts w:ascii="Arial" w:cs="Arial" w:eastAsia="Arial" w:hAnsi="Arial"/>
                <w:sz w:val="16"/>
                <w:szCs w:val="16"/>
                <w:color w:val="auto"/>
              </w:rPr>
              <w:t>Trans States:</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ind w:left="40"/>
              <w:spacing w:after="0"/>
              <w:rPr>
                <w:sz w:val="20"/>
                <w:szCs w:val="20"/>
                <w:color w:val="auto"/>
              </w:rPr>
            </w:pPr>
            <w:r>
              <w:rPr>
                <w:rFonts w:ascii="Arial" w:cs="Arial" w:eastAsia="Arial" w:hAnsi="Arial"/>
                <w:sz w:val="16"/>
                <w:szCs w:val="16"/>
                <w:color w:val="auto"/>
              </w:rPr>
              <w:t>CommutAir:</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Total regional</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aircraft presented in the table above, United owned the following regional aircraft as of December 31, 2019:</w:t>
      </w:r>
    </w:p>
    <w:p>
      <w:pPr>
        <w:spacing w:after="0" w:line="9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Eight Embraer E175LLs, which were delivered but not yet in service;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Embraer ERJ145s, which are temporarily grounded.</w:t>
      </w:r>
    </w:p>
    <w:p>
      <w:pPr>
        <w:sectPr>
          <w:pgSz w:w="11900" w:h="16838" w:orient="portrait"/>
          <w:cols w:equalWidth="0" w:num="1">
            <w:col w:w="11420"/>
          </w:cols>
          <w:pgMar w:left="240" w:top="184"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84"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Firm Order and Option Aircraft. </w:t>
      </w:r>
      <w:r>
        <w:rPr>
          <w:rFonts w:ascii="Arial" w:cs="Arial" w:eastAsia="Arial" w:hAnsi="Arial"/>
          <w:sz w:val="16"/>
          <w:szCs w:val="16"/>
          <w:color w:val="auto"/>
        </w:rPr>
        <w:t>As of December 31, 2019, United had firm commitments and options to purchase new aircraft from Boeing, Airbus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Embraer as presented in the table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Scheduled Aircraft Deliveries</w:t>
            </w:r>
          </w:p>
        </w:tc>
      </w:tr>
      <w:tr>
        <w:trPr>
          <w:trHeight w:val="27"/>
        </w:trPr>
        <w:tc>
          <w:tcPr>
            <w:tcW w:w="5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 Firm</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5260" w:type="dxa"/>
            <w:vAlign w:val="bottom"/>
            <w:gridSpan w:val="2"/>
          </w:tcPr>
          <w:p>
            <w:pPr>
              <w:ind w:left="2000"/>
              <w:spacing w:after="0"/>
              <w:rPr>
                <w:sz w:val="20"/>
                <w:szCs w:val="20"/>
                <w:color w:val="auto"/>
              </w:rPr>
            </w:pPr>
            <w:r>
              <w:rPr>
                <w:rFonts w:ascii="Arial" w:cs="Arial" w:eastAsia="Arial" w:hAnsi="Arial"/>
                <w:sz w:val="18"/>
                <w:szCs w:val="18"/>
                <w:b w:val="1"/>
                <w:bCs w:val="1"/>
                <w:color w:val="auto"/>
              </w:rPr>
              <w:t>Aircraft Type</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Commitments (a)</w:t>
            </w: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After 2020</w:t>
            </w:r>
          </w:p>
        </w:tc>
      </w:tr>
      <w:tr>
        <w:trPr>
          <w:trHeight w:val="27"/>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Airbus A321XLR</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Airbus A350</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Boeing 737 MAX</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Boeing 777-300ER</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Boeing 787</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Embraer E175</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 United also has options and purchase rights for additional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3190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4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aircraft listed in the table above are scheduled for delivery through 2030. The Company expects to assign the purchase obligation for each of the 20 Embraer E175 aircraft to one of its regional partners at the time of such aircraft's delivery, subject to certain conditions. To the extent the Company and the aircraft manufacturers with which the Company has existing orders for new aircraft agree to modify the contracts governing those orders, the amount and timing of the Company's future capital commitments could change. United also has agreements to purchase 20 used Airbus A319 aircraft with expected delivery dates through 2022 and 19 used Boeing 737-700 aircraft with expected delivery dates through 2021.</w:t>
      </w:r>
    </w:p>
    <w:p>
      <w:pPr>
        <w:spacing w:after="0" w:line="20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44 Boeing 737 MAX aircraft in the table above include 16 Boeing B737 MAX aircraft of which the Company planned to take delivery in 2019, and 28 aircraft of which the Company planned to take delivery of in 2020; however, following the FAA Order, Boeing suspended deliveries of new Boeing 737 MAX aircraft. The extent of the delay to the scheduled deliveries of new 737 MAX aircraft is expected to be impacted by the length of time the FAA Order remains in place, Boeing's production rate and the pace at which Boeing can deliver aircraft following the lifting of the FAA Order, among other factors. As a result, the Company is unable to estimate the number of Boeing 737 MAX aircraft of which it will take delivery in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Notes 10 and 13 to the financial statements included in Part II, Item 8 of this report for additional information.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Facilities. </w:t>
      </w:r>
      <w:r>
        <w:rPr>
          <w:rFonts w:ascii="Arial" w:cs="Arial" w:eastAsia="Arial" w:hAnsi="Arial"/>
          <w:sz w:val="18"/>
          <w:szCs w:val="18"/>
          <w:color w:val="auto"/>
        </w:rPr>
        <w:t>United leases gates, hangar sites, terminal buildings and other airport facilities in the municipalities it serves. United has major terminal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at SFO, Washington Dulles, Chicago O'Hare, LAX, Denver, Newark, Houston Bush and Guam with expiration dates ranging from 2020 through 2053. Substantially all of these facilities are leased on a net-rental basis, resulting in the Company's responsibility for maintenance, insurance and other facility-related expenses and services.</w:t>
      </w:r>
    </w:p>
    <w:p>
      <w:pPr>
        <w:spacing w:after="0" w:line="21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United also maintains administrative, catering, cargo, training, maintenance and other facilities to support its operations in the cities it serves. In addition, United has multiple leases, which expire from 2020 through 2033, for its principal executive office and operations center in downtown Chicago and administrative offices in downtown Houston.</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30, 2015, UAL received a Civil Investigative Demand ("CID") from the Antitrust Division of the DOJ seeking documents and information from the Company in connection with a DOJ investigation related to statements and decisions about airline capacity. The Company has completed its response to the CID. The Company is not able to predict what action, if any, might be taken in the future by the DOJ or other governmental authorities as a result of the investigation. Beginning on July 1, 2015, subsequent to the announcement of the CID, UAL and United were named as defendants in multiple class action lawsuits that asserted claims under the Sherman Antitrust Act, which have been consolidated in the United States District Court for the District of Columbia. The complaints generally allege collusion among U.S. airlines on capacity impacting airfares and seek treble damages. The Company intends to vigorously defend against the class action lawsuits.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October 13, 2015, United received a CID from the Civil Division of the DOJ. The CID requested documents and oral testimony from United in connection with an industry-wide DOJ investigation related to delivery scan and other data purportedly required for payment for the carriage of mail under United's International Commercial Air Contracts with the U.S. Postal Service. The Company has been responding to the DOJ's request and cooperating in the investigation since that time. On November 8, 2016, the DOJ Criminal Division met with representatives from the Company and advised they are conducting an industry-wide investigation into the same matter. The Company continues to cooperate with the government in their investigation and representatives from the Company have met with both the Civil and Criminal Divisions to provide additional information. The Company cannot predict what action, if any, might be taken in the future by the DOJ or other governmental authorities as a result of these investigations.</w:t>
      </w:r>
    </w:p>
    <w:p>
      <w:pPr>
        <w:sectPr>
          <w:pgSz w:w="11900" w:h="16838" w:orient="portrait"/>
          <w:cols w:equalWidth="0" w:num="1">
            <w:col w:w="11420"/>
          </w:cols>
          <w:pgMar w:left="240" w:top="184"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84"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Other Legal Proceedings. </w:t>
      </w:r>
      <w:r>
        <w:rPr>
          <w:rFonts w:ascii="Arial" w:cs="Arial" w:eastAsia="Arial" w:hAnsi="Arial"/>
          <w:sz w:val="16"/>
          <w:szCs w:val="16"/>
          <w:color w:val="auto"/>
        </w:rPr>
        <w:t>The Company is involved in various other claims and legal actions involving passengers, customers, suppliers, employees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agencies arising in the ordinary course of business. Additionally, from time to time, the Company becomes aware of potential non-compliance with applicable environmental regulations, which have either been identified by the Company (through internal compliance programs such as its environmental compliance audits) or through notice from a governmental entity. In some instances, these matters could potentially become the subject of an administrative or judicial proceeding and could potentially involve monetary sanctions. After considering a number of factors, including (but not limited to) the views of legal counsel, the nature of contingencies to which the Company is subject and prior experience, management believes that the ultimate disposition of these other claims and legal actions will not materially affect its consolidated financial position or results of operations. However, the ultimate resolutions of these matters are inherently unpredictable. As such, the Company's financial condition and results of operations could be adversely affected in any particular period by the unfavorable resolution of one or more of these matters.</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left="1300" w:right="16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UAL's common stock is listed on the Nasdaq Global Select Market ("Nasdaq") under the symbol "UAL." As of February 18, 2020, there were 5,073 holders of record of UAL common stock.</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graph shows the cumulative total stockholder return for UAL's common stock during the period from December 31, 2014 to December 31, 2019. The graph also shows the cumulative returns of the Standard and Poor's 500 Index ("SPX") and the NYSE Arca Airline Index ("XAL") of 14 investor-owned airlines over the same five-year period. The comparison assumes $100 was invested on December 31, 2014 in each of UAL common stock, the SPX and the XAL.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144780</wp:posOffset>
            </wp:positionV>
            <wp:extent cx="5848985" cy="2727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 xml:space="preserve">Note: </w:t>
      </w:r>
      <w:r>
        <w:rPr>
          <w:rFonts w:ascii="Arial" w:cs="Arial" w:eastAsia="Arial" w:hAnsi="Arial"/>
          <w:sz w:val="14"/>
          <w:szCs w:val="14"/>
          <w:color w:val="auto"/>
        </w:rPr>
        <w:t>The stock price performance shown in the graph above should not be considered indicative of potential future stock price performance. The foregoing performance graph is being furnished as</w:t>
      </w:r>
      <w:r>
        <w:rPr>
          <w:rFonts w:ascii="Arial" w:cs="Arial" w:eastAsia="Arial" w:hAnsi="Arial"/>
          <w:sz w:val="14"/>
          <w:szCs w:val="14"/>
          <w:i w:val="1"/>
          <w:iCs w:val="1"/>
          <w:color w:val="auto"/>
        </w:rPr>
        <w:t xml:space="preserve"> </w:t>
      </w:r>
      <w:r>
        <w:rPr>
          <w:rFonts w:ascii="Arial" w:cs="Arial" w:eastAsia="Arial" w:hAnsi="Arial"/>
          <w:sz w:val="14"/>
          <w:szCs w:val="14"/>
          <w:color w:val="auto"/>
        </w:rPr>
        <w:t>part of this report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84" w:right="3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UAL common stock made in the fourth quarter of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w w:val="91"/>
              </w:rPr>
              <w:t>Approximate dollar value of shares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paid per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100" w:type="dxa"/>
            <w:vAlign w:val="bottom"/>
          </w:tcPr>
          <w:p>
            <w:pPr>
              <w:spacing w:after="0"/>
              <w:rPr>
                <w:sz w:val="12"/>
                <w:szCs w:val="12"/>
                <w:color w:val="auto"/>
              </w:rPr>
            </w:pPr>
          </w:p>
        </w:tc>
        <w:tc>
          <w:tcPr>
            <w:tcW w:w="2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that may yet be purchased under the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purchased (a) (b)</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1"/>
              </w:rPr>
              <w:t>share (b)(c)</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programs (a)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2"/>
              </w:rPr>
              <w:t>plans or programs (in millions) (a)</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2019</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1,071,915</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87.65</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1,071,915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November 2019</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430,400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92.70</w:t>
            </w:r>
          </w:p>
        </w:tc>
        <w:tc>
          <w:tcPr>
            <w:tcW w:w="100" w:type="dxa"/>
            <w:vAlign w:val="bottom"/>
          </w:tcPr>
          <w:p>
            <w:pPr>
              <w:spacing w:after="0"/>
              <w:rPr>
                <w:sz w:val="20"/>
                <w:szCs w:val="20"/>
                <w:color w:val="auto"/>
              </w:rPr>
            </w:pPr>
          </w:p>
        </w:tc>
        <w:tc>
          <w:tcPr>
            <w:tcW w:w="1820" w:type="dxa"/>
            <w:vAlign w:val="bottom"/>
          </w:tcPr>
          <w:p>
            <w:pPr>
              <w:jc w:val="right"/>
              <w:ind w:right="43"/>
              <w:spacing w:after="0"/>
              <w:rPr>
                <w:sz w:val="20"/>
                <w:szCs w:val="20"/>
                <w:color w:val="auto"/>
              </w:rPr>
            </w:pPr>
            <w:r>
              <w:rPr>
                <w:rFonts w:ascii="Arial" w:cs="Arial" w:eastAsia="Arial" w:hAnsi="Arial"/>
                <w:sz w:val="16"/>
                <w:szCs w:val="16"/>
                <w:color w:val="auto"/>
              </w:rPr>
              <w:t>430,400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right"/>
              <w:ind w:right="23"/>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2019</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922,600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88.72</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922,600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28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24"/>
                <w:szCs w:val="24"/>
                <w:color w:val="auto"/>
              </w:rPr>
            </w:pP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2,424,915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2,424,915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right="260" w:firstLine="8"/>
        <w:spacing w:after="0" w:line="249" w:lineRule="auto"/>
        <w:tabs>
          <w:tab w:leader="none" w:pos="19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2019, UAL repurchased approximately 19.2 million shares of UAL common stock for $1.6 billion. In December 2017, UAL's Board of Directors authorized a $3.0 billion share repurchase program to acquire UAL's common stock. In July 2019, UAL's Board of Directors authorized a new $3.0 billion share repurchase program to acquire UAL's common stock, in addition to any amounts remaining under the prior program. As of December 31, 2019, the Company had approximately $3.1 billion remaining to purchase shares under its repurchase programs. UAL may repurchase shares through the open market, privately negotiated transactions, block trades or accelerated share repurchase transactions from time to time in accordance with applicable securities laws.</w:t>
      </w:r>
    </w:p>
    <w:p>
      <w:pPr>
        <w:spacing w:after="0" w:line="191" w:lineRule="exact"/>
        <w:rPr>
          <w:rFonts w:ascii="Arial" w:cs="Arial" w:eastAsia="Arial" w:hAnsi="Arial"/>
          <w:sz w:val="14"/>
          <w:szCs w:val="14"/>
          <w:color w:val="auto"/>
        </w:rPr>
      </w:pPr>
    </w:p>
    <w:p>
      <w:pPr>
        <w:jc w:val="both"/>
        <w:ind w:right="100" w:firstLine="8"/>
        <w:spacing w:after="0" w:line="249"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table does not include shares withheld from employees to satisfy certain tax obligations due upon the vesting of restricted stock. The United Continental Holdings, Inc. 2017 Incentive Compensation Plan and the United Continental Holdings, Inc. 2008 Incentive Compensation Plan, each provide for the withholding of shares to satisfy tax obligations due upon the vesting of restricted stock. However, these plans do not specify a maximum number of shares that may be withheld for this purpose. A total of 1,930 shares were withheld under the plans in the fourth quarter of 2019 at an average price of $89.67 per share. These shares of common stock withheld to satisfy tax withholding obligations may be deemed to be "issuer purchases" of shares that are required to be disclosed pursuant to this Item.</w:t>
      </w:r>
    </w:p>
    <w:p>
      <w:pPr>
        <w:spacing w:after="0" w:line="218" w:lineRule="exact"/>
        <w:rPr>
          <w:rFonts w:ascii="Arial" w:cs="Arial" w:eastAsia="Arial" w:hAnsi="Arial"/>
          <w:sz w:val="14"/>
          <w:szCs w:val="14"/>
          <w:color w:val="auto"/>
        </w:rPr>
      </w:pPr>
    </w:p>
    <w:p>
      <w:pPr>
        <w:ind w:left="200" w:hanging="192"/>
        <w:spacing w:after="0"/>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price paid per share is calculated on a settlement basis and excludes commission.</w:t>
      </w:r>
    </w:p>
    <w:p>
      <w:pPr>
        <w:spacing w:after="0" w:line="2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UAL's consolidated financial statements and statistical data are provided in the tables below:</w:t>
      </w:r>
    </w:p>
    <w:p>
      <w:pPr>
        <w:spacing w:after="0" w:line="16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6"/>
                <w:szCs w:val="16"/>
                <w:b w:val="1"/>
                <w:bCs w:val="1"/>
                <w:color w:val="auto"/>
              </w:rPr>
              <w:t>(a)</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6"/>
                <w:szCs w:val="16"/>
                <w:b w:val="1"/>
                <w:bCs w:val="1"/>
                <w:color w:val="auto"/>
              </w:rPr>
              <w:t>(a)</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Income Statement Data (in millions, except per share amounts):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38,074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32,698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500"/>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December 31 (in millions):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cash, cash equivalents and short-term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52,611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40,861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and finance lease obligations </w:t>
            </w:r>
            <w:r>
              <w:rPr>
                <w:rFonts w:ascii="Arial" w:cs="Arial" w:eastAsia="Arial" w:hAnsi="Arial"/>
                <w:sz w:val="16"/>
                <w:szCs w:val="16"/>
                <w:color w:val="auto"/>
              </w:rPr>
              <w:t>(b)</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987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right="420" w:firstLine="8"/>
        <w:spacing w:after="0" w:line="246" w:lineRule="auto"/>
        <w:tabs>
          <w:tab w:leader="none" w:pos="196"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See Note 1 to the financial statements contained in Part II, Item 8 of this report for additional information.</w:t>
      </w: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Finance leases, under Topic 842, are the equivalent of capital leases under Financial Accounting Standards Board Accounting Standards Codification Topic 840,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8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160" w:type="dxa"/>
            <w:vAlign w:val="bottom"/>
            <w:tcBorders>
              <w:top w:val="single" w:sz="8" w:color="0000EE"/>
            </w:tcBorders>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8"/>
          </w:tcPr>
          <w:p>
            <w:pPr>
              <w:ind w:left="54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Select operating statistics (a)</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Passengers (thousands) </w:t>
            </w:r>
            <w:r>
              <w:rPr>
                <w:rFonts w:ascii="Arial" w:cs="Arial" w:eastAsia="Arial" w:hAnsi="Arial"/>
                <w:sz w:val="16"/>
                <w:szCs w:val="16"/>
                <w:color w:val="auto"/>
              </w:rPr>
              <w:t>(b)</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140,369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 xml:space="preserve">Revenue passenger miles ("RPMs") (millions) </w:t>
            </w:r>
            <w:r>
              <w:rPr>
                <w:rFonts w:ascii="Arial" w:cs="Arial" w:eastAsia="Arial" w:hAnsi="Arial"/>
                <w:sz w:val="16"/>
                <w:szCs w:val="16"/>
                <w:color w:val="auto"/>
              </w:rPr>
              <w:t>(c)</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239,360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230,155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216,261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210,309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208,611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Available seat miles ("ASMs") (millions) </w:t>
            </w:r>
            <w:r>
              <w:rPr>
                <w:rFonts w:ascii="Arial" w:cs="Arial" w:eastAsia="Arial" w:hAnsi="Arial"/>
                <w:sz w:val="16"/>
                <w:szCs w:val="16"/>
                <w:color w:val="auto"/>
              </w:rPr>
              <w:t>(d)</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284,999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250,003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 xml:space="preserve">Cargo revenue ton miles (millions) </w:t>
            </w:r>
            <w:r>
              <w:rPr>
                <w:rFonts w:ascii="Arial" w:cs="Arial" w:eastAsia="Arial" w:hAnsi="Arial"/>
                <w:sz w:val="16"/>
                <w:szCs w:val="16"/>
                <w:color w:val="auto"/>
              </w:rPr>
              <w:t>(e)</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Passenger load factor </w:t>
            </w:r>
            <w:r>
              <w:rPr>
                <w:rFonts w:ascii="Arial" w:cs="Arial" w:eastAsia="Arial" w:hAnsi="Arial"/>
                <w:sz w:val="16"/>
                <w:szCs w:val="16"/>
                <w:color w:val="auto"/>
              </w:rPr>
              <w:t>(f)</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Passenger revenue per available seat mile ("PRASM") (cents)</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 per available seat mile ("TRASM") (cents)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 xml:space="preserve">Average yield per revenue passenger mile ("Yield") (cents) </w:t>
            </w:r>
            <w:r>
              <w:rPr>
                <w:rFonts w:ascii="Arial" w:cs="Arial" w:eastAsia="Arial" w:hAnsi="Arial"/>
                <w:sz w:val="16"/>
                <w:szCs w:val="16"/>
                <w:color w:val="auto"/>
              </w:rPr>
              <w:t>(g)</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per available seat mile ("CASM") (cents)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Average price per gallon of fuel, including fuel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Fuel gallons consumed (millions)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 xml:space="preserve">Average stage length (miles) </w:t>
            </w:r>
            <w:r>
              <w:rPr>
                <w:rFonts w:ascii="Arial" w:cs="Arial" w:eastAsia="Arial" w:hAnsi="Arial"/>
                <w:sz w:val="16"/>
                <w:szCs w:val="16"/>
                <w:color w:val="auto"/>
              </w:rPr>
              <w:t>(h)</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Average daily utilization of each mainline aircraft (hours:minutes) </w:t>
            </w:r>
            <w:r>
              <w:rPr>
                <w:rFonts w:ascii="Arial" w:cs="Arial" w:eastAsia="Arial" w:hAnsi="Arial"/>
                <w:sz w:val="16"/>
                <w:szCs w:val="16"/>
                <w:color w:val="auto"/>
              </w:rPr>
              <w:t>(i)</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90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ind w:left="200" w:hanging="192"/>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data from our regional carriers operating under CPAs unless otherwise noted.</w:t>
      </w:r>
    </w:p>
    <w:p>
      <w:pPr>
        <w:spacing w:after="0" w:line="7"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number of revenue passengers measured by each flight segment flown.</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number of scheduled miles flown by revenue passengers.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number of seats available for passengers multiplied by the number of scheduled miles those seats are flown.</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number of cargo revenue tons transported multiplied by the number of miles flown.</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RPM divided by ASM.</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average passenger revenue received for each revenue passenger mile flown.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stage length equals the average distance a flight travels weighted for size of aircraft.</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average number of hours per day that an aircraft flown in revenue service is operated (from gate departure to gate arrival).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72"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United Airlines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Highlights</w:t>
      </w:r>
    </w:p>
    <w:p>
      <w:pPr>
        <w:spacing w:after="0" w:line="2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2019 net income was $3.0 billion, or $11.58 diluted earnings per share, as compared to $2.1 billion, or $7.67 diluted earnings per share, in 2018.</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Revenue for 2019 increased $1.9 billion over 2018 due to a 3.5% growth in ASMs and a PRASM increase of 1.5% in 2019 compared to 2018.</w:t>
      </w:r>
    </w:p>
    <w:p>
      <w:pPr>
        <w:spacing w:after="0" w:line="236" w:lineRule="exact"/>
        <w:rPr>
          <w:rFonts w:ascii="Arial" w:cs="Arial" w:eastAsia="Arial" w:hAnsi="Arial"/>
          <w:sz w:val="17"/>
          <w:szCs w:val="17"/>
          <w:color w:val="auto"/>
        </w:rPr>
      </w:pPr>
    </w:p>
    <w:p>
      <w:pPr>
        <w:ind w:left="660" w:right="8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2019, UAL repurchased approximately 19.2 million of its common stock for $1.6 billion. As of December 31, 2019, the Company had approximately $3.1 billion remaining to purchase shares under its share repurchase programs.</w:t>
      </w:r>
    </w:p>
    <w:p>
      <w:pPr>
        <w:spacing w:after="0" w:line="170" w:lineRule="exact"/>
        <w:rPr>
          <w:rFonts w:ascii="Arial" w:cs="Arial" w:eastAsia="Arial" w:hAnsi="Arial"/>
          <w:sz w:val="18"/>
          <w:szCs w:val="18"/>
          <w:color w:val="auto"/>
        </w:rPr>
      </w:pPr>
    </w:p>
    <w:p>
      <w:pPr>
        <w:ind w:left="660" w:right="5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UAL ended 2019 with $6.9 billion in unrestricted liquidity, which consisted of unrestricted cash, cash equivalents, short-term investments and available capacity under the revolving credit facility of its Amended and Restated Credit and Guaranty Agreement (as amended, the "Credit Agreement").</w:t>
      </w:r>
    </w:p>
    <w:p>
      <w:pPr>
        <w:spacing w:after="0" w:line="18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RPMs for 2019 increased 4.0% as compared to 2018, and ASMs increased 3.5% from the prior year, resulting in a load factor of 84.0% in 2019 versus 83.6% in 2018.</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2019 and 2018, the Company recorded U.S. Department of Transportation on-time arrival rates of 77.9% and 79.8%, respectively, and mainline completion factors of 99.2%.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following discussion provides an analysis of our results of operations and reasons for material changes therein for 2019 as compared to 2018. See "Results of Operations" in Part II, Item 7. Management's Discussion and Analysis of Financial Condition and Results of Operations in the Company's 2018 Annual Report on Form 10-K, filed with the SEC on February 28, 2019 (the "2018 Annual Report"), for analysis of the 2018 results as compared to 2017.</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The table below illustrates the year-over-year percentage change in the Company's operating revenues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millions, except percentage changes):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c>
          <w:tcPr>
            <w:tcW w:w="10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Passenger revenue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39,625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37,706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w:t>
            </w:r>
          </w:p>
        </w:tc>
        <w:tc>
          <w:tcPr>
            <w:tcW w:w="1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Cargo</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operating revenue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r>
      <w:tr>
        <w:trPr>
          <w:trHeight w:val="244"/>
        </w:trPr>
        <w:tc>
          <w:tcPr>
            <w:tcW w:w="5140" w:type="dxa"/>
            <w:vAlign w:val="bottom"/>
          </w:tcPr>
          <w:p>
            <w:pPr>
              <w:ind w:left="280"/>
              <w:spacing w:after="0"/>
              <w:rPr>
                <w:sz w:val="20"/>
                <w:szCs w:val="20"/>
                <w:color w:val="auto"/>
              </w:rPr>
            </w:pPr>
            <w:r>
              <w:rPr>
                <w:rFonts w:ascii="Arial" w:cs="Arial" w:eastAsia="Arial" w:hAnsi="Arial"/>
                <w:sz w:val="16"/>
                <w:szCs w:val="16"/>
                <w:color w:val="auto"/>
              </w:rPr>
              <w:t>Total operating revenue</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43,259</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41,303</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1,956</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color w:val="auto"/>
              </w:rPr>
              <w:t>4.7</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84"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selected passenger revenue and operating data of the Company, broken out by geographic region, expressed as year-over-year changes: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Increase (decrease) from 2018 (a):</w:t>
            </w:r>
          </w:p>
        </w:tc>
        <w:tc>
          <w:tcPr>
            <w:tcW w:w="13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Domestic</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Atlantic</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Pacific</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Latin</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fare per passenger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98"/>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w w:val="93"/>
              </w:rPr>
              <w:t>2.4%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Passengers</w:t>
            </w: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1060" w:type="dxa"/>
            <w:vAlign w:val="bottom"/>
          </w:tcPr>
          <w:p>
            <w:pPr>
              <w:ind w:left="680"/>
              <w:spacing w:after="0"/>
              <w:rPr>
                <w:sz w:val="20"/>
                <w:szCs w:val="20"/>
                <w:color w:val="auto"/>
              </w:rPr>
            </w:pPr>
            <w:r>
              <w:rPr>
                <w:rFonts w:ascii="Arial" w:cs="Arial" w:eastAsia="Arial" w:hAnsi="Arial"/>
                <w:sz w:val="16"/>
                <w:szCs w:val="16"/>
                <w:color w:val="auto"/>
                <w:w w:val="98"/>
              </w:rPr>
              <w:t>3.9%</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Arial" w:cs="Arial" w:eastAsia="Arial" w:hAnsi="Arial"/>
                <w:sz w:val="16"/>
                <w:szCs w:val="16"/>
                <w:color w:val="auto"/>
                <w:w w:val="93"/>
              </w:rPr>
              <w:t>2.6%</w:t>
            </w:r>
          </w:p>
        </w:tc>
      </w:tr>
      <w:tr>
        <w:trPr>
          <w:trHeight w:val="33"/>
        </w:trPr>
        <w:tc>
          <w:tcPr>
            <w:tcW w:w="5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RPMs (traffic)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98"/>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w w:val="93"/>
              </w:rPr>
              <w:t>4.0%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ASMs (capacity)</w:t>
            </w: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0"/>
                <w:szCs w:val="20"/>
                <w:color w:val="auto"/>
              </w:rPr>
            </w:pPr>
          </w:p>
        </w:tc>
        <w:tc>
          <w:tcPr>
            <w:tcW w:w="1060" w:type="dxa"/>
            <w:vAlign w:val="bottom"/>
          </w:tcPr>
          <w:p>
            <w:pPr>
              <w:ind w:left="680"/>
              <w:spacing w:after="0"/>
              <w:rPr>
                <w:sz w:val="20"/>
                <w:szCs w:val="20"/>
                <w:color w:val="auto"/>
              </w:rPr>
            </w:pPr>
            <w:r>
              <w:rPr>
                <w:rFonts w:ascii="Arial" w:cs="Arial" w:eastAsia="Arial" w:hAnsi="Arial"/>
                <w:sz w:val="16"/>
                <w:szCs w:val="16"/>
                <w:color w:val="auto"/>
                <w:w w:val="98"/>
              </w:rPr>
              <w:t>2.9%</w:t>
            </w:r>
          </w:p>
        </w:tc>
        <w:tc>
          <w:tcPr>
            <w:tcW w:w="100" w:type="dxa"/>
            <w:vAlign w:val="bottom"/>
          </w:tcPr>
          <w:p>
            <w:pPr>
              <w:spacing w:after="0"/>
              <w:rPr>
                <w:sz w:val="20"/>
                <w:szCs w:val="20"/>
                <w:color w:val="auto"/>
              </w:rPr>
            </w:pPr>
          </w:p>
        </w:tc>
        <w:tc>
          <w:tcPr>
            <w:tcW w:w="1380" w:type="dxa"/>
            <w:vAlign w:val="bottom"/>
          </w:tcPr>
          <w:p>
            <w:pPr>
              <w:ind w:left="1020"/>
              <w:spacing w:after="0"/>
              <w:rPr>
                <w:sz w:val="20"/>
                <w:szCs w:val="20"/>
                <w:color w:val="auto"/>
              </w:rPr>
            </w:pPr>
            <w:r>
              <w:rPr>
                <w:rFonts w:ascii="Arial" w:cs="Arial" w:eastAsia="Arial" w:hAnsi="Arial"/>
                <w:sz w:val="16"/>
                <w:szCs w:val="16"/>
                <w:color w:val="auto"/>
                <w:w w:val="93"/>
              </w:rPr>
              <w:t>3.5%</w:t>
            </w:r>
          </w:p>
        </w:tc>
      </w:tr>
      <w:tr>
        <w:trPr>
          <w:trHeight w:val="33"/>
        </w:trPr>
        <w:tc>
          <w:tcPr>
            <w:tcW w:w="5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Passenger load factor (points)</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0.8</w:t>
            </w:r>
          </w:p>
        </w:tc>
        <w:tc>
          <w:tcPr>
            <w:tcW w:w="12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0.4</w:t>
            </w:r>
          </w:p>
        </w:tc>
      </w:tr>
      <w:tr>
        <w:trPr>
          <w:trHeight w:val="20"/>
        </w:trPr>
        <w:tc>
          <w:tcPr>
            <w:tcW w:w="5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See Part II, Item 6. Selected Financial Data, of this report for the definition of these statistics.</w:t>
      </w:r>
    </w:p>
    <w:p>
      <w:pPr>
        <w:spacing w:after="0" w:line="31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Passenger revenue increased $1.9 billion, or 5.1%, in 2019 as compared to 2018, primarily due to a 4.0% increase in traffic, continuing strong domestic demand, improvements in average fares in the Latin and Domestic markets, and increases in ancillary fees driven by improved product offerings.</w:t>
      </w:r>
    </w:p>
    <w:p>
      <w:pPr>
        <w:spacing w:after="0" w:line="1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Cargo revenue decreased $58 million, or 4.7%, in 2019 as compared to 2018, primarily due to an approximately 3% decrease in cargo ton miles and a 2% decline in cargo ton mile yield.</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December 2019, a novel strain of coronavirus ("COVID-19") was reported in Wuhan, China. The World Health Organization has declared COVID-19 to constitute a "Public Health Emergency of International Concern." On January 30, 2020, the U.S. Department of State issued a Level 4 "do not travel" advisory for China. The U.S. government has also implemented enhanced screenings, quarantine requirements and travel restrictions in connection with the COVID-19 outbreak. The Company has suspended its flights between the United States and each of Beijing, Chengdu, Shanghai and Hong Kong through April 24, 2020. These routes represented approximately 5% of the Company's 2020 planned capacity and the Company's other trans-Pacific routes represented an additional 10% of the Company's 2020 planned capacity. As of the date of this report, the Company is experiencing an approximately 100% decline in near-term demand to China and an approximately 75% decline in near-term demand on the rest of the Company's trans-Pacific routes. The extent of the impact of the COVID-19 on the Company's operational and financial performance will depend on future developments, including the duration and spread of the outbreak and related travel advisories and restrictions and the impact of the COVID-19 on overall demand for air travel, all of which are highly uncertain and cannot be predicted. If traffic on the Company's trans-Pacific routes were to remain at these levels for an extended period, and/or routes in other parts of the Company's network begin to see significant declines in demand, our results of operations for full year 2020 may be materially adversely affected.</w:t>
      </w:r>
    </w:p>
    <w:p>
      <w:pPr>
        <w:spacing w:after="0" w:line="2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 </w:t>
      </w:r>
      <w:r>
        <w:rPr>
          <w:rFonts w:ascii="Arial" w:cs="Arial" w:eastAsia="Arial" w:hAnsi="Arial"/>
          <w:sz w:val="18"/>
          <w:szCs w:val="18"/>
          <w:color w:val="auto"/>
        </w:rPr>
        <w:t>The table below includes data related to the Company's operating expense for the years ended December 31 (in millions,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changes):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c>
          <w:tcPr>
            <w:tcW w:w="100" w:type="dxa"/>
            <w:vAlign w:val="bottom"/>
          </w:tcPr>
          <w:p>
            <w:pPr>
              <w:spacing w:after="0"/>
              <w:rPr>
                <w:sz w:val="18"/>
                <w:szCs w:val="18"/>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 and related costs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12,071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11,458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fuel</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8,953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9,307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Regional capacity purchase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Landing fees and other rent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2,543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2,449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maintenance materials and outside repairs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rent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(33.5)</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 charges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NM</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Other operating expenses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6,275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5,801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38,958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38,074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Salaries and related costs increased $613 million, or 5.3%, in 2019 as compared to 2018, primarily due to higher contractual pay rates, higher benefit expenses, higher employee incentives and a 4.0% increase in average full-time equivalent employees. Employee incentives included $157 million increase in profit sharing in 2019 as compared to 2018.</w:t>
      </w:r>
    </w:p>
    <w:p>
      <w:pPr>
        <w:spacing w:after="0" w:line="2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Aircraft fuel expense decreased $354 million, or 3.8%, in 2019 as compared to 2018, primarily due to a 7.1% decrease in fuel prices, partially offset by a 3.5% increase in capacity. The table below presents the significant changes in aircraft fuel cost per</w:t>
      </w:r>
    </w:p>
    <w:p>
      <w:pPr>
        <w:sectPr>
          <w:pgSz w:w="11900" w:h="16838" w:orient="portrait"/>
          <w:cols w:equalWidth="0" w:num="1">
            <w:col w:w="11420"/>
          </w:cols>
          <w:pgMar w:left="240" w:top="184"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84"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gallon for the years ended December 31 (in millions, except percentage changes and per gallon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r>
      <w:tr>
        <w:trPr>
          <w:trHeight w:val="210"/>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Fuel expense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Total fuel consumption (gallons)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4,137</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gallon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7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Regional capacity purchase costs increased $200 million, or 7.6%, in 2019 as compared to 2018, primarily due to a rate increase under various capacity purchase agreements with regional carriers and a 4.1% increase in regional flying.</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increased $123 million, or 5.7%, in 2019 as compared to 2018, primarily due to the additions of new and used aircraft and new capital projects related both to infrastructure and information technology.</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Aircraft rent decreased $145 million, or 33.5%, in 2019 as compared to 2018, primarily due to the purchase of leased aircraft and the conversion of certain operating leases to finance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special charges incurred by the Company during the years ended December 31 (in millions):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8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Severance and benefit costs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8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Termination of an engine maintenance service agreement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(Gains) losses on sale of assets and other special charges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special charges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r>
      <w:tr>
        <w:trPr>
          <w:trHeight w:val="20"/>
        </w:trPr>
        <w:tc>
          <w:tcPr>
            <w:tcW w:w="8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included in Part II, Item 8 of this report for additional information.</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operating expenses increased $474 million, or 8.2%, in 2019 as compared to 2018, primarily due to increased purchased services related to airport operations weather-related costs, technology initiatives, catering costs, facility projects and crew-related expenses.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Nonoperating Income (Expense). </w:t>
      </w:r>
      <w:r>
        <w:rPr>
          <w:rFonts w:ascii="Arial" w:cs="Arial" w:eastAsia="Arial" w:hAnsi="Arial"/>
          <w:sz w:val="18"/>
          <w:szCs w:val="18"/>
          <w:color w:val="auto"/>
        </w:rPr>
        <w:t>The following table illustrates the year-over-year dollar and percentage changes in the Company's nonoperating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for the years ended December 31 (in millions, except percentage changes):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Increase (Decrease)</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700" w:type="dxa"/>
            <w:vAlign w:val="bottom"/>
            <w:tcBorders>
              <w:bottom w:val="single" w:sz="8" w:color="CCEEFF"/>
            </w:tcBorders>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Interest capitalized</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30.8</w:t>
            </w:r>
          </w:p>
        </w:tc>
      </w:tr>
      <w:tr>
        <w:trPr>
          <w:trHeight w:val="33"/>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Unrealized gains (losses) on investments, net</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NM</w:t>
            </w:r>
          </w:p>
        </w:tc>
      </w:tr>
      <w:tr>
        <w:trPr>
          <w:trHeight w:val="33"/>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Miscellaneous, net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44"/>
        </w:trPr>
        <w:tc>
          <w:tcPr>
            <w:tcW w:w="5140" w:type="dxa"/>
            <w:vAlign w:val="bottom"/>
          </w:tcPr>
          <w:p>
            <w:pPr>
              <w:ind w:left="280"/>
              <w:spacing w:after="0"/>
              <w:rPr>
                <w:sz w:val="20"/>
                <w:szCs w:val="20"/>
                <w:color w:val="auto"/>
              </w:rPr>
            </w:pPr>
            <w:r>
              <w:rPr>
                <w:rFonts w:ascii="Arial" w:cs="Arial" w:eastAsia="Arial" w:hAnsi="Arial"/>
                <w:sz w:val="16"/>
                <w:szCs w:val="16"/>
                <w:color w:val="auto"/>
              </w:rPr>
              <w:t>Total nonoperating expense, net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70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0"/>
        </w:trPr>
        <w:tc>
          <w:tcPr>
            <w:tcW w:w="5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increased $61 million, or 9.1%, in 2019 as compared to 2018, primarily due to the conversion of certain operating leases to finance leases and debt issued for the acquisition of new aircraft.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increased $32 million, or 31.7%, in 2019 as compared to 2018, primarily due to higher levels of cash balances throughout the year.</w:t>
      </w:r>
    </w:p>
    <w:p>
      <w:pPr>
        <w:spacing w:after="0" w:line="18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Unrealized gains (losses) on investments, net increased $158 million in 2019 as compared to 2018, primarily due to the change in market value of certain of its equity investments and derivative assets. See Notes 9 and 14 to the financial statements included in Part II, Item 8 of this report for additional information.</w:t>
      </w:r>
    </w:p>
    <w:p>
      <w:pPr>
        <w:spacing w:after="0" w:line="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Miscellaneous, net decreased $45 million, or 62.5%, in 2019 as compared to 2018, primarily due to more favorable foreign exchange rates and the remeasurement of postretirement plans due to a plan 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See Note 6 to the financial statements included in Part II, Item 8 of this report for information related to 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2019, the Company had $4.9 billion in unrestricted cash, cash equivalents and short-term investments, an increase of approximately $1.0 billion from December 31, 2018. The Company had its entire commitment capacity of $2.0 billion under the revolving credit facility of the Credit Agreement available for borrowings as of December 31, 2019.</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significant amount of fixed obligations, including debt, aircraft leases, leases of airport property and other facilities and pension funding obligations. At December 31, 2019, the Company had approximately $14.8 billion of debt and finance lease obligations, including $1.5 billion that are due within the next 12 months. In addition, we have substantial noncancelable commitments for capital expenditures, including the acquisition of new aircraft and related spare engines. As of December 31, 2019, our current liabilities exceeded our current assets by approximately $6.7 billion. However, approximately $7.3 billion of our current liabilities are related to our advance ticket sales and frequent flyer deferred revenue, both of which largely represent revenue to be recognized for travel in the near future and not cash outlays. The deficit in working capital does not have an adverse impact to our cash flows, liquidity or operations.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2020, the Company expects approximately $7.0 billion of gross capital expenditures. See Note 13 to the financial statements included in Part II, Item 8 of this report for additional information on commitments.</w:t>
      </w:r>
    </w:p>
    <w:p>
      <w:pPr>
        <w:spacing w:after="0" w:line="19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December 31, 2019, a substantial portion of the Company's assets, principally aircraft, route authorities and airport slots, was pledged under various loan and other agreements. Collateral pledged under these loans continues to be sufficient to satisfy the loan covenants. We must sustain our profitability and/or access the capital markets to meet our significant long-term debt and finance lease obligations and future commitments for capital expenditures, including the acquisition of aircraft and related spare engines. See Note 10 to the financial statements included in Part II, Item 8 of this report for additional information on assets provided as collateral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discussion of the Company's sources and uses of cash for 2019 as compared to 2018. See "Liquidity and Capital Resources" in Part II, Item</w:t>
      </w:r>
    </w:p>
    <w:p>
      <w:pPr>
        <w:spacing w:after="0" w:line="46" w:lineRule="exact"/>
        <w:rPr>
          <w:sz w:val="20"/>
          <w:szCs w:val="20"/>
          <w:color w:val="auto"/>
        </w:rPr>
      </w:pPr>
    </w:p>
    <w:p>
      <w:pPr>
        <w:ind w:right="320" w:firstLine="8"/>
        <w:spacing w:after="0" w:line="261"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 the 2018 Annual Report for a discussion of the Company's sources and uses of cash in 2018 as compared to 2017.</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flow provided by operations for the year ended December 31, 2019 was $6.9 billion compared to $6.2 billion in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The increase is primarily attributable to an increase in operating income which was $4.3 billion for 2019 as compared to $3.2 billion for 2018.</w:t>
      </w:r>
    </w:p>
    <w:p>
      <w:pPr>
        <w:spacing w:after="0" w:line="15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Company's capital expenditures were $4.5 billion and $4.1 billion in 2019 and 2018, respectively. The Company's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for both years were primarily attributable to the purchase of aircraft, aircraft improvements, facility and fleet-related costs and the purchase of information technology assets.</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December 2019, United issued the AVH Convertible Loan. For additional information regarding the AVH Convertible Loan, see Note 8 to the financial statements included in Part II, Item 8 of this report.</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November 2018, United, as lender, entered into a Term Loan Agreement (the "BRW Term Loan Agreement") with, among others, BRW Aviation Holding LLC and BRW Aviation LLC ("BRW"), as guarantor and borrower, respectively. BRW Aviation Holding LLC and BRW are affiliates of Synergy Aerospace Corporation, and BRW is the majority shareholder of AVH. Pursuant to the BRW Term Loan Agreement, United provided to BRW a $456 million term loan (the "BRW Term Loan"), secured by a pledge of BRW's equity, as well as BRW's 516 million common shares of AVH (which are eligible to be converted into the same number of preferred shares, which may be deposited with the depositary for AVH's American Depositary Receipts ("ADRs"), the class of AVH securities that trades on the New York Stock Exchange (the "NYSE"), in exchange for 64.5 million ADRs) (such equity and shares, collectively, the "BRW Loan Collateral"). BRW is currently in default under the BRW Term Loan Agreement. The BRW Term Loan was made in conjunction with a revenue-sharing joint business agreement among United, Aerovías del Continente Americano S.A ("Avianca"), a subsidiary of AVH, and Copa as described in Part 1, Item 1 of this report. For additional information regarding the BRW Term Loan Agreement and related agreements, see Notes 8, 9 and 13 to the financial statements included in Part II, Item 8 of this report.</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April 2018, through a wholly-owned subsidiary, the Company invested $138 million in Azul Linhas Aéreas Brasileiras S.A. ("Azul") thus increasing its preferred equity stake in Azul to approximately 8% (representing approximately 2% of the total capital stock of Azul).</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53"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Significant financing events in 2019 were as follows: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The Company used $1.6 billion of cash to purchase approximately 19.2 million shares of its common stock during 2019. In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2017, UAL's Board of Directors authorized a $3.0 billion share repurchase program to acquire UAL's common stock. In July 2019, UAL's Board of Directors authorized a new $3.0 billion share repurchase program to acquire UAL's common stock. As of December 31, 2019, the Company had approximately $3.1 billion remaining to purchase shares under its share repurchase programs.</w:t>
      </w: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Debt Issuances. </w:t>
      </w:r>
      <w:r>
        <w:rPr>
          <w:rFonts w:ascii="Arial" w:cs="Arial" w:eastAsia="Arial" w:hAnsi="Arial"/>
          <w:sz w:val="17"/>
          <w:szCs w:val="17"/>
          <w:color w:val="auto"/>
        </w:rPr>
        <w:t>During 2019, United received and recorded $1.8 billion of proceeds as debt related to enhanced equipment trust certificate ("EETC")</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offerings created in 2019 to finance the purchase of aircraft. Also, United received and recorded $350 million of proceeds from the 4.875% Senior Notes due January 15, 2025 and borrowed approximately $105 million aggregate principal amount from various financial institutions to finance the purchase of several aircraft delivered in 2019. As of December 31, 2019, United had recorded approximately $39 million of debt to finance the construction of an aircraft maintenance and ground service equipment complex at Los Angeles International Airport.</w:t>
      </w:r>
    </w:p>
    <w:p>
      <w:pPr>
        <w:spacing w:after="0" w:line="2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Debt and Finance Lease Principal Payments. </w:t>
      </w:r>
      <w:r>
        <w:rPr>
          <w:rFonts w:ascii="Arial" w:cs="Arial" w:eastAsia="Arial" w:hAnsi="Arial"/>
          <w:sz w:val="18"/>
          <w:szCs w:val="18"/>
          <w:color w:val="auto"/>
        </w:rPr>
        <w:t>During the year ended December 31, 2019, the Company made debt and finance lease principal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$1.4 billion.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2018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The Company used $1.2 billion of cash to purchase approximately 17.5 million shares of its common stock during 2018.</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Debt Issuances. </w:t>
      </w:r>
      <w:r>
        <w:rPr>
          <w:rFonts w:ascii="Arial" w:cs="Arial" w:eastAsia="Arial" w:hAnsi="Arial"/>
          <w:sz w:val="18"/>
          <w:szCs w:val="18"/>
          <w:color w:val="auto"/>
        </w:rPr>
        <w:t>During 2018, United received and recorded $1.2 billion of proceeds as debt related to EETC offerings created in 2018 to finance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of aircraft. Also, United borrowed approximately $424 million aggregate principal amount from various financial institutions to finance the purchase of several aircraft delivered in 2018.</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Debt and Finance Lease Principal Payments. </w:t>
      </w:r>
      <w:r>
        <w:rPr>
          <w:rFonts w:ascii="Arial" w:cs="Arial" w:eastAsia="Arial" w:hAnsi="Arial"/>
          <w:sz w:val="18"/>
          <w:szCs w:val="18"/>
          <w:color w:val="auto"/>
        </w:rPr>
        <w:t>During the year ended December 31, 2018, the Company made debt and finance lease principal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$1.8 billion.</w:t>
      </w:r>
    </w:p>
    <w:p>
      <w:pPr>
        <w:spacing w:after="0" w:line="19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For additional information regarding these Liquidity and Capital Resource matters, see Notes 2, 10, 11 and 13 to the financial statements included in Part II, Item 8 of this report. For information regarding non-cash investing and financing activities, see the Company's statements of consolidated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As of the filing date of this report, UAL and United had the following corporate credit ratings:</w:t>
      </w:r>
    </w:p>
    <w:p>
      <w:pPr>
        <w:spacing w:after="0" w:line="200" w:lineRule="exact"/>
        <w:rPr>
          <w:sz w:val="20"/>
          <w:szCs w:val="20"/>
          <w:color w:val="auto"/>
        </w:rPr>
      </w:pPr>
    </w:p>
    <w:p>
      <w:pPr>
        <w:spacing w:after="0" w:line="214"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S&amp;P</w:t>
            </w:r>
          </w:p>
        </w:tc>
        <w:tc>
          <w:tcPr>
            <w:tcW w:w="1760" w:type="dxa"/>
            <w:vAlign w:val="bottom"/>
            <w:gridSpan w:val="2"/>
          </w:tcPr>
          <w:p>
            <w:pPr>
              <w:ind w:left="500"/>
              <w:spacing w:after="0"/>
              <w:rPr>
                <w:sz w:val="20"/>
                <w:szCs w:val="20"/>
                <w:color w:val="auto"/>
              </w:rPr>
            </w:pPr>
            <w:r>
              <w:rPr>
                <w:rFonts w:ascii="Arial" w:cs="Arial" w:eastAsia="Arial" w:hAnsi="Arial"/>
                <w:sz w:val="18"/>
                <w:szCs w:val="18"/>
                <w:color w:val="auto"/>
              </w:rPr>
              <w:t>Moody's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Fitch</w:t>
            </w:r>
          </w:p>
        </w:tc>
      </w:tr>
      <w:tr>
        <w:trPr>
          <w:trHeight w:val="27"/>
        </w:trPr>
        <w:tc>
          <w:tcPr>
            <w:tcW w:w="1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UAL</w:t>
            </w:r>
          </w:p>
        </w:tc>
        <w:tc>
          <w:tcPr>
            <w:tcW w:w="1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BB</w:t>
            </w:r>
          </w:p>
        </w:tc>
        <w:tc>
          <w:tcPr>
            <w:tcW w:w="1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Ba2</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43"/>
        </w:trPr>
        <w:tc>
          <w:tcPr>
            <w:tcW w:w="1640" w:type="dxa"/>
            <w:vAlign w:val="bottom"/>
          </w:tcPr>
          <w:p>
            <w:pPr>
              <w:ind w:left="20"/>
              <w:spacing w:after="0"/>
              <w:rPr>
                <w:sz w:val="20"/>
                <w:szCs w:val="20"/>
                <w:color w:val="auto"/>
              </w:rPr>
            </w:pPr>
            <w:r>
              <w:rPr>
                <w:rFonts w:ascii="Arial" w:cs="Arial" w:eastAsia="Arial" w:hAnsi="Arial"/>
                <w:sz w:val="18"/>
                <w:szCs w:val="18"/>
                <w:color w:val="auto"/>
              </w:rPr>
              <w:t>United</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w:t>
            </w: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17145</wp:posOffset>
            </wp:positionV>
            <wp:extent cx="4648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3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credit agency does not issue corporate credit ratings for subsidiary entities.</w:t>
      </w:r>
    </w:p>
    <w:p>
      <w:pPr>
        <w:spacing w:after="0" w:line="27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These credit ratings are below investment grade levels; however, the Company has been able to secure financing with investment grade credit ratings for certain EETCs and term loans. Downgrades from these rating levels, among other things, could restrict the availability, or increase the cost, of future financing for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Below is a summary of additional liquidity matters. See the indicated notes to our consolidated financial statements included in Part II, Item 8 of this report for additional details related to these and other matters affecting our liquidity and commitments.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w:t>
            </w:r>
          </w:p>
        </w:tc>
        <w:tc>
          <w:tcPr>
            <w:tcW w:w="49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Note 7</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Long-term debt and debt covenants</w:t>
            </w:r>
          </w:p>
        </w:tc>
        <w:tc>
          <w:tcPr>
            <w:tcW w:w="4980" w:type="dxa"/>
            <w:vAlign w:val="bottom"/>
          </w:tcPr>
          <w:p>
            <w:pPr>
              <w:ind w:left="3420"/>
              <w:spacing w:after="0"/>
              <w:rPr>
                <w:sz w:val="20"/>
                <w:szCs w:val="20"/>
                <w:color w:val="auto"/>
              </w:rPr>
            </w:pPr>
            <w:r>
              <w:rPr>
                <w:rFonts w:ascii="Arial" w:cs="Arial" w:eastAsia="Arial" w:hAnsi="Arial"/>
                <w:sz w:val="18"/>
                <w:szCs w:val="18"/>
                <w:color w:val="auto"/>
              </w:rPr>
              <w:t>Note 10</w:t>
            </w:r>
          </w:p>
        </w:tc>
      </w:tr>
      <w:tr>
        <w:trPr>
          <w:trHeight w:val="27"/>
        </w:trPr>
        <w:tc>
          <w:tcPr>
            <w:tcW w:w="64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Leases and capacity purchase agreements</w:t>
            </w:r>
          </w:p>
        </w:tc>
        <w:tc>
          <w:tcPr>
            <w:tcW w:w="4980" w:type="dxa"/>
            <w:vAlign w:val="bottom"/>
            <w:tcBorders>
              <w:bottom w:val="single" w:sz="8" w:color="CCEEFF"/>
            </w:tcBorders>
            <w:shd w:val="clear" w:color="auto" w:fill="CCEEFF"/>
          </w:tcPr>
          <w:p>
            <w:pPr>
              <w:ind w:left="3420"/>
              <w:spacing w:after="0"/>
              <w:rPr>
                <w:sz w:val="20"/>
                <w:szCs w:val="20"/>
                <w:color w:val="auto"/>
              </w:rPr>
            </w:pPr>
            <w:r>
              <w:rPr>
                <w:rFonts w:ascii="Arial" w:cs="Arial" w:eastAsia="Arial" w:hAnsi="Arial"/>
                <w:sz w:val="18"/>
                <w:szCs w:val="18"/>
                <w:color w:val="auto"/>
              </w:rPr>
              <w:t>Note 11</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4980" w:type="dxa"/>
            <w:vAlign w:val="bottom"/>
          </w:tcPr>
          <w:p>
            <w:pPr>
              <w:ind w:left="3420"/>
              <w:spacing w:after="0"/>
              <w:rPr>
                <w:sz w:val="20"/>
                <w:szCs w:val="20"/>
                <w:color w:val="auto"/>
              </w:rPr>
            </w:pPr>
            <w:r>
              <w:rPr>
                <w:rFonts w:ascii="Arial" w:cs="Arial" w:eastAsia="Arial" w:hAnsi="Arial"/>
                <w:sz w:val="18"/>
                <w:szCs w:val="18"/>
                <w:color w:val="auto"/>
              </w:rPr>
              <w:t>Note 13</w:t>
            </w:r>
          </w:p>
        </w:tc>
      </w:tr>
      <w:tr>
        <w:trPr>
          <w:trHeight w:val="27"/>
        </w:trPr>
        <w:tc>
          <w:tcPr>
            <w:tcW w:w="64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The Company's business is capital intensive, requiring significant amounts of capital to fund the acquisition of assets, particularly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In the past, the Company has funded the acquisition of aircraft with cash, by using EETC financing, by entering into finance or operating leases, or through other financings. The Company also often enters into long-term lease commitments with airports to ensure access to terminal, cargo, maintenance and other required facilities.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the Company's material contractual obligations as of December 31, 2019 (in billions):</w:t>
      </w:r>
    </w:p>
    <w:p>
      <w:pPr>
        <w:sectPr>
          <w:pgSz w:w="11900" w:h="16838" w:orient="portrait"/>
          <w:cols w:equalWidth="0" w:num="1">
            <w:col w:w="11420"/>
          </w:cols>
          <w:pgMar w:left="240" w:top="50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03"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After 2024</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Finance lease obligations—principal portion</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and finance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Interest on debt and finance lease obligations (b)</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Regional CPAs (c)</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Postretirement obligations (d)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Pension obligations (e)</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purchase obligations (f)</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3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r>
      <w:tr>
        <w:trPr>
          <w:trHeight w:val="67"/>
        </w:trPr>
        <w:tc>
          <w:tcPr>
            <w:tcW w:w="42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bl>
    <w:p>
      <w:pPr>
        <w:spacing w:after="0" w:line="197" w:lineRule="exact"/>
        <w:rPr>
          <w:sz w:val="20"/>
          <w:szCs w:val="20"/>
          <w:color w:val="auto"/>
        </w:rPr>
      </w:pPr>
    </w:p>
    <w:p>
      <w:pPr>
        <w:ind w:left="260" w:right="500" w:hanging="252"/>
        <w:spacing w:after="0" w:line="250" w:lineRule="auto"/>
        <w:tabs>
          <w:tab w:leader="none" w:pos="213"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Long-term debt presented in the Company's financial statements is net of $181 million of debt discount, premiums and debt issuance costs which are being amortized over the debt terms. Contractual payments do not include the debt discount, premiums and debt issuance costs.</w:t>
      </w:r>
    </w:p>
    <w:p>
      <w:pPr>
        <w:ind w:left="260" w:right="280" w:hanging="252"/>
        <w:spacing w:after="0" w:line="241" w:lineRule="auto"/>
        <w:tabs>
          <w:tab w:leader="none" w:pos="221"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interest portion of finance lease obligations of $14 million in 2020, $11 million in 2021, $8 million in 2022, $6 million in 2023, $4 million in 2024 and $5 million thereafter. Interest payments on variable interest rate debt were calculated using London interbank offered rates ("LIBOR") applicable at December 31, 2019.</w:t>
      </w:r>
    </w:p>
    <w:p>
      <w:pPr>
        <w:ind w:left="260" w:right="340" w:hanging="252"/>
        <w:spacing w:after="0" w:line="241" w:lineRule="auto"/>
        <w:tabs>
          <w:tab w:leader="none" w:pos="213"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our estimates of future minimum noncancelable commitments under our CPAs and does not include the portion of the underlying obligations for aircraft and facility rent that is disclosed as part of operating lease obligations. Amounts also exclude a portion of United's finance lease obligation recorded for certain of its CPAs. See Note 11 to the financial statements included in Part II, Item 8 of this report for the significant assumptions used to estimate the payments.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postretirement benefit payments through 2029. Benefit payments approximate plan contributions as plans are substantially unfunded.</w:t>
      </w:r>
    </w:p>
    <w:p>
      <w:pPr>
        <w:spacing w:after="0" w:line="1" w:lineRule="exact"/>
        <w:rPr>
          <w:rFonts w:ascii="Arial" w:cs="Arial" w:eastAsia="Arial" w:hAnsi="Arial"/>
          <w:sz w:val="14"/>
          <w:szCs w:val="14"/>
          <w:color w:val="auto"/>
        </w:rPr>
      </w:pPr>
    </w:p>
    <w:p>
      <w:pPr>
        <w:ind w:left="260" w:right="420" w:hanging="252"/>
        <w:spacing w:after="0" w:line="241" w:lineRule="auto"/>
        <w:tabs>
          <w:tab w:leader="none" w:pos="213"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an estimate of the minimum funding requirements as determined by government regulations for United's U.S. pension plans. Amounts are subject to change based on numerous assumptions, including the performance of assets in the plans and bond rates.</w:t>
      </w:r>
    </w:p>
    <w:p>
      <w:pPr>
        <w:ind w:left="260" w:right="380" w:hanging="252"/>
        <w:spacing w:after="0" w:line="255" w:lineRule="auto"/>
        <w:tabs>
          <w:tab w:leader="none" w:pos="1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contractual commitments for firm order aircraft, spare engines and other capital purchase commitments. See Note 13 to the financial statements included in Part II, Item 8 of this report for a discussion of our purchase commitments.</w:t>
      </w:r>
    </w:p>
    <w:p>
      <w:pPr>
        <w:spacing w:after="0" w:line="13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Off-Balance Sheet Arrangements. </w:t>
      </w:r>
      <w:r>
        <w:rPr>
          <w:rFonts w:ascii="Arial" w:cs="Arial" w:eastAsia="Arial" w:hAnsi="Arial"/>
          <w:sz w:val="17"/>
          <w:szCs w:val="17"/>
          <w:color w:val="auto"/>
        </w:rPr>
        <w:t>An off-balance sheet arrangement is any transaction, agreement or other contractual arrangement involving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or that engages in leasing, hedging or research and development arrangements. The Company's primary off-balance sheet arrangements include guarantees that are discussed below and variable-rate operating leases. See Note 11 to the financial statements included in Part II, Item 8 of this report for more information related to variable-rate operating leases.</w:t>
      </w:r>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Letters of Credit and Surety Bonds. </w:t>
      </w:r>
      <w:r>
        <w:rPr>
          <w:rFonts w:ascii="Arial" w:cs="Arial" w:eastAsia="Arial" w:hAnsi="Arial"/>
          <w:sz w:val="18"/>
          <w:szCs w:val="18"/>
          <w:color w:val="auto"/>
        </w:rPr>
        <w:t>As of December 31, 2019, United had cash collateralized $73 million of letters of credit, which generally have evergreen</w:t>
      </w:r>
      <w:r>
        <w:rPr>
          <w:rFonts w:ascii="Arial" w:cs="Arial" w:eastAsia="Arial" w:hAnsi="Arial"/>
          <w:sz w:val="18"/>
          <w:szCs w:val="18"/>
          <w:i w:val="1"/>
          <w:iCs w:val="1"/>
          <w:color w:val="auto"/>
        </w:rPr>
        <w:t xml:space="preserve"> </w:t>
      </w:r>
      <w:r>
        <w:rPr>
          <w:rFonts w:ascii="Arial" w:cs="Arial" w:eastAsia="Arial" w:hAnsi="Arial"/>
          <w:sz w:val="18"/>
          <w:szCs w:val="18"/>
          <w:color w:val="auto"/>
        </w:rPr>
        <w:t>clauses and are expected to be renewed on an annual basis. As of December 31, 2019, United also had $414 million of surety bonds securing various obligations with expiration dates through 2023.</w:t>
      </w:r>
    </w:p>
    <w:p>
      <w:pPr>
        <w:spacing w:after="0" w:line="20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Guarantee of BRW Commitment. </w:t>
      </w:r>
      <w:r>
        <w:rPr>
          <w:rFonts w:ascii="Arial" w:cs="Arial" w:eastAsia="Arial" w:hAnsi="Arial"/>
          <w:sz w:val="16"/>
          <w:szCs w:val="16"/>
          <w:color w:val="auto"/>
        </w:rPr>
        <w:t>In connection with funding the BRW Term Loan Agreement, the Company entered into an agreement with Kingsland,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in return for Kingsland's pledge of its 144.8 million common shares of AVH (which are eligible to be converted into the same number of preferred shares, which may be deposited with the depositary for AVH's ADRs, the class of AVH securities that trades on the NYSE, in exchange for 18.1 million ADRs) and its consent to BRW's pledge of its AVH common shares to United under the BRW Term Loan Agreement and related agreements, United</w:t>
      </w:r>
    </w:p>
    <w:p>
      <w:pPr>
        <w:spacing w:after="0" w:line="2" w:lineRule="exact"/>
        <w:rPr>
          <w:sz w:val="20"/>
          <w:szCs w:val="20"/>
          <w:color w:val="auto"/>
        </w:rPr>
      </w:pPr>
    </w:p>
    <w:p>
      <w:pPr>
        <w:ind w:right="20" w:firstLine="8"/>
        <w:spacing w:after="0" w:line="290"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granted to Kingsland the right to put its AVH common shares to United at market price on the fifth anniversary of the BRW Term Loan Agreement or upon certain sales of AVH common shares owned by BRW, including upon a foreclosure, and (2) guaranteed BRW's obligation to pay Kingsland the difference (which amount, if paid by United, will increase the BRW Term Loan by such amount) if the market price of AVH common shares on the fifth anniversary, or upon any such sale, as applicable, is less than $12 per ADR, for an aggregate maximum possible combined put payment and guarantee amount on the fifth anniversary, or upon such sale, as applicable, of $217 million. In 2018, the Company recorded a liability of $31 million for the fair value of its guarantee to loan additional funds to BRW if required. Any such additional loans to BRW would be collateralized by BRW's AVH shares and other collateral.</w:t>
      </w:r>
    </w:p>
    <w:p>
      <w:pPr>
        <w:spacing w:after="0" w:line="19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Guarantee of Debt of Others. </w:t>
      </w:r>
      <w:r>
        <w:rPr>
          <w:rFonts w:ascii="Arial" w:cs="Arial" w:eastAsia="Arial" w:hAnsi="Arial"/>
          <w:sz w:val="16"/>
          <w:szCs w:val="16"/>
          <w:color w:val="auto"/>
        </w:rPr>
        <w:t>As of December 31, 2019, United is the guarantor of $132 million of aircraft mortgage debt issued by one of United's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carriers. The aircraft mortgage debt is subject to increased cost provisions and the Company would potentially be responsible for those costs under the guarantees. The increased cost provisions in the $132 million of aircraft mortgage debt are similar to those in certain of the Company's debt agreements. See discussion under Increased Cost Provisions, below, for additional information on increased cost provisions related to the Company's debt.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99" w:right="239" w:bottom="1440" w:gutter="0" w:footer="0" w:header="0"/>
        </w:sectPr>
      </w:pPr>
    </w:p>
    <w:bookmarkStart w:id="33" w:name="page34"/>
    <w:bookmarkEnd w:id="33"/>
    <w:p>
      <w:pPr>
        <w:ind w:right="40"/>
        <w:spacing w:after="0" w:line="253" w:lineRule="auto"/>
        <w:rPr>
          <w:sz w:val="20"/>
          <w:szCs w:val="20"/>
          <w:color w:val="auto"/>
        </w:rPr>
      </w:pPr>
      <w:r>
        <w:rPr>
          <w:rFonts w:ascii="Arial" w:cs="Arial" w:eastAsia="Arial" w:hAnsi="Arial"/>
          <w:sz w:val="18"/>
          <w:szCs w:val="18"/>
          <w:i w:val="1"/>
          <w:iCs w:val="1"/>
          <w:color w:val="auto"/>
        </w:rPr>
        <w:t xml:space="preserve">EETCs. </w:t>
      </w:r>
      <w:r>
        <w:rPr>
          <w:rFonts w:ascii="Arial" w:cs="Arial" w:eastAsia="Arial" w:hAnsi="Arial"/>
          <w:sz w:val="18"/>
          <w:szCs w:val="18"/>
          <w:color w:val="auto"/>
        </w:rPr>
        <w:t>As of December 31, 2019, United had $9.6 billion principal amount of equipment notes outstanding issued under EETC financings.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of these EETC financings consists of pass-through trusts created by United to issue pass-through certificates, which represent fractional undivided interests in the respective pass-through trusts and are not obligations of United. The proceeds of the issuance of the pass-through certificates are used to purchase equipment notes which are issued by United and secured by its aircraft. The payment obligations under the equipment notes are those of United.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United's consolidated balance sheet because the proceeds held by the depositary are not United's assets. The total amount of EETC funds held in escrow was $328 million as of December 31, 2019. See Note 10 to the financial statements included in Part II, Item 8 of this report for additional information.</w:t>
      </w:r>
    </w:p>
    <w:p>
      <w:pPr>
        <w:spacing w:after="0" w:line="22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Fuel Consortia. </w:t>
      </w:r>
      <w:r>
        <w:rPr>
          <w:rFonts w:ascii="Arial" w:cs="Arial" w:eastAsia="Arial" w:hAnsi="Arial"/>
          <w:sz w:val="17"/>
          <w:szCs w:val="17"/>
          <w:color w:val="auto"/>
        </w:rPr>
        <w:t>United participates in numerous fuel consortia with other air carriers at major airports to reduce the costs of fuel distribution and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2019, approximately $1.9 billion principal amount of such bonds were secured by significant fuel facility leases in which United participates, as to which United and each of the signatory airlines has provided indirect guarantees of the debt. As of December 31, 2019, the Company's contingent exposure was approximately $175 million principal amount of such bonds based on its recent consortia participation. The Company's contingent exposure could increase if the participation of other air carriers decreases. The guarantees will expire when the tax-exempt bonds are paid in full, which ranges from 2022 to 2051. The Company did not record a liability at the time these indirect guarantees were made.</w:t>
      </w:r>
    </w:p>
    <w:p>
      <w:pPr>
        <w:spacing w:after="0" w:line="2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in which United is the borrower, United typically agrees to reimburse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reduced returns with respect to the loans due to any change in capital requirements and, in the case of loans with respect to which the interest rate is based on LIBOR,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2019, the Company had $3.4 billion of floating rate debt with remaining terms of up to 11 years that are subject to these increased cost provisions. In several financing transactions involving loans or leases from non-U.S. entities, with remaining terms of up to 11 years and an aggregate balance of $3.2 billion, the Company bears the risk of any change in tax laws that would subject loan or lease payments thereunder to non-U.S. entities to withholding taxes, subject to customary exclusions.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Critical accounting policies are defined as those that are affected by significant judgments and uncertainties which potentially could result in materially different accounting under different assumptions and conditions. The Company has prepared the financial statements in conformity with accounting principles generally accepted in the United States of America ("GAAP"), which requires management to make estimates and assumptions that affect the reported amounts in the financial statements. Actual results could differ from those estimates under different assumptions or conditions. The Company has identified the following critical accounting policies that impact the preparation of the financial statements.</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Frequent Flyer Accounting. </w:t>
      </w:r>
      <w:r>
        <w:rPr>
          <w:rFonts w:ascii="Arial" w:cs="Arial" w:eastAsia="Arial" w:hAnsi="Arial"/>
          <w:sz w:val="18"/>
          <w:szCs w:val="18"/>
          <w:color w:val="auto"/>
        </w:rPr>
        <w:t>United's MileagePlus loyalty program builds customer loyalty by offering awards, benefits and services to program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one to nine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Miles Earned in Conjunction with Travel. </w:t>
      </w:r>
      <w:r>
        <w:rPr>
          <w:rFonts w:ascii="Arial" w:cs="Arial" w:eastAsia="Arial" w:hAnsi="Arial"/>
          <w:sz w:val="18"/>
          <w:szCs w:val="18"/>
          <w:color w:val="auto"/>
        </w:rPr>
        <w:t>When frequent flyers earn miles for flights, the Company recognizes a portion of the ticket sales as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travel occurs and defers a portion of the ticket sale representing the value of the related miles as a separate performance obligation. The Company determines the estimated selling price of travel and miles as if each element is sold on a separate basis. The total consideration from each ticket sale is then allocated to each of these elements, individually, on a pro-rata basis. At the time of travel, the Company records the portion allocated to the miles to Frequent flyer deferred revenue on the Company's consolidated balance sheet and subsequently recognizes it into revenue when miles are redeemed for air travel and non-air travel awards.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03"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Co-Brand Agreement</w:t>
      </w:r>
      <w:r>
        <w:rPr>
          <w:rFonts w:ascii="Arial" w:cs="Arial" w:eastAsia="Arial" w:hAnsi="Arial"/>
          <w:sz w:val="18"/>
          <w:szCs w:val="18"/>
          <w:color w:val="auto"/>
        </w:rPr>
        <w:t>. United has a significant contract (the "Co-Brand Agreement") to sell MileagePlus miles to its co-branded credit card partner JPMorgan</w:t>
      </w:r>
      <w:r>
        <w:rPr>
          <w:rFonts w:ascii="Arial" w:cs="Arial" w:eastAsia="Arial" w:hAnsi="Arial"/>
          <w:sz w:val="18"/>
          <w:szCs w:val="18"/>
          <w:i w:val="1"/>
          <w:iCs w:val="1"/>
          <w:color w:val="auto"/>
        </w:rPr>
        <w:t xml:space="preserve"> </w:t>
      </w:r>
      <w:r>
        <w:rPr>
          <w:rFonts w:ascii="Arial" w:cs="Arial" w:eastAsia="Arial" w:hAnsi="Arial"/>
          <w:sz w:val="18"/>
          <w:szCs w:val="18"/>
          <w:color w:val="auto"/>
        </w:rPr>
        <w:t>Chase Bank, N.A. ("Chase"). Chase awards miles to MileagePlus members based on their credit card activity. United identified the following significant separately identifiable performance obligations in the Co-Brand Agreement:</w:t>
      </w:r>
    </w:p>
    <w:p>
      <w:pPr>
        <w:spacing w:after="0" w:line="208" w:lineRule="exact"/>
        <w:rPr>
          <w:sz w:val="20"/>
          <w:szCs w:val="20"/>
          <w:color w:val="auto"/>
        </w:rPr>
      </w:pPr>
    </w:p>
    <w:p>
      <w:pPr>
        <w:ind w:left="500" w:right="100" w:hanging="249"/>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revenue related to the non-travel awards when the goods or services are delivered. The Company records the cost associated with non-travel awards in Other operating revenue.</w:t>
      </w:r>
    </w:p>
    <w:p>
      <w:pPr>
        <w:spacing w:after="0" w:line="213"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197" w:lineRule="exact"/>
        <w:rPr>
          <w:rFonts w:ascii="Arial" w:cs="Arial" w:eastAsia="Arial" w:hAnsi="Arial"/>
          <w:sz w:val="18"/>
          <w:szCs w:val="18"/>
          <w:color w:val="auto"/>
        </w:rPr>
      </w:pPr>
    </w:p>
    <w:p>
      <w:pPr>
        <w:ind w:left="500" w:right="20" w:hanging="249"/>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208" w:lineRule="exact"/>
        <w:rPr>
          <w:rFonts w:ascii="Arial" w:cs="Arial" w:eastAsia="Arial" w:hAnsi="Arial"/>
          <w:sz w:val="18"/>
          <w:szCs w:val="18"/>
          <w:color w:val="auto"/>
        </w:rPr>
      </w:pPr>
    </w:p>
    <w:p>
      <w:pPr>
        <w:ind w:left="500" w:right="380" w:hanging="249"/>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account for all the payments received (including monthly and one-time payments)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components to be delivered. We also evaluate volumes on an annual basis, which may result in a change in the allocation of the estimated consideration from the Co-Brand Agreement on a prospective basis.</w:t>
      </w:r>
    </w:p>
    <w:p>
      <w:pPr>
        <w:spacing w:after="0" w:line="20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February 2020, the Company announced that they had entered into a Third Amended and Restated Co-Branded Card Marketing Services Agreement (as amended from time to time, the "Agreement") with Chase. The Agreement, which replaces the Co-Brand Agreement, also extends the term into 2029 and modifies certain other terms. We will continue to account for the considerations received under the Agreement to the separately identifiable performance obligations using the estimated selling price allocation methodology explained above. In connection with the Agreement the Company, entered into an Amended and Restated Co-Branded Card Strategic Alliance Agreement with Visa U.S.A. Inc.</w:t>
      </w:r>
    </w:p>
    <w:p>
      <w:pPr>
        <w:spacing w:after="0" w:line="20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color w:val="auto"/>
        </w:rPr>
        <w:t>Estimate of Miles Not Expected to be Redeemed</w:t>
      </w:r>
      <w:r>
        <w:rPr>
          <w:rFonts w:ascii="Arial" w:cs="Arial" w:eastAsia="Arial" w:hAnsi="Arial"/>
          <w:sz w:val="17"/>
          <w:szCs w:val="17"/>
          <w:color w:val="auto"/>
        </w:rPr>
        <w:t>. The Company's estimated selling price of miles is based on an equivalent ticket value less breakage,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incorporates the expected redemption of miles, as the best estimate of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breakage that considers a number of factors, including redemption patterns of various customer groups. The Company's breakage model is based on the assumption that the likelihood that an account will redeem its miles can be estimated based on a consideration of the account's historical behavior. The Company uses a logit regression model to estimate the probability that an account will redeem its current miles balance. The Company reviews its breakage estimates annually based upon the latest available information. The Company's estimate of the expected breakage of miles requires significant management judgment. Current and future changes to breakage assumptions, or to program rules and program redemption opportunities, may result in material changes to the deferred revenue balance as well as recognized revenues from the program. For the portion of the outstanding miles that we estimate will not be redeemed, we recognize the associated value proportionally as the remaining miles are redeemed.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The following table summarizes information related to the Company's Frequent flyer deferred revenue liability:</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Frequent flyer deferred revenue at December 31, 2019 (in millions)</w:t>
            </w:r>
          </w:p>
        </w:tc>
        <w:tc>
          <w:tcPr>
            <w:tcW w:w="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5,276</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Percentage of miles earned not expected to be redeemed</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Impact of 1% change in outstanding miles expected to be redeemed or weighted average ticket value on deferred revenue (in millions)</w:t>
            </w:r>
          </w:p>
        </w:tc>
        <w:tc>
          <w:tcPr>
            <w:tcW w:w="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513"/>
        </w:trPr>
        <w:tc>
          <w:tcPr>
            <w:tcW w:w="9980" w:type="dxa"/>
            <w:vAlign w:val="bottom"/>
          </w:tcPr>
          <w:p>
            <w:pPr>
              <w:ind w:left="5620"/>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84"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BRW Notes Receivable. </w:t>
      </w:r>
      <w:r>
        <w:rPr>
          <w:rFonts w:ascii="Arial" w:cs="Arial" w:eastAsia="Arial" w:hAnsi="Arial"/>
          <w:sz w:val="16"/>
          <w:szCs w:val="16"/>
          <w:color w:val="auto"/>
        </w:rPr>
        <w:t>The BRW Term Loan, currently in default, is secured by a pledge of BRW's equity, as well as BRW's 516 million common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AVH. In order to protect the value of its collateral, on May 24, 2019, United began to exercise certain remedies available to it under the terms of the BRW Term Loan Agreement and related documents. In connection with the delivery by United of a notice of default to BRW, Kingsland Holdings Limited ("Kingsland"), AVH's largest minority shareholder, was granted, in accordance with the agreements related to the BRW Term Loan Agreement, authority to manage BRW, which remains the majority shareholder of AVH. In addition, Kingsland is pursuing a foreclosure process which is expected to result in a judicially supervised sale of the collateral, following the grant of summary judgment by a New York state court on September 26, 2019.</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evaluated the $499 million carrying value of the BRW Term Loan as of December 31, 2019 using the fair value of the collateral and determined that the value of the collateral is sufficient to recover the carrying value of the BRW Term Loan. As a result, the Company concluded that the BRW Term Loan is not impaired. The carrying value of the BRW Term Loan represents the original loan amount plus accrued and unpaid interest and certain expenses associated with the loan origination.</w:t>
      </w:r>
    </w:p>
    <w:p>
      <w:pPr>
        <w:spacing w:after="0" w:line="21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fair market value of AVH equity was estimated using an income approach and a market approach with equal weight applied to each approach. Under the income approach, the value was estimated by discounting expected future cash flows at a weighted average cost of capital to a single present value amount. Under the market approach, the value was estimated by reference to multiples of enterprise value to earnings before interest, taxes, depreciation, amortization and rent ("EBITDAR") for a group of publicly-traded market comparable companies, along with AVH's own EBITDAR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8 to the financial statements included in Part II, Item 8 of this report for additional information.</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Indefinite-lived intangible assets. </w:t>
      </w:r>
      <w:r>
        <w:rPr>
          <w:rFonts w:ascii="Arial" w:cs="Arial" w:eastAsia="Arial" w:hAnsi="Arial"/>
          <w:sz w:val="17"/>
          <w:szCs w:val="17"/>
          <w:color w:val="auto"/>
        </w:rPr>
        <w:t>The Company has indefinite-lived intangible assets, including goodwill. Goodwill and indefinite-lived intangible assets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amortized but are reviewed for impairment on an annual basis as of October 1, or on an interim basis whenever a triggering event occurs. An impairment occurs when the fair value of an intangible asset is less than its carrying value. The Company determines the fair value using a variation of the income approach known as the excess earnings method, which discounts an asset's projected future net cash flows to determine the current fair value. Assumptions used in the discounted cash flow methodology include a discount rate, which is based upon the Company's current weighted average cost of capital plus an asset-specific risk factor, and a projection of sales, expenses, gross margin, tax rates and contributory asset charges for several future years and a terminal growth rate. The assumptions used for future projections are determined based upon the Company's asset-specific forecasts along with the Company's strategic plan. These assumptions are inherently uncertain as they relate to future events and circumstances. Actual results will be influenced by the competitive environment, fuel costs and other expenses, and potentially other unforeseen events or circumstances that could have a material impact on future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Note 1 and 14 to the financial statements included in Part II, Item 8 of this report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statements throughout Part II, Item 7. Management's Discussion and Analysis of Financial Condition and Results of Operations, and elsewhere in this report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"believes," "estimates," "forecast," "guidance," "outlook," "goals", "targets" and similar expressions are intended to identify forward-looking statements.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w:t>
      </w:r>
    </w:p>
    <w:p>
      <w:pPr>
        <w:spacing w:after="0" w:line="5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actual results could differ materially from these forward-looking statements due to numerous factors including, without limitation, the following: our ability to execute our strategic operating plan, including our growth, revenue-generating and cost-control initiatives;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cybersecurity or significant data breaches; disruptions to services provided by third-party service providers; potential reputational or other impact 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84"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impact of regulatory, investigative and legal proceedings and legal compliance risks; the success of our investments in other airlines, including in other parts of the world;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an outbreak of a disease that affects travel demand or travel behavior, such as the existing threat of COVID-19;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costs and availability of financing; our ability to maintain adequate liquidity; our ability to comply with the terms of our various financing arrangements; our ability to realize the full value of our intangible assets and long-lived assets; any impact to our reputation or brand image and other risks and uncertainties set forth under Part I, Item 1A., Risk Factors, of this report, as well as other risks and uncertainties set forth from time to time in the reports we file with the SEC.</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84"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Interest Rates. </w:t>
      </w:r>
      <w:r>
        <w:rPr>
          <w:rFonts w:ascii="Arial" w:cs="Arial" w:eastAsia="Arial" w:hAnsi="Arial"/>
          <w:sz w:val="18"/>
          <w:szCs w:val="18"/>
          <w:color w:val="auto"/>
        </w:rPr>
        <w:t>Our net income is affected by fluctuations in interest rates (e.g. interest expense on variable rate debt and interest income earned on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The Company's policy is to manage interest rate risk through a combination of fixed and variable rate debt. The following table summarizes information related to the Company's interest rate market risk at December 31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8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Variable rate debt</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2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Carrying value of variable rate debt at December 31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820" w:type="dxa"/>
            <w:vAlign w:val="bottom"/>
            <w:gridSpan w:val="4"/>
          </w:tcPr>
          <w:p>
            <w:pPr>
              <w:ind w:left="40"/>
              <w:spacing w:after="0"/>
              <w:rPr>
                <w:sz w:val="20"/>
                <w:szCs w:val="20"/>
                <w:color w:val="auto"/>
              </w:rPr>
            </w:pPr>
            <w:r>
              <w:rPr>
                <w:rFonts w:ascii="Arial" w:cs="Arial" w:eastAsia="Arial" w:hAnsi="Arial"/>
                <w:sz w:val="18"/>
                <w:szCs w:val="18"/>
                <w:color w:val="auto"/>
              </w:rPr>
              <w:t>Impact of 100 basis point increase on projected interest expense for the following year</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Fixed rate debt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4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820" w:type="dxa"/>
            <w:vAlign w:val="bottom"/>
            <w:gridSpan w:val="4"/>
          </w:tcPr>
          <w:p>
            <w:pPr>
              <w:ind w:left="40"/>
              <w:spacing w:after="0"/>
              <w:rPr>
                <w:sz w:val="20"/>
                <w:szCs w:val="20"/>
                <w:color w:val="auto"/>
              </w:rPr>
            </w:pPr>
            <w:r>
              <w:rPr>
                <w:rFonts w:ascii="Arial" w:cs="Arial" w:eastAsia="Arial" w:hAnsi="Arial"/>
                <w:sz w:val="18"/>
                <w:szCs w:val="18"/>
                <w:color w:val="auto"/>
              </w:rPr>
              <w:t>Carrying value of fixed rate debt at December 31</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fixed rate debt at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3"/>
        </w:trPr>
        <w:tc>
          <w:tcPr>
            <w:tcW w:w="7820" w:type="dxa"/>
            <w:vAlign w:val="bottom"/>
            <w:gridSpan w:val="4"/>
          </w:tcPr>
          <w:p>
            <w:pPr>
              <w:ind w:left="40"/>
              <w:spacing w:after="0"/>
              <w:rPr>
                <w:sz w:val="20"/>
                <w:szCs w:val="20"/>
                <w:color w:val="auto"/>
              </w:rPr>
            </w:pPr>
            <w:r>
              <w:rPr>
                <w:rFonts w:ascii="Arial" w:cs="Arial" w:eastAsia="Arial" w:hAnsi="Arial"/>
                <w:sz w:val="18"/>
                <w:szCs w:val="18"/>
                <w:color w:val="auto"/>
              </w:rPr>
              <w:t>Impact of 100 basis point increase in market rates on fair value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announced in July 2017, LIBOR is expected to be phased out by the end of 2021. Uncertainty as to the nature of alternative reference rates and as to potential changes or other reforms to LIBOR may adversely impact our interest rates and related interest expense. As of December 31, 2019, the Company had $3.4 billion in variable rate indebtedness. See Part II, Item 7. Management's Discussion and Analysis of Financial Condition and Results of Operations— Other Liquidity Matters, of this report, for more information on interest expense.</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change in market interest rates would also impact interest income earned on our cash, cash equivalents and short-term investments. Assuming our cash, cash equivalents and short-term investments remain at their average 2019 levels, a 100 basis point increase in interest rates would result in a corresponding increase in the Company's interest income of approximately $47 million during 2020.</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Commodity Price Risk (Aircraft Fuel). </w:t>
      </w:r>
      <w:r>
        <w:rPr>
          <w:rFonts w:ascii="Arial" w:cs="Arial" w:eastAsia="Arial" w:hAnsi="Arial"/>
          <w:sz w:val="18"/>
          <w:szCs w:val="18"/>
          <w:color w:val="auto"/>
        </w:rPr>
        <w:t>The price of aircraft fuel can significantly affect the Company's operations, results of operations, financial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liquidity.</w:t>
      </w:r>
    </w:p>
    <w:p>
      <w:pPr>
        <w:spacing w:after="0" w:line="19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some major demand locations. The Company's current strategy is to not enter into transactions to hedge fuel price volatility, although the Company regularly reviews its policy based on market conditions and other factors. The Company's 2020 forecasted fuel consumption is presently approximately 4.5 billion gallons, and based on this forecast, a one-dollar change in the price of a barrel of crude oil would change the Company's annual fuel expense by approximately $108 million.</w:t>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w:t>
      </w:r>
      <w:r>
        <w:rPr>
          <w:rFonts w:ascii="Arial" w:cs="Arial" w:eastAsia="Arial" w:hAnsi="Arial"/>
          <w:sz w:val="18"/>
          <w:szCs w:val="18"/>
          <w:color w:val="auto"/>
        </w:rPr>
        <w:t>The Company generates revenues and incurs expenses in numerous foreign currencies. Changes in foreign currency exchange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the Company's results of operations through changes in the dollar value of foreign currency-denominated operating revenues and expenses. Some of the Company's more significant foreign currency exposures include the Canadian dollar, Chinese renminbi, European euro, British pound and Japanese yen. The Company's current strategy is to not enter into transactions to hedge its foreign currency sales, although the Company regularly reviews its policy based on market conditions and other factors.</w:t>
      </w:r>
    </w:p>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result of a uniform 1% strengthening in the value of the U.S. dollar from December 31, 2019 levels relative to each of the currencies in which the Company has foreign currency exposure would result in a decrease in pre-tax income of approximately $23 million for the year ending December 31, 2020. This sensitivity analysis was prepared based upon projected 2020 foreign currency-denominated revenues and expenses as of December 31, 2019.</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84" w:right="2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United Airlines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United Airlines Holdings, Inc. (the "Company") as of December 31, 2019 and 2018, the related statements of consolidated operations, comprehensive income (loss), cash flows, and stockholders' equity for each of the three years in the period ended December 31, 2019,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24,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leases in 2019, 2018 and 2017 due to the adoption of ASU No. 2016-02, </w:t>
      </w:r>
      <w:r>
        <w:rPr>
          <w:rFonts w:ascii="Arial" w:cs="Arial" w:eastAsia="Arial" w:hAnsi="Arial"/>
          <w:sz w:val="18"/>
          <w:szCs w:val="18"/>
          <w:i w:val="1"/>
          <w:iCs w:val="1"/>
          <w:color w:val="auto"/>
        </w:rPr>
        <w:t>Leases (Topic 842).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8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21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9300" w:type="dxa"/>
            <w:vAlign w:val="bottom"/>
          </w:tcPr>
          <w:p>
            <w:pPr>
              <w:spacing w:after="0"/>
              <w:rPr>
                <w:sz w:val="16"/>
                <w:szCs w:val="16"/>
                <w:color w:val="auto"/>
              </w:rPr>
            </w:pPr>
          </w:p>
        </w:tc>
      </w:tr>
      <w:tr>
        <w:trPr>
          <w:trHeight w:val="601"/>
        </w:trPr>
        <w:tc>
          <w:tcPr>
            <w:tcW w:w="11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93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Frequent Flyer Deferred Revenue Estimate of Miles not Expected to be Redeemed</w:t>
            </w:r>
          </w:p>
        </w:tc>
      </w:tr>
      <w:tr>
        <w:trPr>
          <w:trHeight w:val="431"/>
        </w:trPr>
        <w:tc>
          <w:tcPr>
            <w:tcW w:w="210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 Matter</w:t>
            </w:r>
          </w:p>
        </w:tc>
        <w:tc>
          <w:tcPr>
            <w:tcW w:w="9300" w:type="dxa"/>
            <w:vAlign w:val="bottom"/>
          </w:tcPr>
          <w:p>
            <w:pPr>
              <w:ind w:left="220"/>
              <w:spacing w:after="0"/>
              <w:rPr>
                <w:sz w:val="20"/>
                <w:szCs w:val="20"/>
                <w:color w:val="auto"/>
              </w:rPr>
            </w:pPr>
            <w:r>
              <w:rPr>
                <w:rFonts w:ascii="Arial" w:cs="Arial" w:eastAsia="Arial" w:hAnsi="Arial"/>
                <w:sz w:val="18"/>
                <w:szCs w:val="18"/>
                <w:color w:val="auto"/>
                <w:w w:val="94"/>
              </w:rPr>
              <w:t>At December 31, 2019, the Company's frequent flyer deferred revenue liability was $5.3 billion. As described in Note 1 of</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2"/>
              </w:rPr>
              <w:t>the consolidated financial statements, members of the Company's MileagePlus program earn miles through the Company's</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2"/>
              </w:rPr>
              <w:t>flights, purchases with other airlines or non-airline partners or through co-branded credit card partnerships. Consideration is</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0"/>
              </w:rPr>
              <w:t>attributed to the miles earned or sold and deferred until the miles are redeemed and air travel is completed, or non-air awards</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are shipped. Miles can be redeemed for air travel and non-travel awards.</w:t>
            </w:r>
          </w:p>
        </w:tc>
      </w:tr>
      <w:tr>
        <w:trPr>
          <w:trHeight w:val="647"/>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Auditing management's breakage estimate (the estimate of miles earned that will not be redeemed) was complex and highly</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89"/>
              </w:rPr>
              <w:t>judgmental due to the significant assumptions used in the estimate. Breakage is estimated annually using prior years' data and</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0"/>
              </w:rPr>
              <w:t>a regression analysis to estimate future breakage, which can be impacted by changes in customer behavior driven by program</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changes or redemption opportunities that would not be reflected in historical redemption data.</w:t>
            </w:r>
          </w:p>
        </w:tc>
      </w:tr>
      <w:tr>
        <w:trPr>
          <w:trHeight w:val="647"/>
        </w:trPr>
        <w:tc>
          <w:tcPr>
            <w:tcW w:w="2100" w:type="dxa"/>
            <w:vAlign w:val="bottom"/>
            <w:gridSpan w:val="2"/>
          </w:tcPr>
          <w:p>
            <w:pPr>
              <w:ind w:left="40"/>
              <w:spacing w:after="0"/>
              <w:rPr>
                <w:sz w:val="20"/>
                <w:szCs w:val="20"/>
                <w:color w:val="auto"/>
              </w:rPr>
            </w:pPr>
            <w:r>
              <w:rPr>
                <w:rFonts w:ascii="Arial" w:cs="Arial" w:eastAsia="Arial" w:hAnsi="Arial"/>
                <w:sz w:val="18"/>
                <w:szCs w:val="18"/>
                <w:i w:val="1"/>
                <w:iCs w:val="1"/>
                <w:color w:val="auto"/>
              </w:rPr>
              <w:t>How We Addressed the</w:t>
            </w:r>
          </w:p>
        </w:tc>
        <w:tc>
          <w:tcPr>
            <w:tcW w:w="9300" w:type="dxa"/>
            <w:vAlign w:val="bottom"/>
          </w:tcPr>
          <w:p>
            <w:pPr>
              <w:ind w:left="220"/>
              <w:spacing w:after="0"/>
              <w:rPr>
                <w:sz w:val="20"/>
                <w:szCs w:val="20"/>
                <w:color w:val="auto"/>
              </w:rPr>
            </w:pPr>
            <w:r>
              <w:rPr>
                <w:rFonts w:ascii="Arial" w:cs="Arial" w:eastAsia="Arial" w:hAnsi="Arial"/>
                <w:sz w:val="18"/>
                <w:szCs w:val="18"/>
                <w:color w:val="auto"/>
                <w:w w:val="89"/>
              </w:rPr>
              <w:t>We tested the Company's design and operating effectiveness of internal controls that address the risk of material misstatement</w:t>
            </w:r>
          </w:p>
        </w:tc>
      </w:tr>
      <w:tr>
        <w:trPr>
          <w:trHeight w:val="216"/>
        </w:trPr>
        <w:tc>
          <w:tcPr>
            <w:tcW w:w="210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 in Our Audit</w:t>
            </w:r>
          </w:p>
        </w:tc>
        <w:tc>
          <w:tcPr>
            <w:tcW w:w="9300" w:type="dxa"/>
            <w:vAlign w:val="bottom"/>
          </w:tcPr>
          <w:p>
            <w:pPr>
              <w:ind w:left="220"/>
              <w:spacing w:after="0"/>
              <w:rPr>
                <w:sz w:val="20"/>
                <w:szCs w:val="20"/>
                <w:color w:val="auto"/>
              </w:rPr>
            </w:pPr>
            <w:r>
              <w:rPr>
                <w:rFonts w:ascii="Arial" w:cs="Arial" w:eastAsia="Arial" w:hAnsi="Arial"/>
                <w:sz w:val="18"/>
                <w:szCs w:val="18"/>
                <w:color w:val="auto"/>
                <w:w w:val="90"/>
              </w:rPr>
              <w:t>relating to the breakage estimate. This included testing controls over management's review of the significant assumptions and</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other inputs used in the estimate, including redemption patterns of various customer groups.</w:t>
            </w:r>
          </w:p>
        </w:tc>
      </w:tr>
      <w:tr>
        <w:trPr>
          <w:trHeight w:val="647"/>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5"/>
              </w:rPr>
              <w:t>Our audit procedures included, among others, testing the methodology and assumptions used to develop the breakage</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4"/>
              </w:rPr>
              <w:t>estimate, including testing the completeness and accuracy of the underlying data used to develop these assumptions. In</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5"/>
              </w:rPr>
              <w:t>addition, we assessed the trending of the breakage rate over time to ensure changes were in line with expectations. We</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involved a valuation specialist to test management's statistical analysis supporting the breakage assumption.</w:t>
            </w:r>
          </w:p>
        </w:tc>
      </w:tr>
      <w:tr>
        <w:trPr>
          <w:trHeight w:val="662"/>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BRW Term Loan Impairment Analysis</w:t>
            </w:r>
          </w:p>
        </w:tc>
      </w:tr>
      <w:tr>
        <w:trPr>
          <w:trHeight w:val="431"/>
        </w:trPr>
        <w:tc>
          <w:tcPr>
            <w:tcW w:w="210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 Matter</w:t>
            </w:r>
          </w:p>
        </w:tc>
        <w:tc>
          <w:tcPr>
            <w:tcW w:w="9300" w:type="dxa"/>
            <w:vAlign w:val="bottom"/>
          </w:tcPr>
          <w:p>
            <w:pPr>
              <w:ind w:left="220"/>
              <w:spacing w:after="0"/>
              <w:rPr>
                <w:sz w:val="20"/>
                <w:szCs w:val="20"/>
                <w:color w:val="auto"/>
              </w:rPr>
            </w:pPr>
            <w:r>
              <w:rPr>
                <w:rFonts w:ascii="Arial" w:cs="Arial" w:eastAsia="Arial" w:hAnsi="Arial"/>
                <w:sz w:val="18"/>
                <w:szCs w:val="18"/>
                <w:color w:val="auto"/>
                <w:w w:val="91"/>
              </w:rPr>
              <w:t>At December 31, 2019, the Company had a term loan agreement with, among others, BRW Aviation Holdings LLC and BRW</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6"/>
              </w:rPr>
              <w:t>Aviation LLC, dated as of November 29, 2018 (the "BRW Term Loan"), which had a carrying value of $499 million. The</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2"/>
              </w:rPr>
              <w:t>BRW Term Loan is collateralized by common shares of Avianca Holdings S.A. ("AVH") and the equity of BRW (such shares</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1"/>
              </w:rPr>
              <w:t>and equity, collectively, the "BRW Loan Collateral"). As discussed in Note 8 of the consolidated financial statements, the fair</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2"/>
              </w:rPr>
              <w:t>market value of the BRW Loan Collateral is estimated using an income approach and a market approach, with equal weight</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89"/>
              </w:rPr>
              <w:t>applied to each approach. Under the income approach, the value was estimated by discounting expected future cash flows to a</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4"/>
              </w:rPr>
              <w:t>single present value amount. Under the market approach, the value was estimated by reference to multiples of enterprise</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6"/>
              </w:rPr>
              <w:t>value to earnings before interest, taxes, depreciation, amortization and rent ("EBITDAR") for a group of publicly-traded</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market comparable companies, along with AVH's own EBITDAR levels.</w:t>
            </w:r>
          </w:p>
        </w:tc>
      </w:tr>
      <w:tr>
        <w:trPr>
          <w:trHeight w:val="647"/>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7"/>
              </w:rPr>
              <w:t>Auditing management's valuation of the BRW Loan Collateral was highly judgmental due to the significant estimation</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3"/>
              </w:rPr>
              <w:t>required in determining the fair value. The fair value estimate was sensitive to significant assumptions such as multiples of</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1"/>
              </w:rPr>
              <w:t>enterprise value to EBITDAR, revenue and cost growth rates and the discount rate, each of which is affected by expectations</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9"/>
              </w:rPr>
              <w:t>about future market or economic conditions. As a result of the subjectivity of the assumptions, adverse changes to</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3"/>
              </w:rPr>
              <w:t>management's estimates could reduce the underlying cash flows used to estimate fair value and trigger impairment of the</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loan.</w:t>
            </w:r>
          </w:p>
        </w:tc>
      </w:tr>
      <w:tr>
        <w:trPr>
          <w:trHeight w:val="647"/>
        </w:trPr>
        <w:tc>
          <w:tcPr>
            <w:tcW w:w="2100" w:type="dxa"/>
            <w:vAlign w:val="bottom"/>
            <w:gridSpan w:val="2"/>
          </w:tcPr>
          <w:p>
            <w:pPr>
              <w:ind w:left="40"/>
              <w:spacing w:after="0"/>
              <w:rPr>
                <w:sz w:val="20"/>
                <w:szCs w:val="20"/>
                <w:color w:val="auto"/>
              </w:rPr>
            </w:pPr>
            <w:r>
              <w:rPr>
                <w:rFonts w:ascii="Arial" w:cs="Arial" w:eastAsia="Arial" w:hAnsi="Arial"/>
                <w:sz w:val="18"/>
                <w:szCs w:val="18"/>
                <w:i w:val="1"/>
                <w:iCs w:val="1"/>
                <w:color w:val="auto"/>
              </w:rPr>
              <w:t>How We Addressed the</w:t>
            </w:r>
          </w:p>
        </w:tc>
        <w:tc>
          <w:tcPr>
            <w:tcW w:w="9300" w:type="dxa"/>
            <w:vAlign w:val="bottom"/>
          </w:tcPr>
          <w:p>
            <w:pPr>
              <w:ind w:left="220"/>
              <w:spacing w:after="0"/>
              <w:rPr>
                <w:sz w:val="20"/>
                <w:szCs w:val="20"/>
                <w:color w:val="auto"/>
              </w:rPr>
            </w:pPr>
            <w:r>
              <w:rPr>
                <w:rFonts w:ascii="Arial" w:cs="Arial" w:eastAsia="Arial" w:hAnsi="Arial"/>
                <w:sz w:val="18"/>
                <w:szCs w:val="18"/>
                <w:color w:val="auto"/>
                <w:w w:val="89"/>
              </w:rPr>
              <w:t>We tested the Company's design and operating effectiveness of internal controls that address the risk of material misstatement</w:t>
            </w:r>
          </w:p>
        </w:tc>
      </w:tr>
      <w:tr>
        <w:trPr>
          <w:trHeight w:val="216"/>
        </w:trPr>
        <w:tc>
          <w:tcPr>
            <w:tcW w:w="210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 in Our Audit</w:t>
            </w:r>
          </w:p>
        </w:tc>
        <w:tc>
          <w:tcPr>
            <w:tcW w:w="9300" w:type="dxa"/>
            <w:vAlign w:val="bottom"/>
          </w:tcPr>
          <w:p>
            <w:pPr>
              <w:ind w:left="220"/>
              <w:spacing w:after="0"/>
              <w:rPr>
                <w:sz w:val="20"/>
                <w:szCs w:val="20"/>
                <w:color w:val="auto"/>
              </w:rPr>
            </w:pPr>
            <w:r>
              <w:rPr>
                <w:rFonts w:ascii="Arial" w:cs="Arial" w:eastAsia="Arial" w:hAnsi="Arial"/>
                <w:sz w:val="18"/>
                <w:szCs w:val="18"/>
                <w:color w:val="auto"/>
                <w:w w:val="92"/>
              </w:rPr>
              <w:t>relating to the fair market value of the BRW Loan Collateral. This included testing controls over management's review of the</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9"/>
              </w:rPr>
              <w:t>significant assumptions used in the income approach and market approach such as multiples of enterprise value to</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2"/>
              </w:rPr>
              <w:t>EBITDAR, revenue growth rates, costs per available seat kilometer and the discount rate, which is affected by expectations</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about future market or economic conditions.</w:t>
            </w:r>
          </w:p>
        </w:tc>
      </w:tr>
      <w:tr>
        <w:trPr>
          <w:trHeight w:val="647"/>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4"/>
              </w:rPr>
              <w:t>To test the estimated fair value of the BRW Loan Collateral, we performed audit procedures that included, among others,</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1"/>
              </w:rPr>
              <w:t>assessing the fair value methodology used by management and evaluating the significant assumptions used in the valuation</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0"/>
              </w:rPr>
              <w:t>model. We compared significant assumptions to current industry, market and economic trends, and to AVH's historical results</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2"/>
              </w:rPr>
              <w:t>and/or other guideline companies within the same industry. We performed sensitivity analyses of significant assumptions to</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3"/>
              </w:rPr>
              <w:t>evaluate the changes in the fair value of the BRW Loan Collateral that would result from changes in assumptions. We also</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w w:val="98"/>
              </w:rPr>
              <w:t>involved a valuation specialist to assist in our evaluation of the Company's valuation methodology and discount rate.</w:t>
            </w:r>
          </w:p>
        </w:tc>
      </w:tr>
    </w:tbl>
    <w:p>
      <w:pPr>
        <w:spacing w:after="0" w:line="200" w:lineRule="exact"/>
        <w:rPr>
          <w:sz w:val="20"/>
          <w:szCs w:val="20"/>
          <w:color w:val="auto"/>
        </w:rPr>
      </w:pPr>
    </w:p>
    <w:p>
      <w:pPr>
        <w:sectPr>
          <w:pgSz w:w="11900" w:h="16838" w:orient="portrait"/>
          <w:cols w:equalWidth="0" w:num="1">
            <w:col w:w="11400"/>
          </w:cols>
          <w:pgMar w:left="240" w:top="172"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72" w:right="25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320"/>
        <w:spacing w:after="0"/>
        <w:rPr>
          <w:sz w:val="20"/>
          <w:szCs w:val="20"/>
          <w:color w:val="auto"/>
        </w:rPr>
      </w:pPr>
      <w:r>
        <w:rPr>
          <w:rFonts w:ascii="Arial" w:cs="Arial" w:eastAsia="Arial" w:hAnsi="Arial"/>
          <w:sz w:val="15"/>
          <w:szCs w:val="15"/>
          <w:b w:val="1"/>
          <w:bCs w:val="1"/>
          <w:i w:val="1"/>
          <w:iCs w:val="1"/>
          <w:color w:val="auto"/>
        </w:rPr>
        <w:t>Indefinite-lived Intangible Assets (Route Authorities) Impairment Analysis</w:t>
      </w:r>
    </w:p>
    <w:p>
      <w:pPr>
        <w:sectPr>
          <w:pgSz w:w="11900" w:h="16838" w:orient="portrait"/>
          <w:cols w:equalWidth="0" w:num="1">
            <w:col w:w="11400"/>
          </w:cols>
          <w:pgMar w:left="240" w:top="184" w:right="259" w:bottom="1440" w:gutter="0" w:footer="0" w:header="0"/>
        </w:sect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2019, the Company's route authorities indefinite-lived intangible assets were $1.15 billion. As discussed in Note 1 of the consolidated financial statements, indefinite-lived assets are reviewed for impairment on an annual basis as of October 1, or on an interim basis whenever a triggering event occurs.</w:t>
      </w:r>
    </w:p>
    <w:p>
      <w:pPr>
        <w:spacing w:after="0" w:line="200" w:lineRule="exact"/>
        <w:rPr>
          <w:sz w:val="20"/>
          <w:szCs w:val="20"/>
          <w:color w:val="auto"/>
        </w:rPr>
      </w:pPr>
    </w:p>
    <w:p>
      <w:pPr>
        <w:sectPr>
          <w:pgSz w:w="11900" w:h="16838" w:orient="portrait"/>
          <w:cols w:equalWidth="0" w:num="2">
            <w:col w:w="1860" w:space="460"/>
            <w:col w:w="9080"/>
          </w:cols>
          <w:pgMar w:left="240" w:top="184" w:right="259" w:bottom="1440" w:gutter="0" w:footer="0" w:header="0"/>
          <w:type w:val="continuous"/>
        </w:sectPr>
      </w:pPr>
    </w:p>
    <w:p>
      <w:pPr>
        <w:spacing w:after="0" w:line="211" w:lineRule="exact"/>
        <w:rPr>
          <w:sz w:val="20"/>
          <w:szCs w:val="20"/>
          <w:color w:val="auto"/>
        </w:rPr>
      </w:pPr>
    </w:p>
    <w:p>
      <w:pPr>
        <w:jc w:val="both"/>
        <w:ind w:left="2320"/>
        <w:spacing w:after="0" w:line="255" w:lineRule="auto"/>
        <w:rPr>
          <w:sz w:val="20"/>
          <w:szCs w:val="20"/>
          <w:color w:val="auto"/>
        </w:rPr>
      </w:pPr>
      <w:r>
        <w:rPr>
          <w:rFonts w:ascii="Arial" w:cs="Arial" w:eastAsia="Arial" w:hAnsi="Arial"/>
          <w:sz w:val="18"/>
          <w:szCs w:val="18"/>
          <w:color w:val="auto"/>
        </w:rPr>
        <w:t>Auditing management's annual route authorities indefinite-lived intangibles impairment test was complex and highly judgmental due to the significant estimation required in determining the fair value. The fair value estimate was sensitive to significant assumptions such as revenue growth rate, cost per available seat mile and the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ectPr>
          <w:pgSz w:w="11900" w:h="16838" w:orient="portrait"/>
          <w:cols w:equalWidth="0" w:num="1">
            <w:col w:w="11400"/>
          </w:cols>
          <w:pgMar w:left="240" w:top="184" w:right="25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tested the Company's design and operating effectiveness of internal controls that address the risk of material misstatement relating to the estimate of fair value of route authorities used in the annual impairment test. This included testing controls over management's review of the significant assumptions used in the discounted cash flow methodology, including revenue growth rate, cost per available seat mile and the discount rate.</w:t>
      </w:r>
    </w:p>
    <w:p>
      <w:pPr>
        <w:spacing w:after="0" w:line="200" w:lineRule="exact"/>
        <w:rPr>
          <w:sz w:val="20"/>
          <w:szCs w:val="20"/>
          <w:color w:val="auto"/>
        </w:rPr>
      </w:pPr>
    </w:p>
    <w:p>
      <w:pPr>
        <w:sectPr>
          <w:pgSz w:w="11900" w:h="16838" w:orient="portrait"/>
          <w:cols w:equalWidth="0" w:num="2">
            <w:col w:w="1680" w:space="640"/>
            <w:col w:w="9080"/>
          </w:cols>
          <w:pgMar w:left="240" w:top="184" w:right="259" w:bottom="1440" w:gutter="0" w:footer="0" w:header="0"/>
          <w:type w:val="continuous"/>
        </w:sectPr>
      </w:pPr>
    </w:p>
    <w:p>
      <w:pPr>
        <w:jc w:val="both"/>
        <w:ind w:left="2320"/>
        <w:spacing w:after="0" w:line="272" w:lineRule="auto"/>
        <w:rPr>
          <w:sz w:val="20"/>
          <w:szCs w:val="20"/>
          <w:color w:val="auto"/>
        </w:rPr>
      </w:pPr>
      <w:r>
        <w:rPr>
          <w:rFonts w:ascii="Arial" w:cs="Arial" w:eastAsia="Arial" w:hAnsi="Arial"/>
          <w:sz w:val="17"/>
          <w:szCs w:val="17"/>
          <w:color w:val="auto"/>
        </w:rPr>
        <w:t>To test the estimated fair value of the Company's route authorities indefinite-lived intangibles,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intangible assets that would result from changes in assumptions. We also involved a valuation specialist to assist in our evaluation of the Company's valuation methodology and discount rate.</w:t>
      </w:r>
    </w:p>
    <w:p>
      <w:pPr>
        <w:sectPr>
          <w:pgSz w:w="11900" w:h="16838" w:orient="portrait"/>
          <w:cols w:equalWidth="0" w:num="1">
            <w:col w:w="11400"/>
          </w:cols>
          <w:pgMar w:left="240" w:top="184" w:right="25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84" w:right="25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 United Airlines,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United Airlines, Inc. (the "Company") as of December 31, 2019 and 2018, and the related statements of consolidated operations, comprehensive income (loss), cash flows, and stockholder's equity, for each of the three years in the period ended December 31, 2019,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leases in 2019, 2018 and 2017 due to the adoption of ASU 2016-02, </w:t>
      </w:r>
      <w:r>
        <w:rPr>
          <w:rFonts w:ascii="Arial" w:cs="Arial" w:eastAsia="Arial" w:hAnsi="Arial"/>
          <w:sz w:val="18"/>
          <w:szCs w:val="18"/>
          <w:i w:val="1"/>
          <w:iCs w:val="1"/>
          <w:color w:val="auto"/>
        </w:rPr>
        <w:t>Leases (Topic 842).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84"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2018 (a)</w:t>
            </w:r>
          </w:p>
        </w:tc>
        <w:tc>
          <w:tcPr>
            <w:tcW w:w="30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47"/>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Operating revenue:</w:t>
            </w: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Passenger revenue</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39,625</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34,460</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Cargo</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revenue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revenue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43,259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Salaries and related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12,071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fuel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Regional capacity purchase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Landing fees and other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maintenance materials and outside repairs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Distribution expenses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Special charges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38,958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38,074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capitalized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gains (losses) on investments, net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Miscellaneous, net</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per share, basic</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Earnings per share, 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1000" w:type="dxa"/>
            <w:vAlign w:val="bottom"/>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11.58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80" w:firstLine="8"/>
        <w:spacing w:after="0" w:line="273" w:lineRule="auto"/>
        <w:tabs>
          <w:tab w:leader="none" w:pos="1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84"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left="260" w:right="2660"/>
        <w:spacing w:after="0" w:line="275" w:lineRule="auto"/>
        <w:rPr>
          <w:sz w:val="20"/>
          <w:szCs w:val="20"/>
          <w:color w:val="auto"/>
        </w:rPr>
      </w:pPr>
      <w:r>
        <w:rPr>
          <w:rFonts w:ascii="Arial" w:cs="Arial" w:eastAsia="Arial" w:hAnsi="Arial"/>
          <w:sz w:val="18"/>
          <w:szCs w:val="18"/>
          <w:b w:val="1"/>
          <w:bCs w:val="1"/>
          <w:color w:val="auto"/>
        </w:rPr>
        <w:t>UNITED AIRLINES HOLDINGS, INC. STATEMENTS OF CONSOLIDATED COMPREHENSIVE INCOME (LOSS) (In millions)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2018 (a)</w:t>
            </w:r>
          </w:p>
        </w:tc>
        <w:tc>
          <w:tcPr>
            <w:tcW w:w="260" w:type="dxa"/>
            <w:vAlign w:val="bottom"/>
          </w:tcPr>
          <w:p>
            <w:pPr>
              <w:spacing w:after="0"/>
              <w:rPr>
                <w:sz w:val="20"/>
                <w:szCs w:val="20"/>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 (a)</w:t>
            </w:r>
          </w:p>
        </w:tc>
      </w:tr>
      <w:tr>
        <w:trPr>
          <w:trHeight w:val="33"/>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3,009</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r>
      <w:tr>
        <w:trPr>
          <w:trHeight w:val="324"/>
        </w:trPr>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Employee benefit plans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and other</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other comprehensive income (loss), net of tax</w:t>
            </w:r>
          </w:p>
        </w:tc>
        <w:tc>
          <w:tcPr>
            <w:tcW w:w="8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 net</w:t>
            </w: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3,094</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380" w:firstLine="8"/>
        <w:spacing w:after="0" w:line="273" w:lineRule="auto"/>
        <w:tabs>
          <w:tab w:leader="none" w:pos="1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84"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 (a)</w:t>
            </w:r>
          </w:p>
        </w:tc>
        <w:tc>
          <w:tcPr>
            <w:tcW w:w="0" w:type="dxa"/>
            <w:vAlign w:val="bottom"/>
          </w:tcPr>
          <w:p>
            <w:pPr>
              <w:spacing w:after="0"/>
              <w:rPr>
                <w:sz w:val="1"/>
                <w:szCs w:val="1"/>
                <w:color w:val="auto"/>
              </w:rPr>
            </w:pPr>
          </w:p>
        </w:tc>
      </w:tr>
      <w:tr>
        <w:trPr>
          <w:trHeight w:val="41"/>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 less allowance for doubtful accounts (2019—$9; 2018—$8)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Aircraft fuel, spare parts and supplies, less obsolescence allowance (2019—$425; 2018—$412)</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7"/>
        </w:trPr>
        <w:tc>
          <w:tcPr>
            <w:tcW w:w="8340" w:type="dxa"/>
            <w:vAlign w:val="bottom"/>
          </w:tcPr>
          <w:p>
            <w:pPr>
              <w:ind w:left="10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Flight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32,599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Purchase deposits for flight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operating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Less—Accumulated 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operating property and equipment,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27,399</w:t>
            </w:r>
          </w:p>
        </w:tc>
        <w:tc>
          <w:tcPr>
            <w:tcW w:w="0" w:type="dxa"/>
            <w:vAlign w:val="bottom"/>
          </w:tcPr>
          <w:p>
            <w:pPr>
              <w:spacing w:after="0"/>
              <w:rPr>
                <w:sz w:val="1"/>
                <w:szCs w:val="1"/>
                <w:color w:val="auto"/>
              </w:rPr>
            </w:pPr>
          </w:p>
        </w:tc>
      </w:tr>
      <w:tr>
        <w:trPr>
          <w:trHeight w:val="318"/>
        </w:trPr>
        <w:tc>
          <w:tcPr>
            <w:tcW w:w="8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Intangibles, less accumulated amortization (2019—$1,440; 2018—$1,380)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Notes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Investments in affiliates and other,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84"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 (a)</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Advance ticket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Current maturities of finance leases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maturities of 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318"/>
        </w:trPr>
        <w:tc>
          <w:tcPr>
            <w:tcW w:w="8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obligations under finance leases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under 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and deferred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Postretirement benefit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Pension liability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other liabilities and deferred credits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Common stock at par, $0.01 par value; authorized 1,000,000,000 shares; outstanding 251,216,381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269,914,769 shares at December 31, 2019 and 2018,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Additional capital invested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 held in treasury, at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80" w:firstLine="8"/>
        <w:spacing w:after="0" w:line="273" w:lineRule="auto"/>
        <w:tabs>
          <w:tab w:leader="none" w:pos="1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84"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1"/>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2018 (a)</w:t>
            </w:r>
          </w:p>
        </w:tc>
        <w:tc>
          <w:tcPr>
            <w:tcW w:w="26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47"/>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24"/>
        </w:trPr>
        <w:tc>
          <w:tcPr>
            <w:tcW w:w="7440" w:type="dxa"/>
            <w:vAlign w:val="bottom"/>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 -</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24"/>
        </w:trPr>
        <w:tc>
          <w:tcPr>
            <w:tcW w:w="74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Special charges, non-cash portion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4"/>
        </w:trPr>
        <w:tc>
          <w:tcPr>
            <w:tcW w:w="7440" w:type="dxa"/>
            <w:vAlign w:val="bottom"/>
          </w:tcPr>
          <w:p>
            <w:pPr>
              <w:ind w:left="720"/>
              <w:spacing w:after="0"/>
              <w:rPr>
                <w:sz w:val="20"/>
                <w:szCs w:val="20"/>
                <w:color w:val="auto"/>
              </w:rPr>
            </w:pPr>
            <w:r>
              <w:rPr>
                <w:rFonts w:ascii="Arial" w:cs="Arial" w:eastAsia="Arial" w:hAnsi="Arial"/>
                <w:sz w:val="16"/>
                <w:szCs w:val="16"/>
                <w:color w:val="auto"/>
              </w:rPr>
              <w:t>Unrealized (gains) losses on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24"/>
        </w:trPr>
        <w:tc>
          <w:tcPr>
            <w:tcW w:w="7440" w:type="dxa"/>
            <w:vAlign w:val="bottom"/>
          </w:tcPr>
          <w:p>
            <w:pPr>
              <w:ind w:left="720"/>
              <w:spacing w:after="0"/>
              <w:rPr>
                <w:sz w:val="20"/>
                <w:szCs w:val="20"/>
                <w:color w:val="auto"/>
              </w:rPr>
            </w:pPr>
            <w:r>
              <w:rPr>
                <w:rFonts w:ascii="Arial" w:cs="Arial" w:eastAsia="Arial" w:hAnsi="Arial"/>
                <w:sz w:val="16"/>
                <w:szCs w:val="16"/>
                <w:color w:val="auto"/>
              </w:rPr>
              <w:t>Changes in operating assets and liabilities -</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(Increase) decrease in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4"/>
        </w:trPr>
        <w:tc>
          <w:tcPr>
            <w:tcW w:w="7440" w:type="dxa"/>
            <w:vAlign w:val="bottom"/>
          </w:tcPr>
          <w:p>
            <w:pPr>
              <w:ind w:left="92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Increase in advance ticket sales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24"/>
        </w:trPr>
        <w:tc>
          <w:tcPr>
            <w:tcW w:w="7440" w:type="dxa"/>
            <w:vAlign w:val="bottom"/>
          </w:tcPr>
          <w:p>
            <w:pPr>
              <w:ind w:left="920"/>
              <w:spacing w:after="0"/>
              <w:rPr>
                <w:sz w:val="20"/>
                <w:szCs w:val="20"/>
                <w:color w:val="auto"/>
              </w:rPr>
            </w:pPr>
            <w:r>
              <w:rPr>
                <w:rFonts w:ascii="Arial" w:cs="Arial" w:eastAsia="Arial" w:hAnsi="Arial"/>
                <w:sz w:val="16"/>
                <w:szCs w:val="16"/>
                <w:color w:val="auto"/>
              </w:rPr>
              <w:t>Increase (decrease) in frequent flyer deferred revenue</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Increase in 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4"/>
        </w:trPr>
        <w:tc>
          <w:tcPr>
            <w:tcW w:w="7440" w:type="dxa"/>
            <w:vAlign w:val="bottom"/>
          </w:tcPr>
          <w:p>
            <w:pPr>
              <w:ind w:left="920"/>
              <w:spacing w:after="0"/>
              <w:rPr>
                <w:sz w:val="20"/>
                <w:szCs w:val="20"/>
                <w:color w:val="auto"/>
              </w:rPr>
            </w:pPr>
            <w:r>
              <w:rPr>
                <w:rFonts w:ascii="Arial" w:cs="Arial" w:eastAsia="Arial" w:hAnsi="Arial"/>
                <w:sz w:val="16"/>
                <w:szCs w:val="16"/>
                <w:color w:val="auto"/>
              </w:rPr>
              <w:t>Decrease in advanced purchase of miles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Decrease in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6,909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(3,870)</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short-term and 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sale of short-term and other investments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 to others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Investment in affiliates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under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Capitalized financing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and Financing Activities Not Affecting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Property and equipment acquired through the issuance of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Right-of-use assets acquired through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Property and equipment acquired through finance lease</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modifications and lease conversions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Debt associated with termination of a maintenance service agreement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Republic Airways Holdings Inc. received from bankruptcy claims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74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380" w:firstLine="8"/>
        <w:spacing w:after="0" w:line="273" w:lineRule="auto"/>
        <w:tabs>
          <w:tab w:leader="none" w:pos="1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ectPr>
          <w:pgSz w:w="11900" w:h="16838" w:orient="portrait"/>
          <w:cols w:equalWidth="0" w:num="1">
            <w:col w:w="11420"/>
          </w:cols>
          <w:pgMar w:left="240" w:top="184" w:right="239" w:bottom="8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84" w:right="239" w:bottom="82"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 Earnings</w:t>
            </w:r>
          </w:p>
        </w:tc>
        <w:tc>
          <w:tcPr>
            <w:tcW w:w="18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gridSpan w:val="3"/>
          </w:tcPr>
          <w:p>
            <w:pPr>
              <w:jc w:val="right"/>
              <w:ind w:right="168"/>
              <w:spacing w:after="0" w:line="145" w:lineRule="exact"/>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(Accumulated</w:t>
            </w:r>
          </w:p>
        </w:tc>
        <w:tc>
          <w:tcPr>
            <w:tcW w:w="156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Other Comprehensive</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780" w:type="dxa"/>
            <w:vAlign w:val="bottom"/>
          </w:tcPr>
          <w:p>
            <w:pPr>
              <w:spacing w:after="0"/>
              <w:rPr>
                <w:sz w:val="5"/>
                <w:szCs w:val="5"/>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Invested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6,569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8,574</w:t>
            </w:r>
          </w:p>
        </w:tc>
        <w:tc>
          <w:tcPr>
            <w:tcW w:w="0" w:type="dxa"/>
            <w:vAlign w:val="bottom"/>
          </w:tcPr>
          <w:p>
            <w:pPr>
              <w:spacing w:after="0"/>
              <w:rPr>
                <w:sz w:val="1"/>
                <w:szCs w:val="1"/>
                <w:color w:val="auto"/>
              </w:rPr>
            </w:pPr>
          </w:p>
        </w:tc>
      </w:tr>
      <w:tr>
        <w:trPr>
          <w:trHeight w:val="250"/>
        </w:trPr>
        <w:tc>
          <w:tcPr>
            <w:tcW w:w="3780" w:type="dxa"/>
            <w:vAlign w:val="bottom"/>
          </w:tcPr>
          <w:p>
            <w:pPr>
              <w:ind w:left="280"/>
              <w:spacing w:after="0"/>
              <w:rPr>
                <w:sz w:val="20"/>
                <w:szCs w:val="20"/>
                <w:color w:val="auto"/>
              </w:rPr>
            </w:pPr>
            <w:r>
              <w:rPr>
                <w:rFonts w:ascii="Arial" w:cs="Arial" w:eastAsia="Arial" w:hAnsi="Arial"/>
                <w:sz w:val="14"/>
                <w:szCs w:val="14"/>
                <w:color w:val="auto"/>
              </w:rPr>
              <w:t>Net income (a)</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Stock-settled share-based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(27.8)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retired</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Net treasury stock issued for share-based awards</w:t>
            </w: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share-based awards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Reclassification of stranded tax effects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287.0</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6,098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4,603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8,788</w:t>
            </w: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Other comprehensive income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Stock-settled share-based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640" w:type="dxa"/>
            <w:vAlign w:val="bottom"/>
          </w:tcPr>
          <w:p>
            <w:pPr>
              <w:jc w:val="right"/>
              <w:spacing w:after="0"/>
              <w:rPr>
                <w:sz w:val="20"/>
                <w:szCs w:val="20"/>
                <w:color w:val="auto"/>
              </w:rPr>
            </w:pPr>
            <w:r>
              <w:rPr>
                <w:rFonts w:ascii="Arial" w:cs="Arial" w:eastAsia="Arial" w:hAnsi="Arial"/>
                <w:sz w:val="14"/>
                <w:szCs w:val="14"/>
                <w:color w:val="auto"/>
              </w:rPr>
              <w:t>(17.5)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treasury stock issued for share-based awards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7"/>
        </w:trPr>
        <w:tc>
          <w:tcPr>
            <w:tcW w:w="3780" w:type="dxa"/>
            <w:vAlign w:val="bottom"/>
          </w:tcPr>
          <w:p>
            <w:pPr>
              <w:ind w:left="280"/>
              <w:spacing w:after="0" w:line="157" w:lineRule="exact"/>
              <w:rPr>
                <w:sz w:val="20"/>
                <w:szCs w:val="20"/>
                <w:color w:val="auto"/>
              </w:rPr>
            </w:pPr>
            <w:r>
              <w:rPr>
                <w:rFonts w:ascii="Arial" w:cs="Arial" w:eastAsia="Arial" w:hAnsi="Arial"/>
                <w:sz w:val="14"/>
                <w:szCs w:val="14"/>
                <w:color w:val="auto"/>
              </w:rPr>
              <w:t>Adoption of accounting standard related to equity</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10,042</w:t>
            </w:r>
          </w:p>
        </w:tc>
        <w:tc>
          <w:tcPr>
            <w:tcW w:w="0" w:type="dxa"/>
            <w:vAlign w:val="bottom"/>
          </w:tcPr>
          <w:p>
            <w:pPr>
              <w:spacing w:after="0"/>
              <w:rPr>
                <w:sz w:val="1"/>
                <w:szCs w:val="1"/>
                <w:color w:val="auto"/>
              </w:rPr>
            </w:pPr>
          </w:p>
        </w:tc>
      </w:tr>
      <w:tr>
        <w:trPr>
          <w:trHeight w:val="250"/>
        </w:trPr>
        <w:tc>
          <w:tcPr>
            <w:tcW w:w="37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Stock-settled share-based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Repurchases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treasury stock issued for share-based awards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w:t>
            </w:r>
          </w:p>
        </w:tc>
        <w:tc>
          <w:tcPr>
            <w:tcW w:w="600" w:type="dxa"/>
            <w:vAlign w:val="bottom"/>
            <w:gridSpan w:val="3"/>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 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84"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2018 (a)</w:t>
            </w:r>
          </w:p>
        </w:tc>
        <w:tc>
          <w:tcPr>
            <w:tcW w:w="3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33"/>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Operating revenue:</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Passenger revenue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39,625</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34,460</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Cargo</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revenue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revenue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43,259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Salaries and related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12,071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fuel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Regional capacity purchase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Landing fees and other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maintenance materials and outside repairs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Distribution expenses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Special charges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38,956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38,072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34,164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91"/>
        </w:trPr>
        <w:tc>
          <w:tcPr>
            <w:tcW w:w="64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capitalized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gains (losses) on investments, net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Miscellaneous, net</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80" w:firstLine="8"/>
        <w:spacing w:after="0" w:line="273" w:lineRule="auto"/>
        <w:tabs>
          <w:tab w:leader="none" w:pos="1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84"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6"/>
          </w:tcPr>
          <w:p>
            <w:pPr>
              <w:jc w:val="center"/>
              <w:ind w:right="70"/>
              <w:spacing w:after="0"/>
              <w:rPr>
                <w:sz w:val="20"/>
                <w:szCs w:val="20"/>
                <w:color w:val="auto"/>
              </w:rPr>
            </w:pPr>
            <w:r>
              <w:rPr>
                <w:rFonts w:ascii="Arial" w:cs="Arial" w:eastAsia="Arial" w:hAnsi="Arial"/>
                <w:sz w:val="16"/>
                <w:szCs w:val="16"/>
                <w:b w:val="1"/>
                <w:bCs w:val="1"/>
                <w:color w:val="auto"/>
                <w:w w:val="91"/>
              </w:rPr>
              <w:t>Year Ended December 31,</w:t>
            </w:r>
          </w:p>
        </w:tc>
        <w:tc>
          <w:tcPr>
            <w:tcW w:w="11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2018 (a)</w:t>
            </w:r>
          </w:p>
        </w:tc>
        <w:tc>
          <w:tcPr>
            <w:tcW w:w="260" w:type="dxa"/>
            <w:vAlign w:val="bottom"/>
          </w:tcPr>
          <w:p>
            <w:pPr>
              <w:spacing w:after="0"/>
              <w:rPr>
                <w:sz w:val="20"/>
                <w:szCs w:val="20"/>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 (a)</w:t>
            </w: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3,011</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2,161</w:t>
            </w:r>
          </w:p>
        </w:tc>
      </w:tr>
      <w:tr>
        <w:trPr>
          <w:trHeight w:val="297"/>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Employee benefit plans</w:t>
            </w: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and other</w:t>
            </w:r>
          </w:p>
        </w:tc>
        <w:tc>
          <w:tcPr>
            <w:tcW w:w="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other comprehensive income (loss), net of tax</w:t>
            </w:r>
          </w:p>
        </w:tc>
        <w:tc>
          <w:tcPr>
            <w:tcW w:w="8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 net</w:t>
            </w: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3,096</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380" w:firstLine="8"/>
        <w:spacing w:after="0" w:line="273" w:lineRule="auto"/>
        <w:tabs>
          <w:tab w:leader="none" w:pos="1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84"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 (a)</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 less allowance for doubtful accounts (2019—$9; 2018—$8)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Aircraft fuel, spare parts and supplies, less obsolescence allowance (2019—$425; 2018—$412)</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7"/>
        </w:trPr>
        <w:tc>
          <w:tcPr>
            <w:tcW w:w="8340" w:type="dxa"/>
            <w:vAlign w:val="bottom"/>
          </w:tcPr>
          <w:p>
            <w:pPr>
              <w:ind w:left="10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Flight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32,599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Purchase deposits for flight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operating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Less—Accumulated 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operating property and equipment,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27,399</w:t>
            </w:r>
          </w:p>
        </w:tc>
        <w:tc>
          <w:tcPr>
            <w:tcW w:w="0" w:type="dxa"/>
            <w:vAlign w:val="bottom"/>
          </w:tcPr>
          <w:p>
            <w:pPr>
              <w:spacing w:after="0"/>
              <w:rPr>
                <w:sz w:val="1"/>
                <w:szCs w:val="1"/>
                <w:color w:val="auto"/>
              </w:rPr>
            </w:pPr>
          </w:p>
        </w:tc>
      </w:tr>
      <w:tr>
        <w:trPr>
          <w:trHeight w:val="318"/>
        </w:trPr>
        <w:tc>
          <w:tcPr>
            <w:tcW w:w="8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Intangibles, less accumulated amortization (2019—$1,440; 2018—$1,380)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Notes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Investments in affiliates and other,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84"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 (a)</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Advance ticket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Current maturities of finance leases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maturities of 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91"/>
        </w:trPr>
        <w:tc>
          <w:tcPr>
            <w:tcW w:w="8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obligations under finance leases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under 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and deferred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Postretirement benefit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Pension liability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other liabilities and deferred credits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Common stock at par, $0.01 par value; authorized 1,000 shares; issued and outstanding 1,000 shares at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December 31, 2019 and 2018</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capital invested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Receivable from related parties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80" w:firstLine="8"/>
        <w:spacing w:after="0" w:line="273" w:lineRule="auto"/>
        <w:tabs>
          <w:tab w:leader="none" w:pos="1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84"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1"/>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2018 (a)</w:t>
            </w:r>
          </w:p>
        </w:tc>
        <w:tc>
          <w:tcPr>
            <w:tcW w:w="26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47"/>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24"/>
        </w:trPr>
        <w:tc>
          <w:tcPr>
            <w:tcW w:w="7440" w:type="dxa"/>
            <w:vAlign w:val="bottom"/>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 -</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24"/>
        </w:trPr>
        <w:tc>
          <w:tcPr>
            <w:tcW w:w="744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Special charges, non-cash portion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4"/>
        </w:trPr>
        <w:tc>
          <w:tcPr>
            <w:tcW w:w="7440" w:type="dxa"/>
            <w:vAlign w:val="bottom"/>
          </w:tcPr>
          <w:p>
            <w:pPr>
              <w:ind w:left="820"/>
              <w:spacing w:after="0"/>
              <w:rPr>
                <w:sz w:val="20"/>
                <w:szCs w:val="20"/>
                <w:color w:val="auto"/>
              </w:rPr>
            </w:pPr>
            <w:r>
              <w:rPr>
                <w:rFonts w:ascii="Arial" w:cs="Arial" w:eastAsia="Arial" w:hAnsi="Arial"/>
                <w:sz w:val="16"/>
                <w:szCs w:val="16"/>
                <w:color w:val="auto"/>
              </w:rPr>
              <w:t>Unrealized (gains) losses on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Other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24"/>
        </w:trPr>
        <w:tc>
          <w:tcPr>
            <w:tcW w:w="7440" w:type="dxa"/>
            <w:vAlign w:val="bottom"/>
          </w:tcPr>
          <w:p>
            <w:pPr>
              <w:ind w:left="820"/>
              <w:spacing w:after="0"/>
              <w:rPr>
                <w:sz w:val="20"/>
                <w:szCs w:val="20"/>
                <w:color w:val="auto"/>
              </w:rPr>
            </w:pPr>
            <w:r>
              <w:rPr>
                <w:rFonts w:ascii="Arial" w:cs="Arial" w:eastAsia="Arial" w:hAnsi="Arial"/>
                <w:sz w:val="16"/>
                <w:szCs w:val="16"/>
                <w:color w:val="auto"/>
              </w:rPr>
              <w:t>Changes in operating assets and liabilities -</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(Increase) decrease in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Increase in intercompany receivables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Increase in advance ticket sales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Increase (decrease) in frequent flyer 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Increase in accounts payable</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Decrease in advanced purchase of miles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Decrease in 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3,460</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Purchases of short-term and other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short-term and 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Loans made to others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to UAL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Principal payments under finance leases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Capitalized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Investing and Financing Activities Not Affecting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acquired through the issuance of debt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Right-of-use assets acquired through operating leases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acquired through finance lease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Lease modifications and lease conversions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associated with termination of a maintenance service agreement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Investment in Republic Airways Holdings Inc. received from bankruptcy claims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right="380" w:firstLine="8"/>
        <w:spacing w:after="0" w:line="273" w:lineRule="auto"/>
        <w:tabs>
          <w:tab w:leader="none" w:pos="1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ectPr>
          <w:pgSz w:w="11900" w:h="16838" w:orient="portrait"/>
          <w:cols w:equalWidth="0" w:num="1">
            <w:col w:w="11420"/>
          </w:cols>
          <w:pgMar w:left="240" w:top="184"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Combined Notes to Consolidated Financial Statements are an integral part of these statements.</w:t>
      </w:r>
    </w:p>
    <w:p>
      <w:pPr>
        <w:sectPr>
          <w:pgSz w:w="11900" w:h="16838" w:orient="portrait"/>
          <w:cols w:equalWidth="0" w:num="1">
            <w:col w:w="11420"/>
          </w:cols>
          <w:pgMar w:left="240" w:top="184" w:right="239" w:bottom="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019"/>
          </w:cols>
          <w:pgMar w:left="1440" w:top="125" w:right="1440"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Retained Earnings</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Receivable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(Accumulated</w:t>
            </w: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Comprehensive</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from Related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Invested</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Deficit)</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Parties, Net</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33"/>
        </w:trPr>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8,520</w:t>
            </w:r>
          </w:p>
        </w:tc>
      </w:tr>
      <w:tr>
        <w:trPr>
          <w:trHeight w:val="217"/>
        </w:trPr>
        <w:tc>
          <w:tcPr>
            <w:tcW w:w="4220" w:type="dxa"/>
            <w:vAlign w:val="bottom"/>
          </w:tcPr>
          <w:p>
            <w:pPr>
              <w:ind w:left="280"/>
              <w:spacing w:after="0"/>
              <w:rPr>
                <w:sz w:val="20"/>
                <w:szCs w:val="20"/>
                <w:color w:val="auto"/>
              </w:rPr>
            </w:pPr>
            <w:r>
              <w:rPr>
                <w:rFonts w:ascii="Arial" w:cs="Arial" w:eastAsia="Arial" w:hAnsi="Arial"/>
                <w:sz w:val="16"/>
                <w:szCs w:val="16"/>
                <w:color w:val="auto"/>
              </w:rPr>
              <w:t>Net income (a)</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2,161</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4220" w:type="dxa"/>
            <w:vAlign w:val="bottom"/>
          </w:tcPr>
          <w:p>
            <w:pPr>
              <w:ind w:left="280"/>
              <w:spacing w:after="0"/>
              <w:rPr>
                <w:sz w:val="20"/>
                <w:szCs w:val="20"/>
                <w:color w:val="auto"/>
              </w:rPr>
            </w:pPr>
            <w:r>
              <w:rPr>
                <w:rFonts w:ascii="Arial" w:cs="Arial" w:eastAsia="Arial" w:hAnsi="Arial"/>
                <w:sz w:val="16"/>
                <w:szCs w:val="16"/>
                <w:color w:val="auto"/>
              </w:rPr>
              <w:t>Dividend to UAL</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(1,844)</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Stock-settled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r>
      <w:tr>
        <w:trPr>
          <w:trHeight w:val="237"/>
        </w:trPr>
        <w:tc>
          <w:tcPr>
            <w:tcW w:w="4220" w:type="dxa"/>
            <w:vAlign w:val="bottom"/>
          </w:tcPr>
          <w:p>
            <w:pPr>
              <w:ind w:left="280"/>
              <w:spacing w:after="0"/>
              <w:rPr>
                <w:sz w:val="20"/>
                <w:szCs w:val="20"/>
                <w:color w:val="auto"/>
              </w:rPr>
            </w:pPr>
            <w:r>
              <w:rPr>
                <w:rFonts w:ascii="Arial" w:cs="Arial" w:eastAsia="Arial" w:hAnsi="Arial"/>
                <w:sz w:val="16"/>
                <w:szCs w:val="16"/>
                <w:color w:val="auto"/>
              </w:rPr>
              <w:t>UAL contribution related to stock plans</w:t>
            </w: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benefits from share-based awards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r>
      <w:tr>
        <w:trPr>
          <w:trHeight w:val="237"/>
        </w:trPr>
        <w:tc>
          <w:tcPr>
            <w:tcW w:w="4220" w:type="dxa"/>
            <w:vAlign w:val="bottom"/>
          </w:tcPr>
          <w:p>
            <w:pPr>
              <w:ind w:left="280"/>
              <w:spacing w:after="0"/>
              <w:rPr>
                <w:sz w:val="20"/>
                <w:szCs w:val="20"/>
                <w:color w:val="auto"/>
              </w:rPr>
            </w:pPr>
            <w:r>
              <w:rPr>
                <w:rFonts w:ascii="Arial" w:cs="Arial" w:eastAsia="Arial" w:hAnsi="Arial"/>
                <w:sz w:val="16"/>
                <w:szCs w:val="16"/>
                <w:color w:val="auto"/>
              </w:rPr>
              <w:t>Reclassification of stranded tax effects</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r>
      <w:tr>
        <w:trPr>
          <w:trHeight w:val="217"/>
        </w:trPr>
        <w:tc>
          <w:tcPr>
            <w:tcW w:w="422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8,751</w:t>
            </w:r>
          </w:p>
        </w:tc>
      </w:tr>
      <w:tr>
        <w:trPr>
          <w:trHeight w:val="33"/>
        </w:trPr>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w:t>
            </w:r>
          </w:p>
        </w:tc>
      </w:tr>
      <w:tr>
        <w:trPr>
          <w:trHeight w:val="237"/>
        </w:trPr>
        <w:tc>
          <w:tcPr>
            <w:tcW w:w="422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338</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to UAL</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r>
      <w:tr>
        <w:trPr>
          <w:trHeight w:val="237"/>
        </w:trPr>
        <w:tc>
          <w:tcPr>
            <w:tcW w:w="4220" w:type="dxa"/>
            <w:vAlign w:val="bottom"/>
          </w:tcPr>
          <w:p>
            <w:pPr>
              <w:ind w:left="280"/>
              <w:spacing w:after="0"/>
              <w:rPr>
                <w:sz w:val="20"/>
                <w:szCs w:val="20"/>
                <w:color w:val="auto"/>
              </w:rPr>
            </w:pPr>
            <w:r>
              <w:rPr>
                <w:rFonts w:ascii="Arial" w:cs="Arial" w:eastAsia="Arial" w:hAnsi="Arial"/>
                <w:sz w:val="16"/>
                <w:szCs w:val="16"/>
                <w:color w:val="auto"/>
              </w:rPr>
              <w:t>Stock-settled share-based compensation</w:t>
            </w: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422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10,004</w:t>
            </w:r>
          </w:p>
        </w:tc>
      </w:tr>
      <w:tr>
        <w:trPr>
          <w:trHeight w:val="33"/>
        </w:trPr>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w:t>
            </w:r>
          </w:p>
        </w:tc>
      </w:tr>
      <w:tr>
        <w:trPr>
          <w:trHeight w:val="237"/>
        </w:trPr>
        <w:tc>
          <w:tcPr>
            <w:tcW w:w="422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to UAL</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37"/>
        </w:trPr>
        <w:tc>
          <w:tcPr>
            <w:tcW w:w="4220" w:type="dxa"/>
            <w:vAlign w:val="bottom"/>
          </w:tcPr>
          <w:p>
            <w:pPr>
              <w:ind w:left="280"/>
              <w:spacing w:after="0"/>
              <w:rPr>
                <w:sz w:val="20"/>
                <w:szCs w:val="20"/>
                <w:color w:val="auto"/>
              </w:rPr>
            </w:pPr>
            <w:r>
              <w:rPr>
                <w:rFonts w:ascii="Arial" w:cs="Arial" w:eastAsia="Arial" w:hAnsi="Arial"/>
                <w:sz w:val="16"/>
                <w:szCs w:val="16"/>
                <w:color w:val="auto"/>
              </w:rPr>
              <w:t>Stock-settled share-based compensation</w:t>
            </w: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w:t>
            </w:r>
          </w:p>
        </w:tc>
      </w:tr>
      <w:tr>
        <w:trPr>
          <w:trHeight w:val="33"/>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4220" w:type="dxa"/>
            <w:vAlign w:val="bottom"/>
          </w:tcPr>
          <w:p>
            <w:pPr>
              <w:ind w:left="40"/>
              <w:spacing w:after="0"/>
              <w:rPr>
                <w:sz w:val="20"/>
                <w:szCs w:val="20"/>
                <w:color w:val="auto"/>
              </w:rPr>
            </w:pPr>
            <w:r>
              <w:rPr>
                <w:rFonts w:ascii="Arial" w:cs="Arial" w:eastAsia="Arial" w:hAnsi="Arial"/>
                <w:sz w:val="16"/>
                <w:szCs w:val="16"/>
                <w:color w:val="auto"/>
              </w:rPr>
              <w:t>Balance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12,353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11,492</w:t>
            </w:r>
          </w:p>
        </w:tc>
      </w:tr>
      <w:tr>
        <w:trPr>
          <w:trHeight w:val="33"/>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ind w:right="60" w:firstLine="8"/>
        <w:spacing w:after="0" w:line="273" w:lineRule="auto"/>
        <w:tabs>
          <w:tab w:leader="none" w:pos="1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to the financial statements contained in Part II, Item 8 of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240" w:top="184" w:right="5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United Airlines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279" w:lineRule="exact"/>
        <w:rPr>
          <w:sz w:val="20"/>
          <w:szCs w:val="20"/>
          <w:color w:val="auto"/>
        </w:rPr>
      </w:pPr>
    </w:p>
    <w:p>
      <w:pPr>
        <w:jc w:val="both"/>
        <w:ind w:left="660" w:right="420" w:hanging="652"/>
        <w:spacing w:after="0" w:line="26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the amounts reported in these financial statements and accompanying notes. Actual results could differ from those estimates.</w:t>
      </w:r>
    </w:p>
    <w:p>
      <w:pPr>
        <w:spacing w:after="0" w:line="230" w:lineRule="exact"/>
        <w:rPr>
          <w:rFonts w:ascii="Arial" w:cs="Arial" w:eastAsia="Arial" w:hAnsi="Arial"/>
          <w:sz w:val="18"/>
          <w:szCs w:val="18"/>
          <w:color w:val="auto"/>
        </w:rPr>
      </w:pPr>
    </w:p>
    <w:p>
      <w:pPr>
        <w:jc w:val="both"/>
        <w:ind w:left="660" w:right="80" w:hanging="652"/>
        <w:spacing w:after="0" w:line="26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presents Passenger revenue, Cargo revenue and Other operating revenue on its income statement. Passenger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is recognized when transportation is provided and Cargo revenue is recognized when shipments arrive at their destination. Other operating revenue is recognized as the related performance obligations are satisfied.</w:t>
      </w:r>
    </w:p>
    <w:p>
      <w:pPr>
        <w:spacing w:after="0" w:line="234" w:lineRule="exact"/>
        <w:rPr>
          <w:rFonts w:ascii="Arial" w:cs="Arial" w:eastAsia="Arial" w:hAnsi="Arial"/>
          <w:sz w:val="18"/>
          <w:szCs w:val="18"/>
          <w:color w:val="auto"/>
        </w:rPr>
      </w:pPr>
    </w:p>
    <w:p>
      <w:pPr>
        <w:ind w:left="660" w:right="40"/>
        <w:spacing w:after="0" w:line="254" w:lineRule="auto"/>
        <w:rPr>
          <w:rFonts w:ascii="Arial" w:cs="Arial" w:eastAsia="Arial" w:hAnsi="Arial"/>
          <w:sz w:val="18"/>
          <w:szCs w:val="18"/>
          <w:color w:val="auto"/>
        </w:rPr>
      </w:pPr>
      <w:r>
        <w:rPr>
          <w:rFonts w:ascii="Arial" w:cs="Arial" w:eastAsia="Arial" w:hAnsi="Arial"/>
          <w:sz w:val="18"/>
          <w:szCs w:val="18"/>
          <w:color w:val="auto"/>
        </w:rPr>
        <w:t>Passenger tickets and related ancillary services sold by the Company for mainline and regional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 transportation are recognized as passenger revenue at the estimated value to be billed to the other airline when travel is provided. Differences between amounts billed and the actual amounts may be rejected and rebilled or written off if the amount recorded was different from the original estimate. When necessary, the Company records a reserve against its billings and payables with other airlines based on historical experience.</w:t>
      </w:r>
    </w:p>
    <w:p>
      <w:pPr>
        <w:spacing w:after="0" w:line="246" w:lineRule="exact"/>
        <w:rPr>
          <w:rFonts w:ascii="Arial" w:cs="Arial" w:eastAsia="Arial" w:hAnsi="Arial"/>
          <w:sz w:val="18"/>
          <w:szCs w:val="18"/>
          <w:color w:val="auto"/>
        </w:rPr>
      </w:pPr>
    </w:p>
    <w:p>
      <w:pPr>
        <w:ind w:left="660"/>
        <w:spacing w:after="0" w:line="302" w:lineRule="auto"/>
        <w:rPr>
          <w:rFonts w:ascii="Arial" w:cs="Arial" w:eastAsia="Arial" w:hAnsi="Arial"/>
          <w:sz w:val="18"/>
          <w:szCs w:val="18"/>
          <w:color w:val="auto"/>
        </w:rPr>
      </w:pPr>
      <w:r>
        <w:rPr>
          <w:rFonts w:ascii="Arial" w:cs="Arial" w:eastAsia="Arial" w:hAnsi="Arial"/>
          <w:sz w:val="16"/>
          <w:szCs w:val="16"/>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208" w:lineRule="exact"/>
        <w:rPr>
          <w:rFonts w:ascii="Arial" w:cs="Arial" w:eastAsia="Arial" w:hAnsi="Arial"/>
          <w:sz w:val="18"/>
          <w:szCs w:val="18"/>
          <w:color w:val="auto"/>
        </w:rPr>
      </w:pPr>
    </w:p>
    <w:p>
      <w:pPr>
        <w:ind w:left="660" w:right="60"/>
        <w:spacing w:after="0" w:line="293" w:lineRule="auto"/>
        <w:rPr>
          <w:rFonts w:ascii="Arial" w:cs="Arial" w:eastAsia="Arial" w:hAnsi="Arial"/>
          <w:sz w:val="18"/>
          <w:szCs w:val="18"/>
          <w:color w:val="auto"/>
        </w:rPr>
      </w:pPr>
      <w:r>
        <w:rPr>
          <w:rFonts w:ascii="Arial" w:cs="Arial" w:eastAsia="Arial" w:hAnsi="Arial"/>
          <w:sz w:val="16"/>
          <w:szCs w:val="16"/>
          <w:color w:val="auto"/>
        </w:rPr>
        <w:t>Refundable tickets expire after one year from the date of issuance. Non-refundable tickets generally expire on the date of the intended travel, unless the date is extended by notification from the customer on or before the intended travel date. The Company records breakage revenue on the travel date for its estimate of tickets that will expire unused. To determine breakage, the Company uses its historical experience with refundable and nonrefundable expired tickets and other facts, such as recent aging trends, program changes and modifications that could affect the ultimate expiration patterns of tickets. Fees charged in association with changes or extensions to non-refundable tickets are considered part of the Company's passenger travel obligation. As such, those fees are deferred at the time of collection and recognized at the time the travel is provided.</w:t>
      </w:r>
    </w:p>
    <w:p>
      <w:pPr>
        <w:spacing w:after="0" w:line="218" w:lineRule="exact"/>
        <w:rPr>
          <w:rFonts w:ascii="Arial" w:cs="Arial" w:eastAsia="Arial" w:hAnsi="Arial"/>
          <w:sz w:val="18"/>
          <w:szCs w:val="18"/>
          <w:color w:val="auto"/>
        </w:rPr>
      </w:pPr>
    </w:p>
    <w:p>
      <w:pPr>
        <w:ind w:left="660" w:right="420"/>
        <w:spacing w:after="0" w:line="342" w:lineRule="auto"/>
        <w:rPr>
          <w:rFonts w:ascii="Arial" w:cs="Arial" w:eastAsia="Arial" w:hAnsi="Arial"/>
          <w:sz w:val="18"/>
          <w:szCs w:val="18"/>
          <w:color w:val="auto"/>
        </w:rPr>
      </w:pPr>
      <w:r>
        <w:rPr>
          <w:rFonts w:ascii="Arial" w:cs="Arial" w:eastAsia="Arial" w:hAnsi="Arial"/>
          <w:sz w:val="16"/>
          <w:szCs w:val="16"/>
          <w:color w:val="auto"/>
        </w:rPr>
        <w:t>United initially capitalizes the costs of selling airline travel tickets and then recognizes those costs as Distribution expense at the time of travel. Passenger ticket costs include credit card fees, travel agency and other commissions paid, as well as global distribution systems booking fees.</w:t>
      </w:r>
    </w:p>
    <w:p>
      <w:pPr>
        <w:spacing w:after="0" w:line="177" w:lineRule="exact"/>
        <w:rPr>
          <w:rFonts w:ascii="Arial" w:cs="Arial" w:eastAsia="Arial" w:hAnsi="Arial"/>
          <w:sz w:val="18"/>
          <w:szCs w:val="18"/>
          <w:color w:val="auto"/>
        </w:rPr>
      </w:pPr>
    </w:p>
    <w:p>
      <w:pPr>
        <w:ind w:left="660" w:right="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Advance Ticket Sales. </w:t>
      </w:r>
      <w:r>
        <w:rPr>
          <w:rFonts w:ascii="Arial" w:cs="Arial" w:eastAsia="Arial" w:hAnsi="Arial"/>
          <w:sz w:val="18"/>
          <w:szCs w:val="18"/>
          <w:color w:val="auto"/>
        </w:rPr>
        <w:t>Advance ticket sales represent the Company's liability to provide air transportation in the future. In the years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and 2018, the Company recognized approximately $3.4 billion and $3.1 billion, respectively, of passenger revenue for tickets that were included in Advance ticket sales at the beginning of those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84" w:right="2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periods. All tickets sold at any given point of time have travel dates extending up to 12 months. As a result, the balance of the Company's Advance ticket sales liability represents activity that will be recognized in the next 12 months.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 by Geography. </w:t>
      </w:r>
      <w:r>
        <w:rPr>
          <w:rFonts w:ascii="Arial" w:cs="Arial" w:eastAsia="Arial" w:hAnsi="Arial"/>
          <w:sz w:val="18"/>
          <w:szCs w:val="18"/>
          <w:color w:val="auto"/>
        </w:rPr>
        <w:t>The Company further disaggregates revenue by geographic regions.</w:t>
      </w:r>
    </w:p>
    <w:p>
      <w:pPr>
        <w:spacing w:after="0" w:line="279"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Operating segments are defined as components of an enterprise with separate financial information, which are evaluated regularly by the chief operating decision maker and are used in resource allocation and performance assessments. The Company deploys its aircraft across its route network through a single route scheduling system to maximize its value. When making resource allocation decisions, the Company's chief operating decision maker evaluates flight profitability data, which considers aircraft type and route economics. The Company's chief operating decision maker makes resource allocation decisions to maximize the Company's consolidated financial results. Managing the Company as one segment allows management the opportunity to maximize the value of its route network.</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operating revenue by principal geographic region (as defined by the U.S. Department of Transportation) for the years ended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is presented in the table below (in millions):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880" w:type="dxa"/>
            <w:vAlign w:val="bottom"/>
            <w:vMerge w:val="restart"/>
          </w:tcPr>
          <w:p>
            <w:pPr>
              <w:ind w:left="20"/>
              <w:spacing w:after="0"/>
              <w:rPr>
                <w:sz w:val="20"/>
                <w:szCs w:val="20"/>
                <w:color w:val="auto"/>
              </w:rPr>
            </w:pPr>
            <w:r>
              <w:rPr>
                <w:rFonts w:ascii="Arial" w:cs="Arial" w:eastAsia="Arial" w:hAnsi="Arial"/>
                <w:sz w:val="18"/>
                <w:szCs w:val="18"/>
                <w:color w:val="auto"/>
              </w:rPr>
              <w:t>Domestic (U.S. and Canada)</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8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25,552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23,114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Pacific</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37"/>
        </w:trPr>
        <w:tc>
          <w:tcPr>
            <w:tcW w:w="5880" w:type="dxa"/>
            <w:vAlign w:val="bottom"/>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740"/>
        <w:spacing w:after="0" w:line="312" w:lineRule="auto"/>
        <w:rPr>
          <w:sz w:val="20"/>
          <w:szCs w:val="20"/>
          <w:color w:val="auto"/>
        </w:rPr>
      </w:pPr>
      <w:r>
        <w:rPr>
          <w:rFonts w:ascii="Arial" w:cs="Arial" w:eastAsia="Arial" w:hAnsi="Arial"/>
          <w:sz w:val="16"/>
          <w:szCs w:val="16"/>
          <w:color w:val="auto"/>
        </w:rPr>
        <w:t>The Company attributes revenue among the geographic areas based upon the origin and destination of each flight segment. The Company's operations involve an insignificant level of dedicated revenue-producing assets in geographic regions as the overwhelming majority of the Company's revenue-producing assets (primarily U.S. registered aircraft) can be deployed in any of its geographic regions.</w:t>
      </w:r>
    </w:p>
    <w:p>
      <w:pPr>
        <w:spacing w:after="0" w:line="174"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i w:val="1"/>
          <w:iCs w:val="1"/>
          <w:color w:val="auto"/>
        </w:rPr>
        <w:t xml:space="preserve">Ancillary Fees. </w:t>
      </w:r>
      <w:r>
        <w:rPr>
          <w:rFonts w:ascii="Arial" w:cs="Arial" w:eastAsia="Arial" w:hAnsi="Arial"/>
          <w:sz w:val="16"/>
          <w:szCs w:val="16"/>
          <w:color w:val="auto"/>
        </w:rPr>
        <w:t>The Company charges fees, separately from ticket sales, for certain ancillary services that are directly related to passengers' travel,</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ticket change fees, baggage fees, inflight amenities fees, and other ticket-related fees. These ancillary fees are part of the travel performance obligation and, as such, are recognized as passenger revenue when the travel occurs. The Company recorded $2.4 billion, $2.2 billion, and $2.0 billion of ancillary fees within passenger revenue in the years ended December 31, 2019, 2018 and 2017, respectively.</w:t>
      </w:r>
    </w:p>
    <w:p>
      <w:pPr>
        <w:spacing w:after="0" w:line="177" w:lineRule="exact"/>
        <w:rPr>
          <w:sz w:val="20"/>
          <w:szCs w:val="20"/>
          <w:color w:val="auto"/>
        </w:rPr>
      </w:pPr>
    </w:p>
    <w:p>
      <w:pPr>
        <w:jc w:val="both"/>
        <w:ind w:left="660" w:right="60" w:hanging="652"/>
        <w:spacing w:after="0" w:line="386"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b w:val="1"/>
          <w:bCs w:val="1"/>
          <w:color w:val="auto"/>
        </w:rPr>
        <w:t>Ticket Taxes—</w:t>
      </w:r>
      <w:r>
        <w:rPr>
          <w:rFonts w:ascii="Arial" w:cs="Arial" w:eastAsia="Arial" w:hAnsi="Arial"/>
          <w:sz w:val="15"/>
          <w:szCs w:val="15"/>
          <w:color w:val="auto"/>
        </w:rPr>
        <w:t>Certain governmental taxes are imposed on the Company's ticket sales through a fee included in ticket prices. The Company collects</w:t>
      </w:r>
      <w:r>
        <w:rPr>
          <w:rFonts w:ascii="Arial" w:cs="Arial" w:eastAsia="Arial" w:hAnsi="Arial"/>
          <w:sz w:val="15"/>
          <w:szCs w:val="15"/>
          <w:b w:val="1"/>
          <w:bCs w:val="1"/>
          <w:color w:val="auto"/>
        </w:rPr>
        <w:t xml:space="preserve"> </w:t>
      </w:r>
      <w:r>
        <w:rPr>
          <w:rFonts w:ascii="Arial" w:cs="Arial" w:eastAsia="Arial" w:hAnsi="Arial"/>
          <w:sz w:val="15"/>
          <w:szCs w:val="15"/>
          <w:color w:val="auto"/>
        </w:rPr>
        <w:t>these fees and remits them to the appropriate government agency. These fees are recorded on a net basis and, as a result, are excluded from revenue.</w:t>
      </w:r>
    </w:p>
    <w:p>
      <w:pPr>
        <w:spacing w:after="0" w:line="147" w:lineRule="exact"/>
        <w:rPr>
          <w:rFonts w:ascii="Arial" w:cs="Arial" w:eastAsia="Arial" w:hAnsi="Arial"/>
          <w:sz w:val="15"/>
          <w:szCs w:val="15"/>
          <w:color w:val="auto"/>
        </w:rPr>
      </w:pPr>
    </w:p>
    <w:p>
      <w:pPr>
        <w:ind w:left="660" w:right="20" w:hanging="652"/>
        <w:spacing w:after="0" w:line="274"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Frequent Flyer Accounting—</w:t>
      </w:r>
      <w:r>
        <w:rPr>
          <w:rFonts w:ascii="Arial" w:cs="Arial" w:eastAsia="Arial" w:hAnsi="Arial"/>
          <w:sz w:val="17"/>
          <w:szCs w:val="17"/>
          <w:color w:val="auto"/>
        </w:rPr>
        <w:t>United's MileagePlus loyalty program builds customer loyalty by offering awards, benefits and services to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one to nine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pacing w:after="0" w:line="231" w:lineRule="exact"/>
        <w:rPr>
          <w:rFonts w:ascii="Arial" w:cs="Arial" w:eastAsia="Arial" w:hAnsi="Arial"/>
          <w:sz w:val="17"/>
          <w:szCs w:val="17"/>
          <w:color w:val="auto"/>
        </w:rPr>
      </w:pPr>
    </w:p>
    <w:p>
      <w:pPr>
        <w:ind w:left="660" w:right="20"/>
        <w:spacing w:after="0" w:line="273" w:lineRule="auto"/>
        <w:rPr>
          <w:rFonts w:ascii="Arial" w:cs="Arial" w:eastAsia="Arial" w:hAnsi="Arial"/>
          <w:sz w:val="17"/>
          <w:szCs w:val="17"/>
          <w:color w:val="auto"/>
        </w:rPr>
      </w:pPr>
      <w:r>
        <w:rPr>
          <w:rFonts w:ascii="Arial" w:cs="Arial" w:eastAsia="Arial" w:hAnsi="Arial"/>
          <w:sz w:val="17"/>
          <w:szCs w:val="17"/>
          <w:i w:val="1"/>
          <w:iCs w:val="1"/>
          <w:color w:val="auto"/>
        </w:rPr>
        <w:t xml:space="preserve">Miles Earned in Conjunction with Travel. </w:t>
      </w:r>
      <w:r>
        <w:rPr>
          <w:rFonts w:ascii="Arial" w:cs="Arial" w:eastAsia="Arial" w:hAnsi="Arial"/>
          <w:sz w:val="17"/>
          <w:szCs w:val="17"/>
          <w:color w:val="auto"/>
        </w:rPr>
        <w:t>When frequent flyers earn miles for flights, the Company recognizes a portion of the ticket sales as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when the travel occurs and defers a portion of the ticket sale representing the value of the related miles as a separate performance obligation. The Company determines the estimated selling price of travel and miles as if each element is sold on a separate basis. The total consideration from each ticket sale is then allocated to each of these elements, individually, on a pro-rata basis. At the time of travel, the Company records the portion allocated to the miles to Frequent flyer deferred revenue on the Company's consolidated balance sheet and subsequently recognizes it into revenue when miles are redeemed for air travel and non-air travel awards.</w:t>
      </w:r>
    </w:p>
    <w:p>
      <w:pPr>
        <w:spacing w:after="0" w:line="232" w:lineRule="exact"/>
        <w:rPr>
          <w:rFonts w:ascii="Arial" w:cs="Arial" w:eastAsia="Arial" w:hAnsi="Arial"/>
          <w:sz w:val="17"/>
          <w:szCs w:val="17"/>
          <w:color w:val="auto"/>
        </w:rPr>
      </w:pPr>
    </w:p>
    <w:p>
      <w:pPr>
        <w:ind w:left="660"/>
        <w:spacing w:after="0" w:line="273" w:lineRule="auto"/>
        <w:rPr>
          <w:rFonts w:ascii="Arial" w:cs="Arial" w:eastAsia="Arial" w:hAnsi="Arial"/>
          <w:sz w:val="17"/>
          <w:szCs w:val="17"/>
          <w:color w:val="auto"/>
        </w:rPr>
      </w:pPr>
      <w:r>
        <w:rPr>
          <w:rFonts w:ascii="Arial" w:cs="Arial" w:eastAsia="Arial" w:hAnsi="Arial"/>
          <w:sz w:val="17"/>
          <w:szCs w:val="17"/>
          <w:i w:val="1"/>
          <w:iCs w:val="1"/>
          <w:color w:val="auto"/>
        </w:rPr>
        <w:t>Estimate of Miles Not Expected to be Redeemed</w:t>
      </w:r>
      <w:r>
        <w:rPr>
          <w:rFonts w:ascii="Arial" w:cs="Arial" w:eastAsia="Arial" w:hAnsi="Arial"/>
          <w:sz w:val="17"/>
          <w:szCs w:val="17"/>
          <w:color w:val="auto"/>
        </w:rPr>
        <w:t>. The Company's estimated selling price of miles is based on an equivalent ticket value less breakage,</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incorporates the expected redemption of miles, as the best estimate of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breakage that considers a number of factors, including redemption patterns of various customer groups. The Company's breakage model is based on the assumption that the likelihood that an account will redeem its miles can be estimated</w:t>
      </w:r>
    </w:p>
    <w:p>
      <w:pPr>
        <w:sectPr>
          <w:pgSz w:w="11900" w:h="16838" w:orient="portrait"/>
          <w:cols w:equalWidth="0" w:num="1">
            <w:col w:w="11420"/>
          </w:cols>
          <w:pgMar w:left="240" w:top="184"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84"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based on a consideration of the account's historical behavior. The Company uses a logit regression model to estimate the probability that an account will redeem its current miles balance. The Company reviews its breakage estimates annually based upon the latest available information. The Company's estimate of the expected breakage of miles requires significant management judgment. Current and future changes to breakage assumptions, or to program rules and program redemption opportunities, may result in material changes to the deferred revenue balance as well as recognized revenues from the program. For the portion of the outstanding miles that we estimate will not be redeemed, we recognize the associated value proportionally as the remaining miles are redeemed.</w:t>
      </w:r>
    </w:p>
    <w:p>
      <w:pPr>
        <w:spacing w:after="0" w:line="247"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i w:val="1"/>
          <w:iCs w:val="1"/>
          <w:color w:val="auto"/>
        </w:rPr>
        <w:t>Co-Brand Agreement</w:t>
      </w:r>
      <w:r>
        <w:rPr>
          <w:rFonts w:ascii="Arial" w:cs="Arial" w:eastAsia="Arial" w:hAnsi="Arial"/>
          <w:sz w:val="18"/>
          <w:szCs w:val="18"/>
          <w:color w:val="auto"/>
        </w:rPr>
        <w:t>. United has a significant contract (the "Co-Brand Agreement") to sell MileagePlus miles to its co-branded credit card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JPMorgan Chase Bank, N.A. ("Chase"). Chase awards miles to MileagePlus members based on their credit card activity. United identified the following significant separately identifiable performance obligations in the Co-Brand Agreement:</w:t>
      </w:r>
    </w:p>
    <w:p>
      <w:pPr>
        <w:spacing w:after="0" w:line="235" w:lineRule="exact"/>
        <w:rPr>
          <w:sz w:val="20"/>
          <w:szCs w:val="20"/>
          <w:color w:val="auto"/>
        </w:rPr>
      </w:pPr>
    </w:p>
    <w:p>
      <w:pPr>
        <w:ind w:left="1460" w:hanging="236"/>
        <w:spacing w:after="0" w:line="259"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revenue related to the non-travel awards when the goods or services are delivered. The Company records the cost associated with non-travel awards in Other operating revenue.</w:t>
      </w:r>
    </w:p>
    <w:p>
      <w:pPr>
        <w:spacing w:after="0" w:line="240" w:lineRule="exact"/>
        <w:rPr>
          <w:rFonts w:ascii="Arial" w:cs="Arial" w:eastAsia="Arial" w:hAnsi="Arial"/>
          <w:sz w:val="18"/>
          <w:szCs w:val="18"/>
          <w:color w:val="auto"/>
        </w:rPr>
      </w:pPr>
    </w:p>
    <w:p>
      <w:pPr>
        <w:ind w:left="1460" w:right="620" w:hanging="236"/>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224" w:lineRule="exact"/>
        <w:rPr>
          <w:rFonts w:ascii="Arial" w:cs="Arial" w:eastAsia="Arial" w:hAnsi="Arial"/>
          <w:sz w:val="18"/>
          <w:szCs w:val="18"/>
          <w:color w:val="auto"/>
        </w:rPr>
      </w:pPr>
    </w:p>
    <w:p>
      <w:pPr>
        <w:ind w:left="1460" w:right="100" w:hanging="236"/>
        <w:spacing w:after="0" w:line="264"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235" w:lineRule="exact"/>
        <w:rPr>
          <w:rFonts w:ascii="Arial" w:cs="Arial" w:eastAsia="Arial" w:hAnsi="Arial"/>
          <w:sz w:val="18"/>
          <w:szCs w:val="18"/>
          <w:color w:val="auto"/>
        </w:rPr>
      </w:pPr>
    </w:p>
    <w:p>
      <w:pPr>
        <w:ind w:left="1460" w:right="220" w:hanging="236"/>
        <w:spacing w:after="0" w:line="264"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235" w:lineRule="exact"/>
        <w:rPr>
          <w:sz w:val="20"/>
          <w:szCs w:val="20"/>
          <w:color w:val="auto"/>
        </w:rPr>
      </w:pPr>
    </w:p>
    <w:p>
      <w:pPr>
        <w:ind w:left="660" w:right="140"/>
        <w:spacing w:after="0" w:line="253" w:lineRule="auto"/>
        <w:rPr>
          <w:sz w:val="20"/>
          <w:szCs w:val="20"/>
          <w:color w:val="auto"/>
        </w:rPr>
      </w:pPr>
      <w:r>
        <w:rPr>
          <w:rFonts w:ascii="Arial" w:cs="Arial" w:eastAsia="Arial" w:hAnsi="Arial"/>
          <w:sz w:val="18"/>
          <w:szCs w:val="18"/>
          <w:color w:val="auto"/>
        </w:rPr>
        <w:t>We account for all the payments received (including monthly and one-time payments)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components to be delivered. We also evaluate volumes on an annual basis, which may result in a change in the allocation of the estimated consideration from the Co-Brand Agreement on a prospective basis.</w:t>
      </w:r>
    </w:p>
    <w:p>
      <w:pPr>
        <w:spacing w:after="0" w:line="251"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i w:val="1"/>
          <w:iCs w:val="1"/>
          <w:color w:val="auto"/>
        </w:rPr>
        <w:t xml:space="preserve">Frequent Flyer Deferred Revenue. </w:t>
      </w:r>
      <w:r>
        <w:rPr>
          <w:rFonts w:ascii="Arial" w:cs="Arial" w:eastAsia="Arial" w:hAnsi="Arial"/>
          <w:sz w:val="18"/>
          <w:szCs w:val="18"/>
          <w:color w:val="auto"/>
        </w:rPr>
        <w:t>Miles in MileagePlus members' accounts are combined into one homogeneous pool and are thus not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identifiable, for award redemption purposes, between miles earned in the current period and those in their beginning balance. Of the miles expected to be redeemed, the Company expects the majority of these miles to be redeemed within two years. The table below presents a roll forward of Frequent flyer deferred revenue (in millions):</w:t>
      </w:r>
    </w:p>
    <w:p>
      <w:pPr>
        <w:spacing w:after="0" w:line="395"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13335</wp:posOffset>
            </wp:positionV>
            <wp:extent cx="2246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1"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1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 Frequent flyer deferred revenue - beginning balance</w:t>
            </w:r>
          </w:p>
        </w:tc>
        <w:tc>
          <w:tcPr>
            <w:tcW w:w="31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Total miles awarded</w:t>
            </w:r>
          </w:p>
        </w:tc>
        <w:tc>
          <w:tcPr>
            <w:tcW w:w="2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miles redeemed (Passenger revenue)</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Non-travel miles redeemed (Other operating revenue)</w:t>
            </w:r>
          </w:p>
        </w:tc>
        <w:tc>
          <w:tcPr>
            <w:tcW w:w="2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Frequent flyer deferred revenue - ending balance</w:t>
            </w:r>
          </w:p>
        </w:tc>
        <w:tc>
          <w:tcPr>
            <w:tcW w:w="3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1632"/>
              <w:spacing w:after="0"/>
              <w:rPr>
                <w:sz w:val="20"/>
                <w:szCs w:val="20"/>
                <w:color w:val="auto"/>
              </w:rPr>
            </w:pPr>
            <w:r>
              <w:rPr>
                <w:rFonts w:ascii="Arial" w:cs="Arial" w:eastAsia="Arial" w:hAnsi="Arial"/>
                <w:sz w:val="18"/>
                <w:szCs w:val="18"/>
                <w:color w:val="auto"/>
              </w:rPr>
              <w:t>57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3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84"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In the years ended December 31, 2019, 2018 and 2017, the Company recognized, in Other operating revenue, $2.0 billion, $2.0 billion (including a one-time $50 million payment) and $1.8 billion, respectively, related to the marketing, advertising, non-travel miles redeemed (net of related costs) and other travel-related benefits of the mileage revenue associated with our various partner agreements including, but not limited to, our Chase co-brand agreement. The portion related to the MileagePlus miles awarded of the total amounts received is deferred and presented in the table above as an increase to the frequent flyer liability.</w:t>
      </w:r>
    </w:p>
    <w:p>
      <w:pPr>
        <w:spacing w:after="0" w:line="238" w:lineRule="exact"/>
        <w:rPr>
          <w:sz w:val="20"/>
          <w:szCs w:val="20"/>
          <w:color w:val="auto"/>
        </w:rPr>
      </w:pPr>
    </w:p>
    <w:p>
      <w:pPr>
        <w:ind w:left="660" w:right="120" w:hanging="652"/>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Cash and Cash Equivalents and Restricted Cash—</w:t>
      </w:r>
      <w:r>
        <w:rPr>
          <w:rFonts w:ascii="Arial" w:cs="Arial" w:eastAsia="Arial" w:hAnsi="Arial"/>
          <w:sz w:val="18"/>
          <w:szCs w:val="18"/>
          <w:color w:val="auto"/>
        </w:rPr>
        <w:t>Highly liquid investments with a maturity of three months or less on their acquisition date are</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classified as cash and cash equivalents.</w:t>
      </w:r>
    </w:p>
    <w:p>
      <w:pPr>
        <w:spacing w:after="0" w:line="219" w:lineRule="exact"/>
        <w:rPr>
          <w:rFonts w:ascii="Arial" w:cs="Arial" w:eastAsia="Arial" w:hAnsi="Arial"/>
          <w:sz w:val="18"/>
          <w:szCs w:val="18"/>
          <w:color w:val="auto"/>
        </w:rPr>
      </w:pPr>
    </w:p>
    <w:p>
      <w:pPr>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Restricted cash primarily includes cash collateral for letters of credit and collateral associated with obligations for facility leases and other insurance-related obligations. Restricted cash is classified as short-term or long-term in the consolidated balance sheets based on the expected timing of return of the assets to the Company.</w:t>
      </w:r>
    </w:p>
    <w:p>
      <w:pPr>
        <w:spacing w:after="0" w:line="23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consolidated cash flows (in millions):</w:t>
      </w:r>
    </w:p>
    <w:p>
      <w:pPr>
        <w:spacing w:after="0" w:line="130" w:lineRule="exact"/>
        <w:rPr>
          <w:sz w:val="20"/>
          <w:szCs w:val="20"/>
          <w:color w:val="auto"/>
        </w:rPr>
      </w:pPr>
    </w:p>
    <w:p>
      <w:pPr>
        <w:ind w:left="6840"/>
        <w:spacing w:after="0"/>
        <w:tabs>
          <w:tab w:leader="none" w:pos="9260" w:val="left"/>
        </w:tabs>
        <w:rPr>
          <w:sz w:val="20"/>
          <w:szCs w:val="20"/>
          <w:color w:val="auto"/>
        </w:rPr>
      </w:pPr>
      <w:r>
        <w:rPr>
          <w:rFonts w:ascii="Arial" w:cs="Arial" w:eastAsia="Arial" w:hAnsi="Arial"/>
          <w:sz w:val="16"/>
          <w:szCs w:val="16"/>
          <w:b w:val="1"/>
          <w:bCs w:val="1"/>
          <w:color w:val="auto"/>
        </w:rPr>
        <w:t>UAL</w:t>
      </w:r>
      <w:r>
        <w:rPr>
          <w:sz w:val="20"/>
          <w:szCs w:val="20"/>
          <w:color w:val="auto"/>
        </w:rPr>
        <w:tab/>
      </w:r>
      <w:r>
        <w:rPr>
          <w:rFonts w:ascii="Arial" w:cs="Arial" w:eastAsia="Arial" w:hAnsi="Arial"/>
          <w:sz w:val="16"/>
          <w:szCs w:val="16"/>
          <w:b w:val="1"/>
          <w:bCs w:val="1"/>
          <w:color w:val="auto"/>
        </w:rPr>
        <w:t>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37465</wp:posOffset>
            </wp:positionV>
            <wp:extent cx="3129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p>
      <w:pPr>
        <w:spacing w:after="0" w:line="86"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37465</wp:posOffset>
            </wp:positionV>
            <wp:extent cx="15608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80" w:lineRule="exact"/>
        <w:rPr>
          <w:sz w:val="20"/>
          <w:szCs w:val="20"/>
          <w:color w:val="auto"/>
        </w:rPr>
      </w:pPr>
    </w:p>
    <w:p>
      <w:pPr>
        <w:ind w:left="5960"/>
        <w:spacing w:after="0"/>
        <w:tabs>
          <w:tab w:leader="none" w:pos="6800" w:val="left"/>
          <w:tab w:leader="none" w:pos="76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37465</wp:posOffset>
            </wp:positionV>
            <wp:extent cx="15608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37465</wp:posOffset>
            </wp:positionV>
            <wp:extent cx="15005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0" w:lineRule="exact"/>
        <w:rPr>
          <w:sz w:val="20"/>
          <w:szCs w:val="20"/>
          <w:color w:val="auto"/>
        </w:rPr>
      </w:pPr>
    </w:p>
    <w:p>
      <w:pPr>
        <w:spacing w:after="0"/>
        <w:tabs>
          <w:tab w:leader="none" w:pos="800" w:val="left"/>
          <w:tab w:leader="none" w:pos="16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37465</wp:posOffset>
            </wp:positionV>
            <wp:extent cx="15005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8020" w:space="500"/>
            <w:col w:w="2900"/>
          </w:cols>
          <w:pgMar w:left="240" w:top="184" w:right="239" w:bottom="1440" w:gutter="0" w:footer="0" w:header="0"/>
          <w:type w:val="continuous"/>
        </w:sectPr>
      </w:pPr>
    </w:p>
    <w:tbl>
      <w:tblPr>
        <w:tblLayout w:type="fixed"/>
        <w:tblInd w:w="660" w:type="dxa"/>
        <w:tblCellMar>
          <w:top w:w="0" w:type="dxa"/>
          <w:left w:w="0" w:type="dxa"/>
          <w:bottom w:w="0" w:type="dxa"/>
          <w:right w:w="0" w:type="dxa"/>
        </w:tblCellMar>
      </w:tblP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1,476</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Restricted cash included in Prepaid expenses and other</w:t>
            </w:r>
          </w:p>
        </w:tc>
        <w:tc>
          <w:tcPr>
            <w:tcW w:w="1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7"/>
              </w:rPr>
              <w:t>2,868</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3"/>
              </w:rPr>
              <w:t>1,591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3"/>
              </w:rPr>
              <w:t>2,862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1,793</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7"/>
              </w:rPr>
              <w:t>1,585</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statement of consolidated cash 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right="100" w:hanging="652"/>
        <w:spacing w:after="0" w:line="27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Investments—</w:t>
      </w:r>
      <w:r>
        <w:rPr>
          <w:rFonts w:ascii="Arial" w:cs="Arial" w:eastAsia="Arial" w:hAnsi="Arial"/>
          <w:sz w:val="17"/>
          <w:szCs w:val="17"/>
          <w:color w:val="auto"/>
        </w:rPr>
        <w:t>Debt investments are classified as available-for-sale and are stated at fair value. Realized gains and losses on sales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are reflected in Miscellaneous, net in the consolidated statements of operations. Unrealized gains and losses on available-for-sale securities are reflected as a component of accumulated other comprehensive income (loss). 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Changes in fair value are recorded in Unrealized gains (losses) on investments, net in the consolidated statements of operations.</w:t>
      </w:r>
    </w:p>
    <w:p>
      <w:pPr>
        <w:spacing w:after="0" w:line="227" w:lineRule="exact"/>
        <w:rPr>
          <w:rFonts w:ascii="Arial" w:cs="Arial" w:eastAsia="Arial" w:hAnsi="Arial"/>
          <w:sz w:val="17"/>
          <w:szCs w:val="17"/>
          <w:color w:val="auto"/>
        </w:rPr>
      </w:pPr>
    </w:p>
    <w:p>
      <w:pPr>
        <w:ind w:left="660" w:right="80" w:hanging="652"/>
        <w:spacing w:after="0" w:line="31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primarily consist of amounts due from credit card companies, non-airline partners, and cargo</w:t>
      </w:r>
      <w:r>
        <w:rPr>
          <w:rFonts w:ascii="Arial" w:cs="Arial" w:eastAsia="Arial" w:hAnsi="Arial"/>
          <w:sz w:val="16"/>
          <w:szCs w:val="16"/>
          <w:b w:val="1"/>
          <w:bCs w:val="1"/>
          <w:color w:val="auto"/>
        </w:rPr>
        <w:t xml:space="preserve"> </w:t>
      </w:r>
      <w:r>
        <w:rPr>
          <w:rFonts w:ascii="Arial" w:cs="Arial" w:eastAsia="Arial" w:hAnsi="Arial"/>
          <w:sz w:val="16"/>
          <w:szCs w:val="16"/>
          <w:color w:val="auto"/>
        </w:rPr>
        <w:t>transportation customers. We provide an allowance for uncollectible accounts equal to the estimated losses expected to be incurred based on historical write-offs and other specific analyses. Bad debt expense and write-offs were not material for the year ended December 31, 2019 and 2018.</w:t>
      </w:r>
    </w:p>
    <w:p>
      <w:pPr>
        <w:spacing w:after="0" w:line="196" w:lineRule="exact"/>
        <w:rPr>
          <w:rFonts w:ascii="Arial" w:cs="Arial" w:eastAsia="Arial" w:hAnsi="Arial"/>
          <w:sz w:val="16"/>
          <w:szCs w:val="16"/>
          <w:color w:val="auto"/>
        </w:rPr>
      </w:pPr>
    </w:p>
    <w:p>
      <w:pPr>
        <w:ind w:left="660" w:right="600" w:hanging="652"/>
        <w:spacing w:after="0" w:line="28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Aircraft Fuel, Spare Parts and Supplies—</w:t>
      </w:r>
      <w:r>
        <w:rPr>
          <w:rFonts w:ascii="Arial" w:cs="Arial" w:eastAsia="Arial" w:hAnsi="Arial"/>
          <w:sz w:val="18"/>
          <w:szCs w:val="18"/>
          <w:color w:val="auto"/>
        </w:rPr>
        <w:t>The Company accounts for aircraft fuel, spare parts and supplies at average cost and provides an</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allowance for aircraft spare parts with an assumed residual value of 10% of original cost.</w:t>
      </w:r>
    </w:p>
    <w:p>
      <w:pPr>
        <w:spacing w:after="0" w:line="215" w:lineRule="exact"/>
        <w:rPr>
          <w:rFonts w:ascii="Arial" w:cs="Arial" w:eastAsia="Arial" w:hAnsi="Arial"/>
          <w:sz w:val="18"/>
          <w:szCs w:val="18"/>
          <w:color w:val="auto"/>
        </w:rPr>
      </w:pPr>
    </w:p>
    <w:p>
      <w:pPr>
        <w:ind w:left="660" w:right="60" w:hanging="652"/>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The Company records additions to owned operating property and equipment at cost when acquired. Property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leases and the related obligation for future lease payments are recorded at an amount equal to the initial present value of those lease payments. Modifications that enhance the operating performance or extend the useful lives of airframes or engines are capitalized as property and equipment. It is the Company's policy to record contractual damages received related to delays in delivery of aircraft as a reduction of the cost of the related aircraft.</w:t>
      </w:r>
    </w:p>
    <w:p>
      <w:pPr>
        <w:spacing w:after="0" w:line="241" w:lineRule="exact"/>
        <w:rPr>
          <w:rFonts w:ascii="Arial" w:cs="Arial" w:eastAsia="Arial" w:hAnsi="Arial"/>
          <w:sz w:val="18"/>
          <w:szCs w:val="18"/>
          <w:color w:val="auto"/>
        </w:rPr>
      </w:pPr>
    </w:p>
    <w:p>
      <w:pPr>
        <w:ind w:left="660" w:right="60"/>
        <w:spacing w:after="0" w:line="297" w:lineRule="auto"/>
        <w:rPr>
          <w:rFonts w:ascii="Arial" w:cs="Arial" w:eastAsia="Arial" w:hAnsi="Arial"/>
          <w:sz w:val="18"/>
          <w:szCs w:val="18"/>
          <w:color w:val="auto"/>
        </w:rPr>
      </w:pPr>
      <w:r>
        <w:rPr>
          <w:rFonts w:ascii="Arial" w:cs="Arial" w:eastAsia="Arial" w:hAnsi="Arial"/>
          <w:sz w:val="16"/>
          <w:szCs w:val="16"/>
          <w:color w:val="auto"/>
        </w:rPr>
        <w:t>Depreciation and amortization of owned depreciable assets is based on the straight-line method over the assets' estimated useful lives. Leasehold improvements are amortized over the remaining term of the lease, including estimated facility renewal options when renewal is reasonably certain at key airports, or the estimated useful life of the related asset, whichever is less. Properties under finance leases are amortized on the straight-line method over the life of the lease or, in the case of certain aircraft, over their estimated useful lives, whichever is shorter. Amortization of finance lease assets is included in depreciation and amortization expense. The estimated useful lives of property and equipment</w:t>
      </w:r>
    </w:p>
    <w:p>
      <w:pPr>
        <w:sectPr>
          <w:pgSz w:w="11900" w:h="16838" w:orient="portrait"/>
          <w:cols w:equalWidth="0" w:num="1">
            <w:col w:w="11420"/>
          </w:cols>
          <w:pgMar w:left="240" w:top="184" w:right="239" w:bottom="1440"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84" w:right="23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as follows: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700" w:type="dxa"/>
            <w:vAlign w:val="bottom"/>
          </w:tcPr>
          <w:p>
            <w:pPr>
              <w:jc w:val="right"/>
              <w:ind w:right="171"/>
              <w:spacing w:after="0"/>
              <w:rPr>
                <w:sz w:val="20"/>
                <w:szCs w:val="20"/>
                <w:color w:val="auto"/>
              </w:rPr>
            </w:pPr>
            <w:r>
              <w:rPr>
                <w:rFonts w:ascii="Arial" w:cs="Arial" w:eastAsia="Arial" w:hAnsi="Arial"/>
                <w:sz w:val="16"/>
                <w:szCs w:val="16"/>
                <w:b w:val="1"/>
                <w:bCs w:val="1"/>
                <w:color w:val="auto"/>
              </w:rPr>
              <w:t>Estimated Useful Life (in years)</w:t>
            </w:r>
          </w:p>
        </w:tc>
      </w:tr>
      <w:tr>
        <w:trPr>
          <w:trHeight w:val="33"/>
        </w:trPr>
        <w:tc>
          <w:tcPr>
            <w:tcW w:w="73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Aircraft, spare engines and related rotable parts</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to 30</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Aircraft seats</w:t>
            </w:r>
          </w:p>
        </w:tc>
        <w:tc>
          <w:tcPr>
            <w:tcW w:w="2700" w:type="dxa"/>
            <w:vAlign w:val="bottom"/>
          </w:tcPr>
          <w:p>
            <w:pPr>
              <w:jc w:val="right"/>
              <w:spacing w:after="0"/>
              <w:rPr>
                <w:sz w:val="20"/>
                <w:szCs w:val="20"/>
                <w:color w:val="auto"/>
              </w:rPr>
            </w:pPr>
            <w:r>
              <w:rPr>
                <w:rFonts w:ascii="Arial" w:cs="Arial" w:eastAsia="Arial" w:hAnsi="Arial"/>
                <w:sz w:val="18"/>
                <w:szCs w:val="18"/>
                <w:color w:val="auto"/>
              </w:rPr>
              <w:t>10 to 15</w:t>
            </w:r>
          </w:p>
        </w:tc>
      </w:tr>
      <w:tr>
        <w:trPr>
          <w:trHeight w:val="27"/>
        </w:trPr>
        <w:tc>
          <w:tcPr>
            <w:tcW w:w="73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to 45</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Other property and equipment</w:t>
            </w:r>
          </w:p>
        </w:tc>
        <w:tc>
          <w:tcPr>
            <w:tcW w:w="2700" w:type="dxa"/>
            <w:vAlign w:val="bottom"/>
          </w:tcPr>
          <w:p>
            <w:pPr>
              <w:jc w:val="right"/>
              <w:spacing w:after="0"/>
              <w:rPr>
                <w:sz w:val="20"/>
                <w:szCs w:val="20"/>
                <w:color w:val="auto"/>
              </w:rPr>
            </w:pPr>
            <w:r>
              <w:rPr>
                <w:rFonts w:ascii="Arial" w:cs="Arial" w:eastAsia="Arial" w:hAnsi="Arial"/>
                <w:sz w:val="18"/>
                <w:szCs w:val="18"/>
                <w:color w:val="auto"/>
              </w:rPr>
              <w:t>3 to 15</w:t>
            </w:r>
          </w:p>
        </w:tc>
      </w:tr>
      <w:tr>
        <w:trPr>
          <w:trHeight w:val="27"/>
        </w:trPr>
        <w:tc>
          <w:tcPr>
            <w:tcW w:w="73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15</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Building improvements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1 to 40</w:t>
            </w:r>
          </w:p>
        </w:tc>
      </w:tr>
    </w:tbl>
    <w:p>
      <w:pPr>
        <w:spacing w:after="0" w:line="200" w:lineRule="exact"/>
        <w:rPr>
          <w:sz w:val="20"/>
          <w:szCs w:val="20"/>
          <w:color w:val="auto"/>
        </w:rPr>
      </w:pPr>
    </w:p>
    <w:p>
      <w:pPr>
        <w:spacing w:after="0" w:line="299"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As of December 31, 2019 and 2018, the Company had a carrying value of computer software of $422 million and $359 million, respectively. For the years ended December 31, 2019, 2018 and 2017, the Company's depreciation expense related to computer software was $135 million, $122 million and $117 million, respectively. Aircraft and aircraft spare parts were assumed to have residual values of approximately 10% of original cost, and other categories of property and equipment were assumed to have no residual value.</w:t>
      </w:r>
    </w:p>
    <w:p>
      <w:pPr>
        <w:spacing w:after="0" w:line="221" w:lineRule="exact"/>
        <w:rPr>
          <w:sz w:val="20"/>
          <w:szCs w:val="20"/>
          <w:color w:val="auto"/>
        </w:rPr>
      </w:pPr>
    </w:p>
    <w:p>
      <w:pPr>
        <w:ind w:left="660" w:right="80" w:hanging="652"/>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Long-Lived Asset Impairments—</w:t>
      </w:r>
      <w:r>
        <w:rPr>
          <w:rFonts w:ascii="Arial" w:cs="Arial" w:eastAsia="Arial" w:hAnsi="Arial"/>
          <w:sz w:val="18"/>
          <w:szCs w:val="18"/>
          <w:color w:val="auto"/>
        </w:rPr>
        <w:t>The Company evaluates the carrying value of long-lived assets subject to amortization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circumstances indicate that an impairment may exist. For purposes of this testing, the Company has generally identified the aircraft fleet type as the lowest level of identifiable cash flows. An impairment charge is recognized when the asset's carrying value exceeds its net undiscounted future cash flows and its fair market value. The amount of the charge is the difference between the asset's carrying value and fair market value. See Note 14 of this report for additional information related to impairments.</w:t>
      </w:r>
    </w:p>
    <w:p>
      <w:pPr>
        <w:spacing w:after="0" w:line="237"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Intangibles—</w:t>
      </w:r>
      <w:r>
        <w:rPr>
          <w:rFonts w:ascii="Arial" w:cs="Arial" w:eastAsia="Arial" w:hAnsi="Arial"/>
          <w:sz w:val="18"/>
          <w:szCs w:val="18"/>
          <w:color w:val="auto"/>
        </w:rPr>
        <w:t>The Company has finite-lived and indefinite-lived intangible assets, including goodwill. Finite-lived intangible assets are amortized</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their estimated useful lives. Goodwill and indefinite-lived intangible assets are not amortized but are reviewed for impairment on an annual basis as of October 1, or more frequently if events or circumstances indicate that the asset may be impaired. See Note 14 of this report for additional information related to impairments.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following table presents information about the Company's goodwill and other intangible assets at December 31 (in millions):</w:t>
      </w: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0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9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63"/>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Route authorities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Airport slots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Tradenames and logos</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Alliances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Frequent flyer database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Hubs</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Contracts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Amortization expense in 2019, 2018 and 2017 was $60 million, $67 million and $79 million, respectively. Projected amortization expense in 2020, 2021, 2022, 2023 and 2024 is $55 million, $50 million, $40 million, $37 million and $32 million, respectively.</w:t>
      </w:r>
    </w:p>
    <w:p>
      <w:pPr>
        <w:sectPr>
          <w:pgSz w:w="11900" w:h="16838" w:orient="portrait"/>
          <w:cols w:equalWidth="0" w:num="1">
            <w:col w:w="11360"/>
          </w:cols>
          <w:pgMar w:left="240" w:top="184" w:right="299" w:bottom="1440" w:gutter="0" w:footer="0" w:header="0"/>
        </w:sect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40" w:top="184" w:right="29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ind w:left="660" w:right="180" w:hanging="652"/>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Labor Costs—</w:t>
      </w:r>
      <w:r>
        <w:rPr>
          <w:rFonts w:ascii="Arial" w:cs="Arial" w:eastAsia="Arial" w:hAnsi="Arial"/>
          <w:sz w:val="18"/>
          <w:szCs w:val="18"/>
          <w:color w:val="auto"/>
        </w:rPr>
        <w:t>The Company records expenses associated with new or amendable labor agreements when the amounts are probable and estimable.</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include costs associated with lump sum cash payments that would be made in conjunction with the ratification of labor agreements. To the extent these upfront costs are in lieu of future pay increases, they would be capitalized and amortized over the term of the labor agreements. If not, these amounts would be expensed.</w:t>
      </w:r>
    </w:p>
    <w:p>
      <w:pPr>
        <w:spacing w:after="0" w:line="234"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r>
        <w:rPr>
          <w:rFonts w:ascii="Arial" w:cs="Arial" w:eastAsia="Arial" w:hAnsi="Arial"/>
          <w:sz w:val="18"/>
          <w:szCs w:val="18"/>
          <w:color w:val="auto"/>
        </w:rPr>
        <w:t>The Company measures the cost of employee services received in exchange for an award of equity instruments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grant date fair value of the award. The resulting cost is recognized over the period during which an employee is required to provide service in exchange for the award, usually the vesting period. Obligations for cash-settled restricted stock units ("RSUs") are remeasured at fair value throughout the requisite service period at the close of the reporting period based upon UAL's stock price. In addition to the service requirement, certain RSUs have performance metrics that must be achieved prior to vesting. These awards are accrued based on the expected level of achievement at each reporting period. An adjustment is recorded each reporting period to adjust compensation expense based on the then current level of expected performance achievement for the performance-based awards. See Note 4 of this report for additional information on UAL's share-based compensation plans.</w:t>
      </w:r>
    </w:p>
    <w:p>
      <w:pPr>
        <w:spacing w:after="0" w:line="239" w:lineRule="exact"/>
        <w:rPr>
          <w:rFonts w:ascii="Arial" w:cs="Arial" w:eastAsia="Arial" w:hAnsi="Arial"/>
          <w:sz w:val="18"/>
          <w:szCs w:val="18"/>
          <w:color w:val="auto"/>
        </w:rPr>
      </w:pPr>
    </w:p>
    <w:p>
      <w:pPr>
        <w:ind w:left="660" w:right="40" w:hanging="652"/>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Maintenance and Repairs—</w:t>
      </w:r>
      <w:r>
        <w:rPr>
          <w:rFonts w:ascii="Arial" w:cs="Arial" w:eastAsia="Arial" w:hAnsi="Arial"/>
          <w:sz w:val="18"/>
          <w:szCs w:val="18"/>
          <w:color w:val="auto"/>
        </w:rPr>
        <w:t>The cost of maintenance and repairs, including the cost of minor replacements, is charged to expense as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costs incurred under our power-by-the-hour ("PBTH") engine maintenance agreements. PBTH contracts transfer certain risk to third-party service providers and fix the amount we pay per flight hour or per cycle to the service provider in exchange for maintenance and repairs under a predefined maintenance program. Under PBTH agreements, the Company recognizes expense at a level rate per engine hour, unless the level of service effort and the related payments during the period are substantially consistent, in which case the Company recognizes expense based on the amounts paid.</w:t>
      </w:r>
    </w:p>
    <w:p>
      <w:pPr>
        <w:spacing w:after="0" w:line="24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Advertising—</w:t>
      </w:r>
      <w:r>
        <w:rPr>
          <w:rFonts w:ascii="Arial" w:cs="Arial" w:eastAsia="Arial" w:hAnsi="Arial"/>
          <w:sz w:val="18"/>
          <w:szCs w:val="18"/>
          <w:color w:val="auto"/>
        </w:rPr>
        <w:t>Advertising costs, which are included in Other operating expenses, are expensed as incurred. Advertising expenses were $212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$211 million and $217 million for the years ended December 31, 2019, 2018 and 2017, respectively.</w:t>
      </w:r>
    </w:p>
    <w:p>
      <w:pPr>
        <w:spacing w:after="0" w:line="215"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Third-Party Business—</w:t>
      </w:r>
      <w:r>
        <w:rPr>
          <w:rFonts w:ascii="Arial" w:cs="Arial" w:eastAsia="Arial" w:hAnsi="Arial"/>
          <w:sz w:val="17"/>
          <w:szCs w:val="17"/>
          <w:color w:val="auto"/>
        </w:rPr>
        <w:t>The Company has third-party business revenue that includes fuel sales, catering, ground handling, maintenance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frequent flyer award non-travel redemptions. Third-party business revenue is recorded in Other operating revenue. The Company also incurs third-party business expenses, such as maintenance, ground handling and catering services for third parties, fuel sales and non-travel mileage redemptions. The third-party business expenses are recorded in Other operating expenses, except for non-travel mileage redemption. Non-travel mileage redemption expenses are recorded to Other operating revenue.</w:t>
      </w:r>
    </w:p>
    <w:p>
      <w:pPr>
        <w:spacing w:after="0" w:line="222" w:lineRule="exact"/>
        <w:rPr>
          <w:rFonts w:ascii="Arial" w:cs="Arial" w:eastAsia="Arial" w:hAnsi="Arial"/>
          <w:sz w:val="17"/>
          <w:szCs w:val="17"/>
          <w:color w:val="auto"/>
        </w:rPr>
      </w:pPr>
    </w:p>
    <w:p>
      <w:pPr>
        <w:ind w:left="660" w:hanging="652"/>
        <w:spacing w:after="0" w:line="27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Uncertain Income Tax Positions—</w:t>
      </w:r>
      <w:r>
        <w:rPr>
          <w:rFonts w:ascii="Arial" w:cs="Arial" w:eastAsia="Arial" w:hAnsi="Arial"/>
          <w:sz w:val="17"/>
          <w:szCs w:val="17"/>
          <w:color w:val="auto"/>
        </w:rPr>
        <w:t>The Company has recorded reserves for income taxes and associated interest that may become payable in future</w:t>
      </w:r>
      <w:r>
        <w:rPr>
          <w:rFonts w:ascii="Arial" w:cs="Arial" w:eastAsia="Arial" w:hAnsi="Arial"/>
          <w:sz w:val="17"/>
          <w:szCs w:val="17"/>
          <w:b w:val="1"/>
          <w:bCs w:val="1"/>
          <w:color w:val="auto"/>
        </w:rPr>
        <w:t xml:space="preserve"> </w:t>
      </w:r>
      <w:r>
        <w:rPr>
          <w:rFonts w:ascii="Arial" w:cs="Arial" w:eastAsia="Arial" w:hAnsi="Arial"/>
          <w:sz w:val="17"/>
          <w:szCs w:val="17"/>
          <w:color w:val="auto"/>
        </w:rPr>
        <w:t>years. Although management believes that its positions taken on income tax matters are reasonable, the Company nevertheless has established tax and interest reserves in recognition that various taxing authorities may challenge certain of the positions taken by the Company, potentially resulting in additional liabilities for taxes and interest. The Company's uncertain tax position reserves are reviewed periodically and are adjusted as events occur that affect its estimates, such as the availability of new information, the lapsing of applicable statutes of limitation, the conclusion of tax audits, the measurement of additional estimated liability, the identification of new tax matters, the release of administrative tax guidance affecting its estimates of tax liabilities, or the rendering of relevant court decisions. The Company records penalties and interest relating to uncertain tax positions as part of income tax expense in its consolidated statements of operations. See Note 6 of this report for additional information on UAL's uncertain tax positions.</w:t>
      </w:r>
    </w:p>
    <w:p>
      <w:pPr>
        <w:spacing w:after="0" w:line="228" w:lineRule="exact"/>
        <w:rPr>
          <w:rFonts w:ascii="Arial" w:cs="Arial" w:eastAsia="Arial" w:hAnsi="Arial"/>
          <w:sz w:val="17"/>
          <w:szCs w:val="17"/>
          <w:color w:val="auto"/>
        </w:rPr>
      </w:pPr>
    </w:p>
    <w:p>
      <w:pPr>
        <w:ind w:left="660" w:right="40" w:hanging="652"/>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Recently Issued Accounting Standards—</w:t>
      </w:r>
      <w:r>
        <w:rPr>
          <w:rFonts w:ascii="Arial" w:cs="Arial" w:eastAsia="Arial" w:hAnsi="Arial"/>
          <w:sz w:val="18"/>
          <w:szCs w:val="18"/>
          <w:color w:val="auto"/>
        </w:rPr>
        <w:t>The Company adopted Financial Accounting Standards Board ("FASB") Accounting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"New Lease Standard"), effective January 1, 2019. The Company used the modified retrospective approach for all leases existing at or commencing after January 1, 2017 and elected the package of transition practical expedients for expired or existing contracts, which does not require reassessment of: (1) whether any of our contracts are or contain leases, (2) lease classification and (3) initial direct costs. The New Lease Standard prescribes that an entity should recognize a right-of-use asset and a lease liability for all leases at the commencement date of each lease and recognize expenses on their income statements similar to the prior FASB Accounting Standards Codification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840").</w:t>
      </w:r>
    </w:p>
    <w:p>
      <w:pPr>
        <w:spacing w:after="0" w:line="247" w:lineRule="exact"/>
        <w:rPr>
          <w:rFonts w:ascii="Arial" w:cs="Arial" w:eastAsia="Arial" w:hAnsi="Arial"/>
          <w:sz w:val="18"/>
          <w:szCs w:val="18"/>
          <w:color w:val="auto"/>
        </w:rPr>
      </w:pPr>
    </w:p>
    <w:p>
      <w:pPr>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adoption of the New Lease Standard had the same impact on the financial statements of United as it had on the financial statements of UAL. The table below presents the impact of the adoption of the New Lease Standard on select accounts and captions of UAL's statement of consolidated operations for the year ended December 31 (in millions, except per share amounts):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84"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New Lease Standard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5"/>
          </w:tcPr>
          <w:p>
            <w:pPr>
              <w:ind w:left="30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720" w:type="dxa"/>
            <w:vAlign w:val="bottom"/>
            <w:gridSpan w:val="4"/>
          </w:tcPr>
          <w:p>
            <w:pPr>
              <w:jc w:val="right"/>
              <w:ind w:right="391"/>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20" w:type="dxa"/>
            <w:vAlign w:val="bottom"/>
            <w:vMerge w:val="restart"/>
          </w:tcPr>
          <w:p>
            <w:pPr>
              <w:ind w:left="20"/>
              <w:spacing w:after="0"/>
              <w:rPr>
                <w:sz w:val="20"/>
                <w:szCs w:val="20"/>
                <w:color w:val="auto"/>
              </w:rPr>
            </w:pPr>
            <w:r>
              <w:rPr>
                <w:rFonts w:ascii="Arial" w:cs="Arial" w:eastAsia="Arial" w:hAnsi="Arial"/>
                <w:sz w:val="18"/>
                <w:szCs w:val="18"/>
                <w:color w:val="auto"/>
              </w:rPr>
              <w:t>Regional capacity purchase</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Landing fees and other rent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Interest capitalized</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basic</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Earnings per share, diluted</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expense for leases under the New Lease Standard will continue to be classified in their historical income statement captions (primarily in Aircraft rent, Landing fees and other rent and Regional capacity purchase in our statements of consolidated operations). The adoption of the New Lease Standard resulted in the recharacterization of certain leases from capital leases under Topic 840 to operating leases under the New Lease Standard. This change resulted in less depreciation and amortization and interest expense associated with capital leases offset by higher lease expense associated with operating leases. The recharacterization is associated with leases of certain airport facilities that were derecognized as part of the build-to-suit transition guidance under the New Lease Standard. The reduction in capitalized interest is also associated with the same airport facilities leases.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the impact of the adoption of the New Lease Standard on UAL's balance sheet accounts and captions (in millions):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New Lease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Standard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As 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As Adjusted</w:t>
            </w: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less allowance for doubtful accounts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Flight equipment, owned and finance leases (a)</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32,599</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Other property and equipment, owned and finance leases (a)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6,889</w:t>
            </w: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Accumulated depreciation and amortization, owned and finance leases (a)</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5,262</w:t>
            </w: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maturities of finance leases (a)</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Current maturities of operating leases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719</w:t>
            </w: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Long-term obligations under finance leases (a)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obligations under operating leases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828</w:t>
            </w: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6,715</w:t>
            </w:r>
          </w:p>
        </w:tc>
      </w:tr>
      <w:tr>
        <w:trPr>
          <w:trHeight w:val="27"/>
        </w:trPr>
        <w:tc>
          <w:tcPr>
            <w:tcW w:w="5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Finance leases, under the New Lease Standard, are the equivalent of capital leases under Topic 840.</w:t>
      </w:r>
    </w:p>
    <w:p>
      <w:pPr>
        <w:spacing w:after="0" w:line="22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table below presents the impact of the adoption of the New Lease Standard on select line items of UAL's statement of consolidated cash flows for the year ended December 31 (in millions):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184" w:right="41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New Lease Standard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5"/>
          </w:tcPr>
          <w:p>
            <w:pPr>
              <w:ind w:left="30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72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2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324"/>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43"/>
        </w:trPr>
        <w:tc>
          <w:tcPr>
            <w:tcW w:w="4020" w:type="dxa"/>
            <w:vAlign w:val="bottom"/>
          </w:tcPr>
          <w:p>
            <w:pPr>
              <w:ind w:left="260"/>
              <w:spacing w:after="0"/>
              <w:rPr>
                <w:sz w:val="20"/>
                <w:szCs w:val="20"/>
                <w:color w:val="auto"/>
              </w:rPr>
            </w:pPr>
            <w:r>
              <w:rPr>
                <w:rFonts w:ascii="Arial" w:cs="Arial" w:eastAsia="Arial" w:hAnsi="Arial"/>
                <w:sz w:val="18"/>
                <w:szCs w:val="18"/>
                <w:color w:val="auto"/>
              </w:rPr>
              <w:t>Principal payments under finance leases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The adoption of the New Lease Standard primarily resulted in the recording of assets and liabilities of our operating leases on our consolidated balance sheets. Certain amounts recorded for prepaid and accrued rent associated with historical operating leases were reclassified to the newly captioned Operating lease right-of-use assets in the consolidated balance sheets. Also, certain leases designated under Topic 840 as owned assets and capital leases are not considered to be assets under the New Lease Standard and have been removed from the consolidated balance sheets, along with the related capital lease liability, due to the leases having variable lease payments.</w:t>
      </w:r>
    </w:p>
    <w:p>
      <w:pPr>
        <w:spacing w:after="0" w:line="200"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In June 2016, the FASB issued Accounting Standards Update No. 2016-13, Financial Instruments-Credit Losses ("ASU 2016-13"). The amendments in this update replace the incurred loss methodology with a methodology that reflects expected credit losses. This update requires financial assets measured at amortized cost basis, such as trade receivables, loans and held-to-maturity debt securities, to be presented at the net amount expected to be collected, and requires entities to record expected losses for certain guarantees and off-balance sheet exposures. The update also eliminates the concept of other-than-temporary impairment for available-for-sale securities. Impairments on available-for-sale securities will be required to be recognized in earnings through an allowance when the fair value is less than amortized cost and a credit loss exists, or the securities are expected to be sold before recovery of amortized cost. The Company adopted ASU 2016-13 on January 1, 2020. The standard update is not expected to have a material impact on the Company's consolidated financial statements.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84"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COMMON STOCKHOLDERS' EQUITY AND PREFERRED SECURITIES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2019, UAL repurchased approximately 19.2 million shares of UAL common stock for $1.6 billion. In December 2017, UAL's Board of Directors authorized a $3.0 billion share repurchase program to acquire UAL's common stock. In July 2019, UAL's Board of Directors authorized a new $3.0 billion share repurchase program to acquire UAL's common stock. As of December 31, 2019, the Company had approximately $3.1 billion remaining to purchase shares under its share repurchase programs. UAL may repurchase shares through the open market, privately negotiated transactions, block trades or accelerated share repurchase transactions from time to time in accordance with applicable securities laws. UAL may repurchase shares of UAL common stock subject to prevailing market conditions, and may discontinue such repurchases at any time. See Part II, Item 5. Market for Registrant's Common Equity, Related Stockholder Matters and Issuer Purchases of Equity Securities, of this report for additional information.</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December 31, 2019, approximately 8 million shares of UAL's common stock were reserved for future issuance related to the issuance of equity-based awards under the Company's incentive compensation plans.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2019, UAL had two shares of junior preferred stock (par value $0.01 per share) outstanding. In addition, UAL is authorized to issue 250 million shares of preferred stock (without par value) under UAL's amended and restated certificate of incorporation.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computations of UAL's basic and diluted earnings per share are set forth below for the years ended December 31 (in millions,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2018 (a)</w:t>
            </w:r>
          </w:p>
        </w:tc>
        <w:tc>
          <w:tcPr>
            <w:tcW w:w="22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 (a)</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available to common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employee stock awards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377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 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of this report for additional information on the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-98425</wp:posOffset>
            </wp:positionV>
            <wp:extent cx="2521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antidilutive securities excluded from the computation of diluted earnings per share amounts was not 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SHARE-BASED COMPENSATION PLANS</w:t>
      </w:r>
    </w:p>
    <w:p>
      <w:pPr>
        <w:spacing w:after="0" w:line="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UAL maintains share-based compensation plans for our management employees and our non-employee directors. These plans provide for grants of non-qualified stock options, incentive stock options (within the meaning of Section 422 of the Internal Revenue Code of 1986), stock appreciation rights, restricted shares, RSUs, performance compensation awards, performance units, cash incentive awards, other equity-based and equity-related awards, and dividends and dividend equivalents.</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awards are recorded as either equity or a liability in the Company's consolidated balance sheets. The share-based compensation expense is recorded in salaries and related costs.</w:t>
      </w:r>
    </w:p>
    <w:p>
      <w:pPr>
        <w:spacing w:after="0" w:line="19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2019, UAL granted share-based compensation awards pursuant to the United Continental Holdings, Inc. 2017 Incentive Compensation Plan. These share-based compensation awards included approximately 1.2 million RSUs consisting of 0.9 million time-vested RSUs and 0.3 million performance-based RSUs and approximately 307,000 stock options. The time-vested RSUs vest pro-rata, a majority of which vest on February 28th of each year, over a three-year period from the date of grant. The amount of performance-based RSUs that vest will be based on the Company's relative improvement in pre-tax margin compared to a group of airline industry peers for the three years ending December 31, 2021. The RSUs are generally equity awards settled in stock for domestic employees and liability awards settled in cash for international employees. The cash payments are based on the 20-day average closing price of UAL common stock immediately prior to the vesting date. The stock options have a ten-year term and vest annually over six years, at variable rates, beginning on the third anniversary of UAL's 2020 Annual Meeting of Stockholders.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84"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UAL's share-based compensation plan cost for the years ended December 31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Compensation cost:</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summarizes UAL's unearned compensation and weighted-average remaining period to recognize costs for all outstanding share-based awards that are probable of being achieved as of December 31, 2019 (in millions, except as noted):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64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Unearned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Period</w:t>
            </w:r>
          </w:p>
        </w:tc>
      </w:tr>
      <w:tr>
        <w:trPr>
          <w:trHeight w:val="234"/>
        </w:trPr>
        <w:tc>
          <w:tcPr>
            <w:tcW w:w="66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Compensation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7"/>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50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66</w:t>
            </w:r>
          </w:p>
        </w:tc>
        <w:tc>
          <w:tcPr>
            <w:tcW w:w="29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11</w:t>
            </w:r>
          </w:p>
        </w:tc>
        <w:tc>
          <w:tcPr>
            <w:tcW w:w="29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5.3</w:t>
            </w:r>
          </w:p>
        </w:tc>
      </w:tr>
      <w:tr>
        <w:trPr>
          <w:trHeight w:val="27"/>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77</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r>
      <w:tr>
        <w:trPr>
          <w:trHeight w:val="20"/>
        </w:trPr>
        <w:tc>
          <w:tcPr>
            <w:tcW w:w="6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RSUs and Restricted Stock. </w:t>
      </w:r>
      <w:r>
        <w:rPr>
          <w:rFonts w:ascii="Arial" w:cs="Arial" w:eastAsia="Arial" w:hAnsi="Arial"/>
          <w:sz w:val="18"/>
          <w:szCs w:val="18"/>
          <w:color w:val="auto"/>
        </w:rPr>
        <w:t>As of December 31, 2019, UAL had recorded a liability of $44 million related to its cash-settled RSUs. UAL paid $41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 million and $50 million related to its cash-settled RSUs during 2019,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UAL's RSUs and restricted stock activity for the years ended December 31 (shares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Liability Awards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3"/>
          </w:tcPr>
          <w:p>
            <w:pPr>
              <w:jc w:val="right"/>
              <w:ind w:right="671"/>
              <w:spacing w:after="0"/>
              <w:rPr>
                <w:sz w:val="20"/>
                <w:szCs w:val="20"/>
                <w:color w:val="auto"/>
              </w:rPr>
            </w:pPr>
            <w:r>
              <w:rPr>
                <w:rFonts w:ascii="Arial" w:cs="Arial" w:eastAsia="Arial" w:hAnsi="Arial"/>
                <w:sz w:val="16"/>
                <w:szCs w:val="16"/>
                <w:b w:val="1"/>
                <w:bCs w:val="1"/>
                <w:color w:val="auto"/>
              </w:rPr>
              <w:t>Equity Awards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140" w:type="dxa"/>
            <w:vAlign w:val="bottom"/>
          </w:tcPr>
          <w:p>
            <w:pPr>
              <w:jc w:val="right"/>
              <w:ind w:right="151"/>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RSUs</w:t>
            </w:r>
          </w:p>
        </w:tc>
        <w:tc>
          <w:tcPr>
            <w:tcW w:w="1340" w:type="dxa"/>
            <w:vAlign w:val="bottom"/>
          </w:tcPr>
          <w:p>
            <w:pPr>
              <w:jc w:val="right"/>
              <w:ind w:right="391"/>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Grant Price</w:t>
            </w:r>
          </w:p>
        </w:tc>
        <w:tc>
          <w:tcPr>
            <w:tcW w:w="1140" w:type="dxa"/>
            <w:vAlign w:val="bottom"/>
          </w:tcPr>
          <w:p>
            <w:pPr>
              <w:jc w:val="right"/>
              <w:ind w:right="291"/>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2"/>
              <w:spacing w:after="0"/>
              <w:rPr>
                <w:sz w:val="20"/>
                <w:szCs w:val="20"/>
                <w:color w:val="auto"/>
              </w:rPr>
            </w:pPr>
            <w:r>
              <w:rPr>
                <w:rFonts w:ascii="Arial" w:cs="Arial" w:eastAsia="Arial" w:hAnsi="Arial"/>
                <w:sz w:val="16"/>
                <w:szCs w:val="16"/>
                <w:b w:val="1"/>
                <w:bCs w:val="1"/>
                <w:color w:val="auto"/>
                <w:w w:val="95"/>
              </w:rPr>
              <w:t>Grant Price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Outstanding at December 31, 2016</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78.03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fair value of RSUs and restricted stock that vested in 2019, 2018 and 2017 was $99 million, $70 million and $76 million, respectively. The fair value of the restricted stock and the stock-settled RSUs was based upon the UAL common stock price on the date of grant. The fair value of the cash-settled RSUs was based on the UAL common stock price as of the last day preceding the settlement date.</w:t>
      </w:r>
    </w:p>
    <w:p>
      <w:pPr>
        <w:spacing w:after="0" w:line="12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In 2019, UAL granted an award of approximately 307,000 premium-priced stock options with an exercise price that was 25% higher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closing price of UAL's common stock on the date of grant, representing an exercise price of $110.21. UAL did not grant any stock option awards during 2018. In 2017, UAL granted approximately 36,000 stock options with an exercise price equal to the fair market value of UAL's common stock on the date of grant, representing an exercise price of $77.56 and a weighted-average grant date fair value of approximately $0.7 million. Expense related to each portion of an option grant is recognized on a straight-line basis over the specific vesting period for those options.</w:t>
      </w:r>
    </w:p>
    <w:p>
      <w:pPr>
        <w:sectPr>
          <w:pgSz w:w="11900" w:h="16838" w:orient="portrait"/>
          <w:cols w:equalWidth="0" w:num="1">
            <w:col w:w="11420"/>
          </w:cols>
          <w:pgMar w:left="240" w:top="18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84"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determined the grant date fair value of stock options using a Black-Scholes option pricing model, which requires the use of several assumptions. The risk-free interest rate is based on the U.S. treasury yield curve in effect for the expected term of the option at the time of grant. The dividend yield on UAL's common stock was assumed to be zero since UAL did not pay dividends at the time of the option grants. The volatility assumptions were based upon historical volatilities of UAL using daily stock price returns equivalent to the expected term of the option. The expected term of the options was determined based upon a simplified assumption that the option will be exercised evenly from vesting to expiration due to the Company's lack of relevant historical data related to stock options.</w:t>
      </w:r>
    </w:p>
    <w:p>
      <w:pPr>
        <w:spacing w:after="0" w:line="22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As of December 31, 2019, there were approximately 0.7 million outstanding stock option awards, 0.2 million of which were exercisable, with weighted-average exercise prices of $82.12 and $56.89, respectively, intrinsic values of $11 million and $6 million, respectively, and weighted-average remaining contractual lives (in years) of 7.3 and 3.7,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INCOME (LOSS) ("AOCI")</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the Company's AOCI, net of tax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Pension and</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Other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Postretirement</w:t>
            </w:r>
          </w:p>
        </w:tc>
        <w:tc>
          <w:tcPr>
            <w:tcW w:w="4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Investments and</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Deferred</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Liabilities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Taxes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33"/>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7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17"/>
        </w:trPr>
        <w:tc>
          <w:tcPr>
            <w:tcW w:w="4800" w:type="dxa"/>
            <w:vAlign w:val="bottom"/>
            <w:gridSpan w:val="2"/>
          </w:tcPr>
          <w:p>
            <w:pPr>
              <w:ind w:left="280"/>
              <w:spacing w:after="0"/>
              <w:rPr>
                <w:sz w:val="20"/>
                <w:szCs w:val="20"/>
                <w:color w:val="auto"/>
              </w:rPr>
            </w:pPr>
            <w:r>
              <w:rPr>
                <w:rFonts w:ascii="Arial" w:cs="Arial" w:eastAsia="Arial" w:hAnsi="Arial"/>
                <w:sz w:val="16"/>
                <w:szCs w:val="16"/>
                <w:color w:val="auto"/>
              </w:rPr>
              <w:t>Change in value</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440" w:type="dxa"/>
            <w:vAlign w:val="bottom"/>
          </w:tcPr>
          <w:p>
            <w:pPr>
              <w:ind w:left="20"/>
              <w:spacing w:after="0"/>
              <w:rPr>
                <w:sz w:val="20"/>
                <w:szCs w:val="20"/>
                <w:color w:val="auto"/>
              </w:rPr>
            </w:pPr>
            <w:r>
              <w:rPr>
                <w:rFonts w:ascii="Arial" w:cs="Arial" w:eastAsia="Arial" w:hAnsi="Arial"/>
                <w:sz w:val="16"/>
                <w:szCs w:val="16"/>
                <w:color w:val="auto"/>
              </w:rPr>
              <w:t>(a)</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33"/>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Amounts reclassified to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4800" w:type="dxa"/>
            <w:vAlign w:val="bottom"/>
            <w:gridSpan w:val="2"/>
          </w:tcPr>
          <w:p>
            <w:pPr>
              <w:ind w:left="280"/>
              <w:spacing w:after="0"/>
              <w:rPr>
                <w:sz w:val="20"/>
                <w:szCs w:val="20"/>
                <w:color w:val="auto"/>
              </w:rPr>
            </w:pPr>
            <w:r>
              <w:rPr>
                <w:rFonts w:ascii="Arial" w:cs="Arial" w:eastAsia="Arial" w:hAnsi="Arial"/>
                <w:sz w:val="16"/>
                <w:szCs w:val="16"/>
                <w:color w:val="auto"/>
              </w:rPr>
              <w:t>Reclassification of stranded tax effects</w:t>
            </w:r>
          </w:p>
        </w:tc>
        <w:tc>
          <w:tcPr>
            <w:tcW w:w="1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w:t>
            </w:r>
          </w:p>
        </w:tc>
        <w:tc>
          <w:tcPr>
            <w:tcW w:w="700" w:type="dxa"/>
            <w:vAlign w:val="bottom"/>
            <w:gridSpan w:val="2"/>
          </w:tcPr>
          <w:p>
            <w:pPr>
              <w:jc w:val="right"/>
              <w:ind w:right="399"/>
              <w:spacing w:after="0"/>
              <w:rPr>
                <w:sz w:val="20"/>
                <w:szCs w:val="20"/>
                <w:color w:val="auto"/>
              </w:rPr>
            </w:pPr>
            <w:r>
              <w:rPr>
                <w:rFonts w:ascii="Arial" w:cs="Arial" w:eastAsia="Arial" w:hAnsi="Arial"/>
                <w:sz w:val="16"/>
                <w:szCs w:val="16"/>
                <w:color w:val="auto"/>
              </w:rPr>
              <w:t>(b)</w:t>
            </w:r>
          </w:p>
        </w:tc>
        <w:tc>
          <w:tcPr>
            <w:tcW w:w="9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r>
      <w:tr>
        <w:trPr>
          <w:trHeight w:val="217"/>
        </w:trPr>
        <w:tc>
          <w:tcPr>
            <w:tcW w:w="4800" w:type="dxa"/>
            <w:vAlign w:val="bottom"/>
            <w:gridSpan w:val="2"/>
          </w:tcPr>
          <w:p>
            <w:pPr>
              <w:ind w:left="280"/>
              <w:spacing w:after="0"/>
              <w:rPr>
                <w:sz w:val="20"/>
                <w:szCs w:val="20"/>
                <w:color w:val="auto"/>
              </w:rPr>
            </w:pPr>
            <w:r>
              <w:rPr>
                <w:rFonts w:ascii="Arial" w:cs="Arial" w:eastAsia="Arial" w:hAnsi="Arial"/>
                <w:sz w:val="16"/>
                <w:szCs w:val="16"/>
                <w:color w:val="auto"/>
              </w:rPr>
              <w:t>Change in value</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w:t>
            </w:r>
          </w:p>
        </w:tc>
        <w:tc>
          <w:tcPr>
            <w:tcW w:w="440" w:type="dxa"/>
            <w:vAlign w:val="bottom"/>
          </w:tcPr>
          <w:p>
            <w:pPr>
              <w:ind w:left="20"/>
              <w:spacing w:after="0"/>
              <w:rPr>
                <w:sz w:val="20"/>
                <w:szCs w:val="20"/>
                <w:color w:val="auto"/>
              </w:rPr>
            </w:pPr>
            <w:r>
              <w:rPr>
                <w:rFonts w:ascii="Arial" w:cs="Arial" w:eastAsia="Arial" w:hAnsi="Arial"/>
                <w:sz w:val="16"/>
                <w:szCs w:val="16"/>
                <w:color w:val="auto"/>
              </w:rPr>
              <w:t>(a)</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r>
      <w:tr>
        <w:trPr>
          <w:trHeight w:val="33"/>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Amounts reclassified to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4800" w:type="dxa"/>
            <w:vAlign w:val="bottom"/>
            <w:gridSpan w:val="2"/>
          </w:tcPr>
          <w:p>
            <w:pPr>
              <w:ind w:left="280"/>
              <w:spacing w:after="0"/>
              <w:rPr>
                <w:sz w:val="20"/>
                <w:szCs w:val="20"/>
                <w:color w:val="auto"/>
              </w:rPr>
            </w:pPr>
            <w:r>
              <w:rPr>
                <w:rFonts w:ascii="Arial" w:cs="Arial" w:eastAsia="Arial" w:hAnsi="Arial"/>
                <w:sz w:val="16"/>
                <w:szCs w:val="16"/>
                <w:color w:val="auto"/>
              </w:rPr>
              <w:t>Amounts reclassified to retained earnings ("RE")</w:t>
            </w:r>
          </w:p>
        </w:tc>
        <w:tc>
          <w:tcPr>
            <w:tcW w:w="1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620" w:type="dxa"/>
            <w:vAlign w:val="bottom"/>
            <w:gridSpan w:val="2"/>
          </w:tcPr>
          <w:p>
            <w:pPr>
              <w:jc w:val="right"/>
              <w:ind w:right="319"/>
              <w:spacing w:after="0"/>
              <w:rPr>
                <w:sz w:val="20"/>
                <w:szCs w:val="20"/>
                <w:color w:val="auto"/>
              </w:rPr>
            </w:pPr>
            <w:r>
              <w:rPr>
                <w:rFonts w:ascii="Arial" w:cs="Arial" w:eastAsia="Arial" w:hAnsi="Arial"/>
                <w:sz w:val="16"/>
                <w:szCs w:val="16"/>
                <w:color w:val="auto"/>
              </w:rPr>
              <w:t>(c)</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700" w:type="dxa"/>
            <w:vAlign w:val="bottom"/>
            <w:gridSpan w:val="2"/>
          </w:tcPr>
          <w:p>
            <w:pPr>
              <w:jc w:val="right"/>
              <w:ind w:right="219"/>
              <w:spacing w:after="0"/>
              <w:rPr>
                <w:sz w:val="20"/>
                <w:szCs w:val="20"/>
                <w:color w:val="auto"/>
              </w:rPr>
            </w:pPr>
            <w:r>
              <w:rPr>
                <w:rFonts w:ascii="Arial" w:cs="Arial" w:eastAsia="Arial" w:hAnsi="Arial"/>
                <w:sz w:val="16"/>
                <w:szCs w:val="16"/>
                <w:color w:val="auto"/>
              </w:rPr>
              <w:t>(c)</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17"/>
        </w:trPr>
        <w:tc>
          <w:tcPr>
            <w:tcW w:w="4800" w:type="dxa"/>
            <w:vAlign w:val="bottom"/>
            <w:gridSpan w:val="2"/>
          </w:tcPr>
          <w:p>
            <w:pPr>
              <w:ind w:left="280"/>
              <w:spacing w:after="0"/>
              <w:rPr>
                <w:sz w:val="20"/>
                <w:szCs w:val="20"/>
                <w:color w:val="auto"/>
              </w:rPr>
            </w:pPr>
            <w:r>
              <w:rPr>
                <w:rFonts w:ascii="Arial" w:cs="Arial" w:eastAsia="Arial" w:hAnsi="Arial"/>
                <w:sz w:val="16"/>
                <w:szCs w:val="16"/>
                <w:color w:val="auto"/>
              </w:rPr>
              <w:t>Change in value</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440" w:type="dxa"/>
            <w:vAlign w:val="bottom"/>
          </w:tcPr>
          <w:p>
            <w:pPr>
              <w:ind w:left="20"/>
              <w:spacing w:after="0"/>
              <w:rPr>
                <w:sz w:val="20"/>
                <w:szCs w:val="20"/>
                <w:color w:val="auto"/>
              </w:rPr>
            </w:pPr>
            <w:r>
              <w:rPr>
                <w:rFonts w:ascii="Arial" w:cs="Arial" w:eastAsia="Arial" w:hAnsi="Arial"/>
                <w:sz w:val="16"/>
                <w:szCs w:val="16"/>
                <w:color w:val="auto"/>
              </w:rPr>
              <w:t>(a)</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Amounts reclassified to earnings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84"/>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Balance at December 31, 2019</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440" w:type="dxa"/>
            <w:vAlign w:val="bottom"/>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4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w:t>
            </w:r>
          </w:p>
        </w:tc>
      </w:tr>
    </w:tbl>
    <w:p>
      <w:pPr>
        <w:spacing w:after="0" w:line="89" w:lineRule="exact"/>
        <w:rPr>
          <w:sz w:val="20"/>
          <w:szCs w:val="20"/>
          <w:color w:val="auto"/>
        </w:rPr>
      </w:pPr>
    </w:p>
    <w:p>
      <w:pPr>
        <w:ind w:right="660" w:firstLine="8"/>
        <w:spacing w:after="0" w:line="273" w:lineRule="auto"/>
        <w:tabs>
          <w:tab w:leader="none" w:pos="1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AOCI component is included in the computation of net periodic pension and other postretirement costs. See Note 7 of this report for additional information on pensions and other postretirement liabilities.</w:t>
      </w:r>
    </w:p>
    <w:p>
      <w:pPr>
        <w:spacing w:after="0" w:line="65"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amount represents the reclassification from AOCI to RE of the stranded tax effects resulting from the enactment of the Tax Cuts and Jobs Act (the "Tax Act").</w:t>
      </w:r>
    </w:p>
    <w:p>
      <w:pPr>
        <w:spacing w:after="0" w:line="109" w:lineRule="exact"/>
        <w:rPr>
          <w:rFonts w:ascii="Arial" w:cs="Arial" w:eastAsia="Arial" w:hAnsi="Arial"/>
          <w:sz w:val="14"/>
          <w:szCs w:val="14"/>
          <w:color w:val="auto"/>
        </w:rPr>
      </w:pPr>
    </w:p>
    <w:p>
      <w:pPr>
        <w:jc w:val="both"/>
        <w:ind w:right="140" w:firstLine="8"/>
        <w:spacing w:after="0" w:line="312" w:lineRule="auto"/>
        <w:tabs>
          <w:tab w:leader="none" w:pos="196"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These amounts represent the reclassification from AOCI to RE of the unrealized loss, and related tax, on the Company's investment in Azul Linhas Aéreas Brasileiras S.A. ("Azul") which was classified as an available-for-sale security prior to the Company adopting Accounting Standards Update No. 2016-01, Financial Instruments—Overall (Subtopic 825-10) effective January 1, 2018.</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84"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income tax provision (benefit) differed from amounts computed at the statutory federal income tax rate and consisted of the following significant components (in millions)</w:t>
      </w:r>
      <w:r>
        <w:rPr>
          <w:rFonts w:ascii="Arial" w:cs="Arial" w:eastAsia="Arial" w:hAnsi="Arial"/>
          <w:sz w:val="16"/>
          <w:szCs w:val="16"/>
          <w:b w:val="1"/>
          <w:bCs w:val="1"/>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ind w:left="40"/>
              <w:spacing w:after="0"/>
              <w:rPr>
                <w:sz w:val="20"/>
                <w:szCs w:val="20"/>
                <w:color w:val="auto"/>
              </w:rPr>
            </w:pPr>
            <w:r>
              <w:rPr>
                <w:rFonts w:ascii="Arial" w:cs="Arial" w:eastAsia="Arial" w:hAnsi="Arial"/>
                <w:sz w:val="16"/>
                <w:szCs w:val="16"/>
                <w:b w:val="1"/>
                <w:bCs w:val="1"/>
                <w:color w:val="auto"/>
              </w:rPr>
              <w:t>UAL</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2018 (a)</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 (a)</w:t>
            </w:r>
          </w:p>
        </w:tc>
      </w:tr>
      <w:tr>
        <w:trPr>
          <w:trHeight w:val="27"/>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at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income tax benefit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Global intangible low-taxed income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Nondeductible employee meals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Tax Act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State rate change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957</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r>
      <w:tr>
        <w:trPr>
          <w:trHeight w:val="20"/>
        </w:trPr>
        <w:tc>
          <w:tcPr>
            <w:tcW w:w="66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6640" w:type="dxa"/>
            <w:vAlign w:val="bottom"/>
            <w:gridSpan w:val="2"/>
          </w:tcPr>
          <w:p>
            <w:pPr>
              <w:ind w:left="40"/>
              <w:spacing w:after="0"/>
              <w:rPr>
                <w:sz w:val="20"/>
                <w:szCs w:val="20"/>
                <w:color w:val="auto"/>
              </w:rPr>
            </w:pPr>
            <w:r>
              <w:rPr>
                <w:rFonts w:ascii="Arial" w:cs="Arial" w:eastAsia="Arial" w:hAnsi="Arial"/>
                <w:sz w:val="16"/>
                <w:szCs w:val="16"/>
                <w:b w:val="1"/>
                <w:bCs w:val="1"/>
                <w:color w:val="auto"/>
              </w:rPr>
              <w:t>United</w:t>
            </w: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2018 (a)</w:t>
            </w:r>
          </w:p>
        </w:tc>
        <w:tc>
          <w:tcPr>
            <w:tcW w:w="2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 (a)</w:t>
            </w:r>
          </w:p>
        </w:tc>
      </w:tr>
      <w:tr>
        <w:trPr>
          <w:trHeight w:val="27"/>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at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income tax</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Global intangible low-taxed income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Nondeductible employee meals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Tax Act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State rate change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941</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6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0</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(a) 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of this report for additional information on the adjustments.</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effective tax rate for the year ended December 31, 2019 differed from the federal statutory rate of 21% due to a blend of federal, state and foreign taxes as well as the impact of certain nondeductible items.</w:t>
      </w:r>
    </w:p>
    <w:p>
      <w:pPr>
        <w:spacing w:after="0" w:line="3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December 22, 2017, Congress enacted the Tax Act, which made significant changes to U.S. federal income tax laws, including reducing the corporate rate from 35% to 21% effective January 1, 2018. The Tax Act included a Global Intangible Low-Taxed Income ("GILTI") provision which introduced a new tax on foreign income in excess of a deemed return on tangible business property of foreign subsidiaries. The GILTI provisions of the Tax Act became effective for the Company during 2018 and we elected to account for it in the period incurred (the "period cost method"). The increase in the GILTI for the year ended December 31, 2019 is due to a full-year inclusion in 2019 as compared to a partial-year inclusion in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84"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 did not satisfy the minimum taxable income requirement to benefit from the 50% GILTI deduction provided by the Tax Act.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Temporary differences and carryforwards that give rise to deferred tax assets and liabilities at December 31, 2019 and 2018 were as follows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UAL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United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9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6960" w:type="dxa"/>
            <w:vAlign w:val="bottom"/>
            <w:vMerge w:val="restart"/>
          </w:tcPr>
          <w:p>
            <w:pPr>
              <w:ind w:left="40"/>
              <w:spacing w:after="0"/>
              <w:rPr>
                <w:sz w:val="20"/>
                <w:szCs w:val="20"/>
                <w:color w:val="auto"/>
              </w:rPr>
            </w:pPr>
            <w:r>
              <w:rPr>
                <w:rFonts w:ascii="Arial" w:cs="Arial" w:eastAsia="Arial" w:hAnsi="Arial"/>
                <w:sz w:val="18"/>
                <w:szCs w:val="18"/>
                <w:color w:val="auto"/>
              </w:rPr>
              <w:t>Deferred income tax asset (liability):</w:t>
            </w: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state net operating loss ("NOL") carryforwards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including pension, postretirement and medical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696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67"/>
        </w:trPr>
        <w:tc>
          <w:tcPr>
            <w:tcW w:w="69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United and its domestic consolidated subsidiaries file a consolidated federal income tax return with UAL. Under an intercompany tax allocation policy, United and its subsidiaries compute, record and pay UAL for their own tax liability as if they were separate companies filing separate returns. In determining their own tax liabilities, United and each of its subsidiaries take into account all tax credits or benefits generated and utilized as separate companies and they are each compensated for the aforementioned tax benefits only if they would be able to use those benefits on a separate company basis.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federal and state NOL carryforwards relate to prior years' NOLs, which may be used to reduce tax liabilities in future years. These tax benefits are mostly attributable to federal pre-tax NOL carryforwards of $3.0 billion for UAL. If not utilized these federal pre-tax NOLs will expire as follows (in billions): $0.7 billion in 2030, $0.5 billion in 2033, and $0.5 billion in 2034. The remaining $1.3 billion of NOLs has no expiration date. In addition, for UAL the majority of tax benefits of the state NOLs of $100 million expire over a five to twenty year period. We have recorded a $45 million valuation allowance against these state NOLs.</w:t>
      </w:r>
    </w:p>
    <w:p>
      <w:pPr>
        <w:spacing w:after="0" w:line="2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unrecognized tax benefits related to uncertain tax positions were $53 million, $39 million and $21 million at December 31, 2019, 2018 and 2017, respectively. Included in the ending balance at December 31, 2019 is $53 million that would affect the Company's effective tax rate if recognized. The changes in unrecognized tax benefits relating to settlements with taxing authorities, unrecognized tax benefits as a result of tax positions taken during a prior period and unrecognized tax benefits relating from a lapse of the statute of limitations were immaterial during 2019, 2018 and 2017. The Company does not expect significant increases or decreases in their unrecognized tax benefits within the next 12 months. There are no material amounts included in the balance at December 31, 2019 for tax positions for which the ultimate deductibility is highly certain but for which there is uncertainty about the timing of such deductibility.</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federal income tax returns for tax years after 2002 remain subject to examination by the Internal Revenue Service (the "IRS") and state taxing jurisdictions. We are currently under audit by the IRS for the 2016 and 2017 tax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84" w:right="25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PENSION AND OTHER POSTRETIREMENT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significant pension and other postretirement plans of United:</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Pension Plans. </w:t>
      </w:r>
      <w:r>
        <w:rPr>
          <w:rFonts w:ascii="Arial" w:cs="Arial" w:eastAsia="Arial" w:hAnsi="Arial"/>
          <w:sz w:val="18"/>
          <w:szCs w:val="18"/>
          <w:color w:val="auto"/>
        </w:rPr>
        <w:t>United maintains two primary defined benefit pension plans, one covering certain pilot employees and another covering certain U.S. non-pilot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Each of these plans provide benefits based on a combination of years of benefit accruals service and an employee's final average compensation. Additional benefit accruals are frozen under the plan covering certain pilot employees and for management and administrative employees covered under the non-pilot plan. Benefit accruals for certain non-pilot employees continue. United maintains additional defined benefit pension plans, which cover certain international employees.</w:t>
      </w:r>
    </w:p>
    <w:p>
      <w:pPr>
        <w:spacing w:after="0" w:line="21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Other Postretirement Plans. </w:t>
      </w:r>
      <w:r>
        <w:rPr>
          <w:rFonts w:ascii="Arial" w:cs="Arial" w:eastAsia="Arial" w:hAnsi="Arial"/>
          <w:sz w:val="17"/>
          <w:szCs w:val="17"/>
          <w:color w:val="auto"/>
        </w:rPr>
        <w:t>United maintains postretirement medical programs which provide medical benefits to certain retirees and eligible dependents,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life insurance benefits to certain retirees participating in the plan. Benefits provided are subject to applicable contributions, co-payments, deductibles and other limits as described in the specific plan documentation. During 2019, United notified participants of a refresh to the plan options offered under its retiree medical benefit program. Non-HMO (health maintenance organization) medical plan options for post-Medicare retirees were converted to fully-insured Medicare Advantage plans. The plan design changes impacted all current and future eligible post-Medicare retirees, through updates in plan design and/or premium rate/contribution setting refinements. Benefit levels were not reduced as a result of this change, and in many cases the refresh resulted in reduced retiree contributions. As a result of this modification to its retiree medical plan options, the Company remeasured retiree medical benefit program liabilities using a discount rate of 3.39%. The projected benefit obligation of the retiree medical benefit program decreased by $421 million with an offset to Accumulated other comprehensive loss ($597 million in prior service credits related to the plan changes, partially offset by $176 million in actuarial losses related to the remeasurement), which will be amortized over the average years of future service to full eligibility for the participants in the retiree medical benefit program (approximately seven years).</w:t>
      </w:r>
    </w:p>
    <w:p>
      <w:pPr>
        <w:spacing w:after="0" w:line="21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Actuarial assumption changes are reflected as a component of the net actuarial (gain)/loss during 2019 and 2018. The 2019 actuarial losses were mainly related to a decrease in the discount rate applied at December 31, 2019 compared to December 31, 2018. Actuarial gains/losses will be amortized over the average remaining service life of the covered active employees or the average life expectancy of inactive participants.</w:t>
      </w:r>
    </w:p>
    <w:p>
      <w:pPr>
        <w:spacing w:after="0" w:line="1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tables set forth the reconciliation of the beginning and ending balances of the benefit obligation and plan assets, the funded status and the amounts recognized in these financial statements for the defined benefit and other postretirement plans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Pension Benefits</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2019</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benefits paid and 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Actual (loss) return on plan assets</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Gross benefits paid and settlements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51"/>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status—Net amount recognized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84" w:right="25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184" w:right="25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76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Pension Benefits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gridSpan w:val="2"/>
            <w:vMerge w:val="restart"/>
          </w:tcPr>
          <w:p>
            <w:pPr>
              <w:ind w:left="20"/>
              <w:spacing w:after="0"/>
              <w:rPr>
                <w:sz w:val="20"/>
                <w:szCs w:val="20"/>
                <w:color w:val="auto"/>
              </w:rPr>
            </w:pPr>
            <w:r>
              <w:rPr>
                <w:rFonts w:ascii="Arial" w:cs="Arial" w:eastAsia="Arial" w:hAnsi="Arial"/>
                <w:sz w:val="18"/>
                <w:szCs w:val="18"/>
                <w:color w:val="auto"/>
              </w:rPr>
              <w:t>Amounts recognized in the consolidated balance sheets consist of:</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Current liability</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liability</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Total liability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gridSpan w:val="2"/>
            <w:vMerge w:val="restart"/>
          </w:tcPr>
          <w:p>
            <w:pPr>
              <w:ind w:left="20"/>
              <w:spacing w:after="0"/>
              <w:rPr>
                <w:sz w:val="20"/>
                <w:szCs w:val="20"/>
                <w:color w:val="auto"/>
              </w:rPr>
            </w:pPr>
            <w:r>
              <w:rPr>
                <w:rFonts w:ascii="Arial" w:cs="Arial" w:eastAsia="Arial" w:hAnsi="Arial"/>
                <w:sz w:val="18"/>
                <w:szCs w:val="18"/>
                <w:color w:val="auto"/>
              </w:rPr>
              <w:t>Amounts recognized in accumulated other comprehensive loss consist of:</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gridSpan w:val="3"/>
          </w:tcPr>
          <w:p>
            <w:pPr>
              <w:ind w:left="380"/>
              <w:spacing w:after="0"/>
              <w:rPr>
                <w:sz w:val="20"/>
                <w:szCs w:val="20"/>
                <w:color w:val="auto"/>
              </w:rPr>
            </w:pPr>
            <w:r>
              <w:rPr>
                <w:rFonts w:ascii="Arial" w:cs="Arial" w:eastAsia="Arial" w:hAnsi="Arial"/>
                <w:sz w:val="18"/>
                <w:szCs w:val="18"/>
                <w:b w:val="1"/>
                <w:bCs w:val="1"/>
                <w:color w:val="auto"/>
                <w:w w:val="93"/>
              </w:rPr>
              <w:t>Other Postretirement Benefits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4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Year Ended December</w:t>
            </w: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Year Ended December</w:t>
            </w: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31, 2019</w:t>
            </w:r>
          </w:p>
        </w:tc>
        <w:tc>
          <w:tcPr>
            <w:tcW w:w="12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Arial" w:cs="Arial" w:eastAsia="Arial" w:hAnsi="Arial"/>
                <w:sz w:val="18"/>
                <w:szCs w:val="18"/>
                <w:b w:val="1"/>
                <w:bCs w:val="1"/>
                <w:color w:val="auto"/>
                <w:w w:val="88"/>
              </w:rPr>
              <w:t>31, 2018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rPr>
              <w:t>Change in benefit obligation:</w:t>
            </w: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Actuarial loss (gain)</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amendments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at end of year</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rPr>
              <w:t>Change in plan assets:</w:t>
            </w: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status—Net amount recognized</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(1,338)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rPr>
              <w:t>Amounts recognized in the consolidated balance sheets consist of:</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Noncurrent liability</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rPr>
              <w:t>Amounts recognized in accumulated other comprehensive income consist of:</w:t>
            </w: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72"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relates to all pension plans with an accumulated benefit obligation and a projected benefit obligation in excess of plan assets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2018</w:t>
            </w:r>
          </w:p>
        </w:tc>
      </w:tr>
      <w:tr>
        <w:trPr>
          <w:trHeight w:val="33"/>
        </w:trPr>
        <w:tc>
          <w:tcPr>
            <w:tcW w:w="76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5,196</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4,286</w:t>
            </w:r>
          </w:p>
        </w:tc>
      </w:tr>
      <w:tr>
        <w:trPr>
          <w:trHeight w:val="27"/>
        </w:trPr>
        <w:tc>
          <w:tcPr>
            <w:tcW w:w="7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2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3,614</w:t>
            </w:r>
          </w:p>
        </w:tc>
      </w:tr>
      <w:tr>
        <w:trPr>
          <w:trHeight w:val="27"/>
        </w:trPr>
        <w:tc>
          <w:tcPr>
            <w:tcW w:w="7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for the years ended December 31 included the following components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gridSpan w:val="4"/>
          </w:tcPr>
          <w:p>
            <w:pPr>
              <w:jc w:val="right"/>
              <w:ind w:right="995"/>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4"/>
          </w:tcPr>
          <w:p>
            <w:pPr>
              <w:jc w:val="right"/>
              <w:ind w:right="975"/>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4"/>
          </w:tcPr>
          <w:p>
            <w:pPr>
              <w:jc w:val="right"/>
              <w:ind w:right="955"/>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Pension Benefits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Pension Benefits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Pension Benefits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color w:val="auto"/>
              </w:rPr>
              <w:t>Amortization of unrecognized actuarial (gain)</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loss</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 (credit)</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Service cost is recorded in Salaries and related costs on the statement of consolidated operations. All other components of net periodic benefit costs are recorded in Miscellaneous, net on the statement of consolidated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The assumptions used for the benefit plans were as follows: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9"/>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Pension Benefits</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obligations</w:t>
            </w:r>
          </w:p>
        </w:tc>
        <w:tc>
          <w:tcPr>
            <w:tcW w:w="15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149"/>
        </w:trPr>
        <w:tc>
          <w:tcPr>
            <w:tcW w:w="8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expense</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8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50 basis points decrease in the weighted average discount rate would have increased the Company's December 31, 2019 pension benefit liability by approximately $0.7 billion and increased the estimated 2019 pension benefit expense by approximately $69 million.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Other Postretirement Benefits</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obligations</w:t>
            </w:r>
          </w:p>
        </w:tc>
        <w:tc>
          <w:tcPr>
            <w:tcW w:w="15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324"/>
        </w:trPr>
        <w:tc>
          <w:tcPr>
            <w:tcW w:w="8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expense</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(ultimate trend rate in 2033)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3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50 basis points decrease in the weighted average discount rate would have increased the Company's December 31, 2019 postretirement benefit liability by approximately $42 million and increased the estimated 2019 benefits expense by approximately $4 million.</w:t>
      </w:r>
    </w:p>
    <w:p>
      <w:pPr>
        <w:sectPr>
          <w:pgSz w:w="11900" w:h="16838" w:orient="portrait"/>
          <w:cols w:equalWidth="0" w:num="1">
            <w:col w:w="11420"/>
          </w:cols>
          <w:pgMar w:left="240" w:top="184"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84" w:right="23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used the Society of Actuaries' PRI-2012 Private Retirement Plans Mortality Tables projected generationally using the Society of Actuaries' MP-2019 projection scale, modified to reflect the Social Security Administration Trustee's Report on current projections regarding expected longevity improvements.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selected the 2019 discount rate for substantially all of its plans by using a hypothetical portfolio of high-quality bonds at December 31, 2019, that would provide the necessary cash flows to match projected benefit payments.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develop our expected long-term rate of return assumption for our defined benefit plans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 The plans strive to have assets sufficiently diversified so that adverse or unexpected results from one security class will not have an unduly detrimental impact on the entire portfolio. Plan fiduciaries regularly review our actual asset allocation and the pension plans' investments are periodically rebalanced to our targeted allocation when considered appropriate. United's plan assets are allocated within the following guidelines: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right"/>
              <w:ind w:right="230"/>
              <w:spacing w:after="0"/>
              <w:rPr>
                <w:sz w:val="20"/>
                <w:szCs w:val="20"/>
                <w:color w:val="auto"/>
              </w:rPr>
            </w:pPr>
            <w:r>
              <w:rPr>
                <w:rFonts w:ascii="Arial" w:cs="Arial" w:eastAsia="Arial" w:hAnsi="Arial"/>
                <w:sz w:val="18"/>
                <w:szCs w:val="18"/>
                <w:b w:val="1"/>
                <w:bCs w:val="1"/>
                <w:color w:val="auto"/>
              </w:rPr>
              <w:t>Expected Long-Term</w:t>
            </w:r>
          </w:p>
        </w:tc>
      </w:tr>
      <w:tr>
        <w:trPr>
          <w:trHeight w:val="234"/>
        </w:trPr>
        <w:tc>
          <w:tcPr>
            <w:tcW w:w="708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Percent of Total</w:t>
            </w:r>
          </w:p>
        </w:tc>
        <w:tc>
          <w:tcPr>
            <w:tcW w:w="2260" w:type="dxa"/>
            <w:vAlign w:val="bottom"/>
          </w:tcPr>
          <w:p>
            <w:pPr>
              <w:jc w:val="right"/>
              <w:ind w:right="470"/>
              <w:spacing w:after="0"/>
              <w:rPr>
                <w:sz w:val="20"/>
                <w:szCs w:val="20"/>
                <w:color w:val="auto"/>
              </w:rPr>
            </w:pPr>
            <w:r>
              <w:rPr>
                <w:rFonts w:ascii="Arial" w:cs="Arial" w:eastAsia="Arial" w:hAnsi="Arial"/>
                <w:sz w:val="18"/>
                <w:szCs w:val="18"/>
                <w:b w:val="1"/>
                <w:bCs w:val="1"/>
                <w:color w:val="auto"/>
              </w:rPr>
              <w:t>Rate of Return</w:t>
            </w:r>
          </w:p>
        </w:tc>
      </w:tr>
      <w:tr>
        <w:trPr>
          <w:trHeight w:val="27"/>
        </w:trPr>
        <w:tc>
          <w:tcPr>
            <w:tcW w:w="70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4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30-45 %</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10 %</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1400" w:type="dxa"/>
            <w:vAlign w:val="bottom"/>
          </w:tcPr>
          <w:p>
            <w:pPr>
              <w:ind w:left="540"/>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21"/>
                <w:szCs w:val="21"/>
                <w:color w:val="auto"/>
              </w:rPr>
            </w:pPr>
          </w:p>
        </w:tc>
        <w:tc>
          <w:tcPr>
            <w:tcW w:w="2260" w:type="dxa"/>
            <w:vAlign w:val="bottom"/>
          </w:tcPr>
          <w:p>
            <w:pPr>
              <w:jc w:val="right"/>
              <w:ind w:right="470"/>
              <w:spacing w:after="0"/>
              <w:rPr>
                <w:sz w:val="20"/>
                <w:szCs w:val="20"/>
                <w:color w:val="auto"/>
              </w:rPr>
            </w:pPr>
            <w:r>
              <w:rPr>
                <w:rFonts w:ascii="Arial" w:cs="Arial" w:eastAsia="Arial" w:hAnsi="Arial"/>
                <w:sz w:val="18"/>
                <w:szCs w:val="18"/>
                <w:color w:val="auto"/>
              </w:rPr>
              <w:t>5</w:t>
            </w:r>
          </w:p>
        </w:tc>
      </w:tr>
      <w:tr>
        <w:trPr>
          <w:trHeight w:val="27"/>
        </w:trPr>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Alternatives</w:t>
            </w:r>
          </w:p>
        </w:tc>
        <w:tc>
          <w:tcPr>
            <w:tcW w:w="1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50 basis points decrease in the expected long-term rate of return on plan assets would have increased estimated 2019 pension expense by approximately $20 million.</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Fair Value Information. </w:t>
      </w:r>
      <w:r>
        <w:rPr>
          <w:rFonts w:ascii="Arial" w:cs="Arial" w:eastAsia="Arial" w:hAnsi="Arial"/>
          <w:sz w:val="18"/>
          <w:szCs w:val="18"/>
          <w:color w:val="auto"/>
        </w:rPr>
        <w:t>Accounting standards require us to use valuation techniques to measure fair value that maximize the use of observable inputs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the use of unobservable inputs. These inputs are prioritized as follows:</w:t>
      </w:r>
    </w:p>
    <w:p>
      <w:pPr>
        <w:spacing w:after="0" w:line="116" w:lineRule="exact"/>
        <w:rPr>
          <w:sz w:val="20"/>
          <w:szCs w:val="20"/>
          <w:color w:val="auto"/>
        </w:rPr>
      </w:pPr>
    </w:p>
    <w:p>
      <w:pPr>
        <w:ind w:left="760" w:right="3060" w:hanging="728"/>
        <w:spacing w:after="0" w:line="277" w:lineRule="auto"/>
        <w:tabs>
          <w:tab w:leader="none" w:pos="740" w:val="left"/>
        </w:tabs>
        <w:rPr>
          <w:sz w:val="20"/>
          <w:szCs w:val="20"/>
          <w:color w:val="auto"/>
        </w:rPr>
      </w:pPr>
      <w:r>
        <w:rPr>
          <w:rFonts w:ascii="Arial" w:cs="Arial" w:eastAsia="Arial" w:hAnsi="Arial"/>
          <w:sz w:val="18"/>
          <w:szCs w:val="18"/>
          <w:color w:val="auto"/>
        </w:rPr>
        <w:t>Level 1</w:t>
        <w:tab/>
        <w:t>Unadjusted quoted prices in active markets for assets or liabilities identical to those to be reported at fair value</w:t>
      </w:r>
    </w:p>
    <w:p>
      <w:pPr>
        <w:spacing w:after="0" w:line="8" w:lineRule="exact"/>
        <w:rPr>
          <w:sz w:val="20"/>
          <w:szCs w:val="20"/>
          <w:color w:val="auto"/>
        </w:rPr>
      </w:pPr>
    </w:p>
    <w:p>
      <w:pPr>
        <w:ind w:left="800" w:right="2740" w:hanging="755"/>
        <w:spacing w:after="0" w:line="277" w:lineRule="auto"/>
        <w:tabs>
          <w:tab w:leader="none" w:pos="780" w:val="left"/>
        </w:tabs>
        <w:rPr>
          <w:sz w:val="20"/>
          <w:szCs w:val="20"/>
          <w:color w:val="auto"/>
        </w:rPr>
      </w:pPr>
      <w:r>
        <w:rPr>
          <w:rFonts w:ascii="Arial" w:cs="Arial" w:eastAsia="Arial" w:hAnsi="Arial"/>
          <w:sz w:val="18"/>
          <w:szCs w:val="18"/>
          <w:color w:val="auto"/>
        </w:rPr>
        <w:t>Level 2</w:t>
        <w:tab/>
        <w:t>Other inputs that are observable directly or indirectly, such as quoted prices for similar assets or liabilities or market-corroborated inputs</w:t>
      </w:r>
    </w:p>
    <w:p>
      <w:pPr>
        <w:spacing w:after="0" w:line="8" w:lineRule="exact"/>
        <w:rPr>
          <w:sz w:val="20"/>
          <w:szCs w:val="20"/>
          <w:color w:val="auto"/>
        </w:rPr>
      </w:pPr>
    </w:p>
    <w:p>
      <w:pPr>
        <w:ind w:left="800" w:right="3080" w:hanging="755"/>
        <w:spacing w:after="0" w:line="308" w:lineRule="auto"/>
        <w:tabs>
          <w:tab w:leader="none" w:pos="7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for which there is little or no market data and which require us to develop our own assumptions about how market participants would price the assets or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measured at fair value are based on the valuation techniques identified in the tables below. The valuation techniques are as follows:</w:t>
      </w:r>
    </w:p>
    <w:p>
      <w:pPr>
        <w:spacing w:after="0" w:line="248"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Prices and other relevant information generated by market transactions involving identical or comparable assets and liabilities; and</w:t>
      </w:r>
    </w:p>
    <w:p>
      <w:pPr>
        <w:spacing w:after="0" w:line="248" w:lineRule="exact"/>
        <w:rPr>
          <w:rFonts w:ascii="Arial" w:cs="Arial" w:eastAsia="Arial" w:hAnsi="Arial"/>
          <w:sz w:val="16"/>
          <w:szCs w:val="16"/>
          <w:color w:val="auto"/>
        </w:rPr>
      </w:pPr>
    </w:p>
    <w:p>
      <w:pPr>
        <w:ind w:right="42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Techniques to convert future amounts to a single current value based on market expectations (including present value techniques,</w:t>
      </w:r>
      <w:r>
        <w:rPr>
          <w:rFonts w:ascii="Arial" w:cs="Arial" w:eastAsia="Arial" w:hAnsi="Arial"/>
          <w:sz w:val="18"/>
          <w:szCs w:val="18"/>
          <w:i w:val="1"/>
          <w:iCs w:val="1"/>
          <w:color w:val="auto"/>
        </w:rPr>
        <w:t xml:space="preserve"> </w:t>
      </w:r>
      <w:r>
        <w:rPr>
          <w:rFonts w:ascii="Arial" w:cs="Arial" w:eastAsia="Arial" w:hAnsi="Arial"/>
          <w:sz w:val="18"/>
          <w:szCs w:val="18"/>
          <w:color w:val="auto"/>
        </w:rPr>
        <w:t>option-pricing and excess earnings models).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about United's pension and other postretirement plan assets at December 31, (in millions):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184"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20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83"/>
              </w:rPr>
              <w:t>Assets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Measured at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Measured at</w:t>
            </w:r>
          </w:p>
        </w:tc>
        <w:tc>
          <w:tcPr>
            <w:tcW w:w="0" w:type="dxa"/>
            <w:vAlign w:val="bottom"/>
          </w:tcPr>
          <w:p>
            <w:pPr>
              <w:spacing w:after="0"/>
              <w:rPr>
                <w:sz w:val="1"/>
                <w:szCs w:val="1"/>
                <w:color w:val="auto"/>
              </w:rPr>
            </w:pPr>
          </w:p>
        </w:tc>
      </w:tr>
      <w:tr>
        <w:trPr>
          <w:trHeight w:val="21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Pension Plan Assets:</w:t>
            </w:r>
          </w:p>
        </w:tc>
        <w:tc>
          <w:tcPr>
            <w:tcW w:w="1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NAV(a)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NAV(a)</w:t>
            </w:r>
          </w:p>
        </w:tc>
        <w:tc>
          <w:tcPr>
            <w:tcW w:w="0" w:type="dxa"/>
            <w:vAlign w:val="bottom"/>
          </w:tcPr>
          <w:p>
            <w:pPr>
              <w:spacing w:after="0"/>
              <w:rPr>
                <w:sz w:val="1"/>
                <w:szCs w:val="1"/>
                <w:color w:val="auto"/>
              </w:rPr>
            </w:pP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Equity securities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1,457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37"/>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Fixed-income securities</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37"/>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0"/>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w w:val="99"/>
              </w:rPr>
              <w:t>Other Postretirement Benefit</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Plan Assets: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w w:val="97"/>
              </w:rPr>
              <w:t>Deposit administration fund</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0</wp:posOffset>
            </wp:positionV>
            <wp:extent cx="5925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ind w:right="40" w:firstLine="8"/>
        <w:spacing w:after="0" w:line="253" w:lineRule="auto"/>
        <w:tabs>
          <w:tab w:leader="none" w:pos="1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accordance with the relevant accounting standards, certain investments that are measured at fair value using the net asset value ("NAV") per share (or its equivalent) have not been classified in the fair value hierarchy. These investments are commingled funds that invest in fixed-income instruments including bonds, debt securities, and other similar instruments issued by various U.S. and non-U.S. public- or private-sector entities. Redemption periods for these investments range from daily to semiannually.</w:t>
      </w:r>
    </w:p>
    <w:p>
      <w:pPr>
        <w:spacing w:after="0" w:line="1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Equity and Fixed-Income. </w:t>
      </w:r>
      <w:r>
        <w:rPr>
          <w:rFonts w:ascii="Arial" w:cs="Arial" w:eastAsia="Arial" w:hAnsi="Arial"/>
          <w:sz w:val="18"/>
          <w:szCs w:val="18"/>
          <w:color w:val="auto"/>
        </w:rPr>
        <w:t>Equities include investments in both developed market and emerging market equity securities. Fixed-income includes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non-U.S. government fixed-income securities and U.S. and non-U.S. corporate fixed-income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Deposit Administration Fund. </w:t>
      </w:r>
      <w:r>
        <w:rPr>
          <w:rFonts w:ascii="Arial" w:cs="Arial" w:eastAsia="Arial" w:hAnsi="Arial"/>
          <w:sz w:val="18"/>
          <w:szCs w:val="18"/>
          <w:color w:val="auto"/>
        </w:rPr>
        <w:t>This investment is a stable value investment product structured to provide investment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Alternatives. </w:t>
      </w:r>
      <w:r>
        <w:rPr>
          <w:rFonts w:ascii="Arial" w:cs="Arial" w:eastAsia="Arial" w:hAnsi="Arial"/>
          <w:sz w:val="18"/>
          <w:szCs w:val="18"/>
          <w:color w:val="auto"/>
        </w:rPr>
        <w:t>Alternative investments consist primarily of investments in hedge funds, real estate and private equity interests.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consist of primarily cash, as well as insurance contracts.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reconciliation of United's benefit plan assets measured at fair value using unobservable inputs (Level 3) for the years ended December 31, 2019 and 2018 is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0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Actual return (loss) on plan assets: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Sold during the year</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Held at year end</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sales, issuances and settlements (net)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350</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Funding requirements for tax-qualified defined benefit pension plans are determined by government regulations. United's contributions reflected above have satisfied its required contributions through the 2019 calendar year. In 2020, employer anticipated contributions to all of United's pension and postretirement plans are at least $314 million and approximately $47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benefit payments, net of expected participant contributions, in United's pension plans and other postretirement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are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Pension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8"/>
              </w:rPr>
              <w:t>Other Postretirement</w:t>
            </w: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Years 2025 – 2029</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2,219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w:t>
            </w:r>
          </w:p>
        </w:tc>
      </w:tr>
    </w:tbl>
    <w:p>
      <w:pPr>
        <w:spacing w:after="0" w:line="200" w:lineRule="exact"/>
        <w:rPr>
          <w:sz w:val="20"/>
          <w:szCs w:val="20"/>
          <w:color w:val="auto"/>
        </w:rPr>
      </w:pPr>
    </w:p>
    <w:p>
      <w:pPr>
        <w:sectPr>
          <w:pgSz w:w="11900" w:h="16838" w:orient="portrait"/>
          <w:cols w:equalWidth="0" w:num="1">
            <w:col w:w="11420"/>
          </w:cols>
          <w:pgMar w:left="240" w:top="17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72"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color w:val="auto"/>
        </w:rPr>
        <w:t>Depending upon the employee group, employer contributions consist of matching contributions and/or non-elective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United's employer contribution percentages vary from 1% to 16% of eligible earnings depending on the terms of each plan. United recorded expenses for its defined contribution plans of $735 million, $693 million and $656 million in the years ended December 31, 2019, 2018 and 2017, respectively.</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Multi-Employer Plans. </w:t>
      </w:r>
      <w:r>
        <w:rPr>
          <w:rFonts w:ascii="Arial" w:cs="Arial" w:eastAsia="Arial" w:hAnsi="Arial"/>
          <w:sz w:val="17"/>
          <w:szCs w:val="17"/>
          <w:color w:val="auto"/>
        </w:rPr>
        <w:t>United's participation in the IAM National Pension Plan ("IAM Plan") for the annual period ended December 31, 2019 is outlined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table below. Except as described in table below, there have been no other changes that affect the comparability of 2019 and 2018 contributions. The risks of participating in these multi-employer plans are different from single-employer plans, as United may be subject to additional risks that others do not meet their obligations, which in certain circumstances could revert to United. The IAM Plan reported $467 million in employers' contributions for the year ended December 31, 2018. For 2018, the Company's contributions to the IAM Plan represented more than 5% of total contributions to the IAM Plan. The 2019 information is not available as Form 5500 is not final for the plan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IAM National Pension Fund</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EIN/ Pension Plan Number</w:t>
            </w:r>
          </w:p>
        </w:tc>
        <w:tc>
          <w:tcPr>
            <w:tcW w:w="6840" w:type="dxa"/>
            <w:vAlign w:val="bottom"/>
          </w:tcPr>
          <w:p>
            <w:pPr>
              <w:ind w:left="640"/>
              <w:spacing w:after="0"/>
              <w:rPr>
                <w:sz w:val="20"/>
                <w:szCs w:val="20"/>
                <w:color w:val="auto"/>
              </w:rPr>
            </w:pPr>
            <w:r>
              <w:rPr>
                <w:rFonts w:ascii="Arial" w:cs="Arial" w:eastAsia="Arial" w:hAnsi="Arial"/>
                <w:sz w:val="18"/>
                <w:szCs w:val="18"/>
                <w:color w:val="auto"/>
              </w:rPr>
              <w:t>51-6031295 - 002</w:t>
            </w:r>
          </w:p>
        </w:tc>
      </w:tr>
      <w:tr>
        <w:trPr>
          <w:trHeight w:val="27"/>
        </w:trPr>
        <w:tc>
          <w:tcPr>
            <w:tcW w:w="448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29"/>
        </w:trPr>
        <w:tc>
          <w:tcPr>
            <w:tcW w:w="4480" w:type="dxa"/>
            <w:vAlign w:val="bottom"/>
            <w:shd w:val="clear" w:color="auto" w:fill="CCEEFF"/>
          </w:tcPr>
          <w:p>
            <w:pPr>
              <w:spacing w:after="0"/>
              <w:rPr>
                <w:sz w:val="19"/>
                <w:szCs w:val="19"/>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Red Zone (2019) and Green Zone (2018). Plans in the Green Zone are at least 80</w:t>
            </w:r>
          </w:p>
        </w:tc>
      </w:tr>
      <w:tr>
        <w:trPr>
          <w:trHeight w:val="216"/>
        </w:trPr>
        <w:tc>
          <w:tcPr>
            <w:tcW w:w="4480" w:type="dxa"/>
            <w:vAlign w:val="bottom"/>
            <w:shd w:val="clear" w:color="auto" w:fill="CCEEFF"/>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percent funded. Plans in the Red Zone are less than 65% funded. The IAM National</w:t>
            </w:r>
          </w:p>
        </w:tc>
      </w:tr>
      <w:tr>
        <w:trPr>
          <w:trHeight w:val="216"/>
        </w:trPr>
        <w:tc>
          <w:tcPr>
            <w:tcW w:w="4480" w:type="dxa"/>
            <w:vAlign w:val="bottom"/>
            <w:shd w:val="clear" w:color="auto" w:fill="CCEEFF"/>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Pension Fund Board of Trustees voluntarily elected to place the fund in the Red Zone</w:t>
            </w:r>
          </w:p>
        </w:tc>
      </w:tr>
      <w:tr>
        <w:trPr>
          <w:trHeight w:val="216"/>
        </w:trPr>
        <w:tc>
          <w:tcPr>
            <w:tcW w:w="4480" w:type="dxa"/>
            <w:vAlign w:val="bottom"/>
            <w:shd w:val="clear" w:color="auto" w:fill="CCEEFF"/>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for 2019, although the fund was over 80% funded at the time, to protect the fund's</w:t>
            </w:r>
          </w:p>
        </w:tc>
      </w:tr>
      <w:tr>
        <w:trPr>
          <w:trHeight w:val="216"/>
        </w:trPr>
        <w:tc>
          <w:tcPr>
            <w:tcW w:w="4480" w:type="dxa"/>
            <w:vAlign w:val="bottom"/>
            <w:shd w:val="clear" w:color="auto" w:fill="CCEEFF"/>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participants' core retirement benefits and strengthen the fund's financial health over</w:t>
            </w: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Protection Act Zone Status (2019 and 2018)</w:t>
            </w: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the long term.</w:t>
            </w:r>
          </w:p>
        </w:tc>
      </w:tr>
      <w:tr>
        <w:trPr>
          <w:trHeight w:val="229"/>
        </w:trPr>
        <w:tc>
          <w:tcPr>
            <w:tcW w:w="4480" w:type="dxa"/>
            <w:vAlign w:val="bottom"/>
          </w:tcPr>
          <w:p>
            <w:pPr>
              <w:spacing w:after="0"/>
              <w:rPr>
                <w:sz w:val="19"/>
                <w:szCs w:val="19"/>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w w:val="94"/>
              </w:rPr>
              <w:t>A 10-year Rehabilitation Plan effective, January 1, 2022, was adopted on April 17,</w:t>
            </w:r>
          </w:p>
        </w:tc>
      </w:tr>
      <w:tr>
        <w:trPr>
          <w:trHeight w:val="216"/>
        </w:trPr>
        <w:tc>
          <w:tcPr>
            <w:tcW w:w="448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w w:val="95"/>
              </w:rPr>
              <w:t>2019 that requires the Company to make an additional contribution of 2.5% of the</w:t>
            </w:r>
          </w:p>
        </w:tc>
      </w:tr>
      <w:tr>
        <w:trPr>
          <w:trHeight w:val="216"/>
        </w:trPr>
        <w:tc>
          <w:tcPr>
            <w:tcW w:w="448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w w:val="96"/>
              </w:rPr>
              <w:t>hourly contribution rate, compounded annually for the length of the Rehabilitation</w:t>
            </w: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FIP/RP Status Pending/Implemented</w:t>
            </w:r>
          </w:p>
        </w:tc>
        <w:tc>
          <w:tcPr>
            <w:tcW w:w="6840" w:type="dxa"/>
            <w:vAlign w:val="bottom"/>
          </w:tcPr>
          <w:p>
            <w:pPr>
              <w:ind w:left="640"/>
              <w:spacing w:after="0"/>
              <w:rPr>
                <w:sz w:val="20"/>
                <w:szCs w:val="20"/>
                <w:color w:val="auto"/>
              </w:rPr>
            </w:pPr>
            <w:r>
              <w:rPr>
                <w:rFonts w:ascii="Arial" w:cs="Arial" w:eastAsia="Arial" w:hAnsi="Arial"/>
                <w:sz w:val="18"/>
                <w:szCs w:val="18"/>
                <w:color w:val="auto"/>
              </w:rPr>
              <w:t>Plan, effective June 1, 2019.</w:t>
            </w:r>
          </w:p>
        </w:tc>
      </w:tr>
      <w:tr>
        <w:trPr>
          <w:trHeight w:val="27"/>
        </w:trPr>
        <w:tc>
          <w:tcPr>
            <w:tcW w:w="448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29"/>
        </w:trPr>
        <w:tc>
          <w:tcPr>
            <w:tcW w:w="4480" w:type="dxa"/>
            <w:vAlign w:val="bottom"/>
            <w:shd w:val="clear" w:color="auto" w:fill="CCEEFF"/>
          </w:tcPr>
          <w:p>
            <w:pPr>
              <w:spacing w:after="0"/>
              <w:rPr>
                <w:sz w:val="19"/>
                <w:szCs w:val="19"/>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$59 million, $52 million and $50 million in the years ended December 31, 2019,</w:t>
            </w: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United's Contributions</w:t>
            </w: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2018 and 2017, respectively</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Surcharge Imposed</w:t>
            </w:r>
          </w:p>
        </w:tc>
        <w:tc>
          <w:tcPr>
            <w:tcW w:w="6840" w:type="dxa"/>
            <w:vAlign w:val="bottom"/>
          </w:tcPr>
          <w:p>
            <w:pPr>
              <w:ind w:left="640"/>
              <w:spacing w:after="0"/>
              <w:rPr>
                <w:sz w:val="20"/>
                <w:szCs w:val="20"/>
                <w:color w:val="auto"/>
              </w:rPr>
            </w:pPr>
            <w:r>
              <w:rPr>
                <w:rFonts w:ascii="Arial" w:cs="Arial" w:eastAsia="Arial" w:hAnsi="Arial"/>
                <w:sz w:val="18"/>
                <w:szCs w:val="18"/>
                <w:color w:val="auto"/>
              </w:rPr>
              <w:t>No</w:t>
            </w:r>
          </w:p>
        </w:tc>
      </w:tr>
      <w:tr>
        <w:trPr>
          <w:trHeight w:val="27"/>
        </w:trPr>
        <w:tc>
          <w:tcPr>
            <w:tcW w:w="448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Expiration Date of Collective Bargaining Agreement</w:t>
            </w: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r>
      <w:tr>
        <w:trPr>
          <w:trHeight w:val="27"/>
        </w:trPr>
        <w:tc>
          <w:tcPr>
            <w:tcW w:w="448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Profit Sharing. </w:t>
      </w:r>
      <w:r>
        <w:rPr>
          <w:rFonts w:ascii="Arial" w:cs="Arial" w:eastAsia="Arial" w:hAnsi="Arial"/>
          <w:sz w:val="18"/>
          <w:szCs w:val="18"/>
          <w:color w:val="auto"/>
        </w:rPr>
        <w:t>Substantially all employees participate in profit sharing based on a percentage of pre-tax earnings, excluding special charges, profit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and share-based compensation. Profit sharing percentages range from 5% to 20% depending on the work group, and in some cases profit sharing percentages vary above and below certain pre-tax margin thresholds. Eligible U.S. co-workers in each participating work group receive a profit sharing payout using a formula based on the ratio of each qualified co-worker's annual eligible earnings to the eligible earnings of all qualified co-workers in all domestic work groups. Eligible non-U.S. co-workers receive profit sharing based on the calculation under the U.S. profit sharing plan for management and administrative employees. The Company recorded profit sharing and related payroll tax expense of $491 million, $334 million and $349 million in 2019, 2018 and 2017, respectively. Profit sharing expense is recorded as a component of Salaries and related costs in the Company's statements of consolidated operations.</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184" w:right="3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NOTES RECEIVABLE</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BRW Term Loan. </w:t>
      </w:r>
      <w:r>
        <w:rPr>
          <w:rFonts w:ascii="Arial" w:cs="Arial" w:eastAsia="Arial" w:hAnsi="Arial"/>
          <w:sz w:val="16"/>
          <w:szCs w:val="16"/>
          <w:color w:val="auto"/>
        </w:rPr>
        <w:t>In November 2018, United, as lender, entered into a Term Loan Agreement (the "BRW Term Loan Agreement") with, among others, BRW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Aviation Holding LLC and BRW Aviation LLC ("BRW"), as guarantor and borrower, respectively, BRW Aviation Holding LLC and BRW are affiliates of Synergy Aerospace Corporation ("Synergy"), and BRW is the majority shareholder of Avianca Holdings S.A. ("AVH"). Pursuant to the BRW Term Loan Agreement, United provided to BRW a $456 million term loan (the "BRW Term Loan"), secured by a pledge of BRW's equity, as well as BRW's 516 million common shares of AVH (which are eligible to be converted into the same number of preferred shares, which may be deposited with the depositary for AVH's American Depositary Receipts ("ADRs"), the class of AVH securities that trades on the New York Stock Exchange (the "NYSE"), in exchange for 64.5 million ADRs) (such equity and shares, collectively, the "BRW Loan Collateral"). BRW is currently in default under the BRW Term Loan Agreement.</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protect the value of its collateral, on May 24, 2019, United began to exercise certain remedies available to it under the terms of the BRW Term Loan Agreement and related documents. In connection with the delivery by United of a notice of default to BRW, Kingsland Holdings Limited ("Kingsland"), AVH's largest minority shareholder, was granted, in accordance with the agreements related to the BRW Term Loan Agreement, authority to manage BRW, which remains the majority shareholder of AVH. In addition, Kingsland is pursuing a foreclosure process which is expected to result in a judicially supervised sale of the BRW Loan Collateral.</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United evaluated the $499 million carrying value of the BRW Term Loan as of December 31, 2019 using the fair value of the BRW Loan Collateral and determined that the value of the BRW Loan Collateral is sufficient to recover the carrying value of the BRW Term Loan. As a result, the Company concluded that the BRW Term Loan is not impaired. The carrying value of the BRW Term Loan represents the original loan amount plus accrued and unpaid interest and certain expenses associated with the loan origination.</w:t>
      </w:r>
    </w:p>
    <w:p>
      <w:pPr>
        <w:spacing w:after="0" w:line="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fair market value of AVH equity was estimated using an income approach and a market approach with equal weight applied to each approach. Under the income approach, the value was estimated by discounting expected future cash flows at a weighted average cost of capital to a single present value amount. Under the market approach, the value was estimated by reference to multiples of enterprise value to earnings before interest, taxes, depreciation, amortization and rent ("EBITDAR") for a group of publicly-traded market comparable companies, along with AVH's own EBITDAR levels.</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Avianca Loan. </w:t>
      </w:r>
      <w:r>
        <w:rPr>
          <w:rFonts w:ascii="Arial" w:cs="Arial" w:eastAsia="Arial" w:hAnsi="Arial"/>
          <w:sz w:val="17"/>
          <w:szCs w:val="17"/>
          <w:color w:val="auto"/>
        </w:rPr>
        <w:t>In November 2019, United entered into a senior secured convertible term loan agreement (the "AVH Convertible Loan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others, AVH, as borrower, for the provision by the lenders thereunder (including United) to AVH of convertible term loans for general corporate purposes. In December 2019, United provided such a convertible term loan to AVH under the AVH Convertible Loan Agreement in the aggregate amount of $150 million (the "AVH Convertible Loan"). The AVH Convertible Loan (1) is payable in a single installment in December 2023, (2) bears paid-in-kind interest at a rate of 3 percent per annum ("PIK Interest") and (3) is secured by a pledge of capital stock in AVH's major subsidiaries and, until released, certain Colombian Peso-denominated credit card receivables owing to Aerovias del Continente Americano S.A. ("Avianca"), a subsidiary of AVH and guarantor under the AVH Convertible Loan Agreement. United has the option to convert the AVH Convertible Loan, in minimum $5 million principal increments, into equity of AVH at a conversion price of $4.6217 per one American Depositary Share (as evidenced by an ADR) or eight AVH shares. Following the occurrence of a change of control of AVH, the conversion price will be reduced to $4.1595 per ADR. Additionally, AVH may, on or after the day occurring 360 days after the funding date of the AVH Convertible Loan, require that United convert 100% of the outstanding principal amount (including capitalized PIK Interest) of the AVH Convertible Loan, together with accrued cash interest thereon, into AVH shares, if certain conditions are satisfied, including conditions corresponding to a minimum volume-weighted average market price of AVH ADRs and a minimum AVH average cash balance. As of December 31, 2019, the fair value of the AVH Convertible Loan approximated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84" w:right="2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INVESTMENTS AND FAIR VALUE MEASUREMENTS</w:t>
      </w:r>
    </w:p>
    <w:p>
      <w:pPr>
        <w:spacing w:after="0" w:line="9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Fair Value Information. </w:t>
      </w:r>
      <w:r>
        <w:rPr>
          <w:rFonts w:ascii="Arial" w:cs="Arial" w:eastAsia="Arial" w:hAnsi="Arial"/>
          <w:sz w:val="16"/>
          <w:szCs w:val="16"/>
          <w:color w:val="auto"/>
        </w:rPr>
        <w:t>Accounting standards require us to use valuation techniques to measure fair value that maximize the use of observable inputs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minimize the use of unobservable inputs. These inputs are described in Note 7 of this report. The table below presents disclosures about the fair value of financial assets and liabilities measured at fair value on a recurring basis in the Company's financial statements as of December 31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9"/>
              </w:rPr>
              <w:t>2019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4"/>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Level 3</w:t>
            </w:r>
          </w:p>
        </w:tc>
        <w:tc>
          <w:tcPr>
            <w:tcW w:w="9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Level 2</w:t>
            </w: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4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2,762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2,762</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1,694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1,694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debt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and agency notes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240" w:type="dxa"/>
            <w:vAlign w:val="bottom"/>
          </w:tcPr>
          <w:p>
            <w:pPr>
              <w:ind w:left="180"/>
              <w:spacing w:after="0"/>
              <w:rPr>
                <w:sz w:val="20"/>
                <w:szCs w:val="20"/>
                <w:color w:val="auto"/>
              </w:rPr>
            </w:pPr>
            <w:r>
              <w:rPr>
                <w:rFonts w:ascii="Arial" w:cs="Arial" w:eastAsia="Arial" w:hAnsi="Arial"/>
                <w:sz w:val="16"/>
                <w:szCs w:val="16"/>
                <w:color w:val="auto"/>
              </w:rPr>
              <w:t>Certificates of deposit placed through an account registry</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4240" w:type="dxa"/>
            <w:vAlign w:val="bottom"/>
          </w:tcPr>
          <w:p>
            <w:pPr>
              <w:ind w:left="180"/>
              <w:spacing w:after="0"/>
              <w:rPr>
                <w:sz w:val="20"/>
                <w:szCs w:val="20"/>
                <w:color w:val="auto"/>
              </w:rPr>
            </w:pPr>
            <w:r>
              <w:rPr>
                <w:rFonts w:ascii="Arial" w:cs="Arial" w:eastAsia="Arial" w:hAnsi="Arial"/>
                <w:sz w:val="16"/>
                <w:szCs w:val="16"/>
                <w:color w:val="auto"/>
              </w:rPr>
              <w:t>service ("CDARS")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fixed-income securities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Other investments measured at NAV</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20"/>
              <w:spacing w:after="0"/>
              <w:rPr>
                <w:sz w:val="20"/>
                <w:szCs w:val="20"/>
                <w:color w:val="auto"/>
              </w:rPr>
            </w:pPr>
            <w:r>
              <w:rPr>
                <w:rFonts w:ascii="Arial" w:cs="Arial" w:eastAsia="Arial" w:hAnsi="Arial"/>
                <w:sz w:val="16"/>
                <w:szCs w:val="16"/>
                <w:color w:val="auto"/>
              </w:rPr>
              <w:t>AVH Derivative Assets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bl>
    <w:p>
      <w:pPr>
        <w:spacing w:after="0" w:line="394"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b w:val="1"/>
          <w:bCs w:val="1"/>
          <w:color w:val="auto"/>
        </w:rPr>
        <w:t xml:space="preserve">Available-for-sale investment maturities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7"/>
          <w:szCs w:val="17"/>
          <w:color w:val="auto"/>
        </w:rPr>
        <w:t>T</w:t>
      </w:r>
      <w:r>
        <w:rPr>
          <w:rFonts w:ascii="Arial" w:cs="Arial" w:eastAsia="Arial" w:hAnsi="Arial"/>
          <w:sz w:val="16"/>
          <w:szCs w:val="16"/>
          <w:color w:val="auto"/>
        </w:rPr>
        <w:t>he short-term investments shown in the table above are classified as available-for-sale, with the exception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measured at NAV. As of December 31, 2019, asset-backed securities have remaining maturities of less than one year to approximately 15 years, corporate debt securities have remaining maturities of three years or less and CDARS have maturities of less than one year. U.S. government and agency notes have maturities of approximately three years or less and other fixed-income securities have maturities of two years or less.</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primarily includes cash collateral for letters of credit and collateral associated with obligations for facility leases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insurance-related obligations.</w:t>
      </w:r>
    </w:p>
    <w:p>
      <w:pPr>
        <w:spacing w:after="0" w:line="1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 Equity securities represent United's investment in Azul, consisting of approximately 8% of Azul's outstanding preferred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approximately 2% of the total capital stock of Azul). The Company recognizes changes to the fair value of its equity investment in Azul in Unrealized gains (losses) on investments, net in its statements of consolidated operations. The carrying value of our investment in Azul was $385 million at December 31, 2019.</w:t>
      </w:r>
    </w:p>
    <w:p>
      <w:pPr>
        <w:spacing w:after="0" w:line="20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AVH Derivative Assets - </w:t>
      </w:r>
      <w:r>
        <w:rPr>
          <w:rFonts w:ascii="Arial" w:cs="Arial" w:eastAsia="Arial" w:hAnsi="Arial"/>
          <w:sz w:val="17"/>
          <w:szCs w:val="17"/>
          <w:color w:val="auto"/>
        </w:rPr>
        <w:t>As part of the BRW Term Loan Agreement and related agreements with Kingsland, United obtained call options on AVH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AVH share appreciation rights and an AVH share-based upside sharing agreement (collectively, the "AVH Derivative Assets"). The AVH Derivative Assets are recorded at fair value as Other assets on the Company's balance sheet and are included in the table above. Changes in the fair value of the AVH Derivative Assets are recorded as part of Unrealized gains (losses) on investments, net in its statements of consolidated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Investments presented in the table above have the same fair value as their carrying value.</w:t>
      </w:r>
    </w:p>
    <w:p>
      <w:pPr>
        <w:spacing w:after="0" w:line="248"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 xml:space="preserve">Other fair value information - </w:t>
      </w:r>
      <w:r>
        <w:rPr>
          <w:rFonts w:ascii="Arial" w:cs="Arial" w:eastAsia="Arial" w:hAnsi="Arial"/>
          <w:sz w:val="17"/>
          <w:szCs w:val="17"/>
          <w:color w:val="auto"/>
        </w:rPr>
        <w:t>The table below presents the carrying values and estimated fair values of financial instruments not presented in the tables</w:t>
      </w:r>
      <w:r>
        <w:rPr>
          <w:rFonts w:ascii="Arial" w:cs="Arial" w:eastAsia="Arial" w:hAnsi="Arial"/>
          <w:sz w:val="17"/>
          <w:szCs w:val="17"/>
          <w:b w:val="1"/>
          <w:bCs w:val="1"/>
          <w:color w:val="auto"/>
        </w:rPr>
        <w:t xml:space="preserve"> </w:t>
      </w:r>
      <w:r>
        <w:rPr>
          <w:rFonts w:ascii="Arial" w:cs="Arial" w:eastAsia="Arial" w:hAnsi="Arial"/>
          <w:sz w:val="17"/>
          <w:szCs w:val="17"/>
          <w:color w:val="auto"/>
        </w:rPr>
        <w:t>above as of December 31 (in millions). Carrying amounts include any related discounts, premiums and issuance costs: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ind w:left="400"/>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ind w:left="360"/>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14,552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15,203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11,398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3,805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13,445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  13,450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9,525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3,925</w:t>
            </w:r>
          </w:p>
        </w:tc>
      </w:tr>
      <w:tr>
        <w:trPr>
          <w:trHeight w:val="33"/>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financial instruments included in the tables above was determined as follows:</w:t>
      </w:r>
    </w:p>
    <w:p>
      <w:pPr>
        <w:sectPr>
          <w:pgSz w:w="11900" w:h="16838" w:orient="portrait"/>
          <w:cols w:equalWidth="0" w:num="1">
            <w:col w:w="11420"/>
          </w:cols>
          <w:pgMar w:left="240" w:top="1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84"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7180" w:type="dxa"/>
            <w:vAlign w:val="bottom"/>
            <w:tcBorders>
              <w:top w:val="single" w:sz="8" w:color="auto"/>
              <w:bottom w:val="single" w:sz="8" w:color="auto"/>
              <w:right w:val="single" w:sz="8" w:color="auto"/>
            </w:tcBorders>
          </w:tcPr>
          <w:p>
            <w:pPr>
              <w:ind w:left="2820"/>
              <w:spacing w:after="0"/>
              <w:rPr>
                <w:sz w:val="20"/>
                <w:szCs w:val="20"/>
                <w:color w:val="auto"/>
              </w:rPr>
            </w:pPr>
            <w:r>
              <w:rPr>
                <w:rFonts w:ascii="Arial" w:cs="Arial" w:eastAsia="Arial" w:hAnsi="Arial"/>
                <w:sz w:val="14"/>
                <w:szCs w:val="14"/>
                <w:b w:val="1"/>
                <w:bCs w:val="1"/>
                <w:color w:val="auto"/>
              </w:rPr>
              <w:t>Fair Value Methodology</w:t>
            </w:r>
          </w:p>
        </w:tc>
      </w:tr>
      <w:tr>
        <w:trPr>
          <w:trHeight w:val="243"/>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Cash and cash equivalents</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The carrying amounts approximate fair value because of the short-term maturity of these assets.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Short-term investments,</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Fair value is based on (a) the trading prices of the investment or similar instruments, (b) an</w:t>
            </w:r>
          </w:p>
        </w:tc>
      </w:tr>
      <w:tr>
        <w:trPr>
          <w:trHeight w:val="216"/>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securities and</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income approach, which uses valuation techniques to convert future amounts into a single present</w:t>
            </w:r>
          </w:p>
        </w:tc>
      </w:tr>
      <w:tr>
        <w:trPr>
          <w:trHeight w:val="216"/>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Restricted cash</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amount based on current market expectations about those future amounts when observable trading</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are not available, or (c) broker quotes obtained by third-party valuation services.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investments measured at NAV</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In accordance with the relevant accounting standards, certain investments that are measured at fair</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value using the NAV per share (or its equivalent) practical expedient have not been classified in</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fair value hierarchy. The fair value amounts presented in the table above are intended to permit</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reconciliation of the fair value hierarchy to the amounts presented in the statement of financial</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position. The investments measured using NAV are shares of mutual funds that invest in fixed-</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income instruments including bonds, debt securities, and other similar instruments issued by</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various U.S. and non-U.S. public- or private-sector entities. The Company can redeem its shares at</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any time at NAV subject to a three-day settlement period.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AVH Derivative Assets</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Fair values are calculated using a Monte Carlo simulation approach. Unobservable inputs include</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expected volatility, expected dividend yield and control and acquisition premiums.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Fair values were based on either market prices or the discounted amount of future cash flows</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using our current incremental rate of borrowing for similar liabilities or assets.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Investments in Regional Carriers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holds investments in several regional carriers that fly for the Company as United Express under its capacity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agreements ("CPAs"). The combined carrying value of the investments was approximately $126 million as of December 31, 2019. United accounts for each investment using the equity method. Each investment and United's ownership stake are listed below.</w:t>
      </w:r>
    </w:p>
    <w:p>
      <w:pPr>
        <w:spacing w:after="0" w:line="208" w:lineRule="exact"/>
        <w:rPr>
          <w:sz w:val="20"/>
          <w:szCs w:val="20"/>
          <w:color w:val="auto"/>
        </w:rPr>
      </w:pPr>
    </w:p>
    <w:p>
      <w:pPr>
        <w:ind w:left="340" w:right="2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Republic Airways Holdings Inc. ("Republic"). United holds a 19% minority interest in Republic which the Company received in 2017 in consideration for its unsecured claim in Republic's bankruptcy case. Republic is the parent company of Republic Airline Inc.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ManaAir, LLC ("ManaAir"). United holds a 49.9% minority ownership stake in ManaAir. ManaAir is the parent company of ExpressJet Airlines LLC.</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Champlain Enterprises, LLC ("Champlain"). United owns a 40% minority ownership stake in Champlain. Champlain does business as CommutAir.</w:t>
      </w:r>
    </w:p>
    <w:p>
      <w:pPr>
        <w:spacing w:after="0" w:line="26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Other Investments. </w:t>
      </w:r>
      <w:r>
        <w:rPr>
          <w:rFonts w:ascii="Arial" w:cs="Arial" w:eastAsia="Arial" w:hAnsi="Arial"/>
          <w:sz w:val="17"/>
          <w:szCs w:val="17"/>
          <w:color w:val="auto"/>
        </w:rPr>
        <w:t>United owns approximately 8% of the preferred shares (representing approximately 7% of the total capital stock) of Fulcrum BioEnergy,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("Fulcrum"), a company that is developing a process for transforming municipal solid waste into transportation fuels, including jet fuel and diesel. United records its investment in Fulcrum at cost less impairment, adjusted for observable price changes in orderly transactions for an identical or similar investment of the same issuer. As of December 31, 2019, the carrying value of United's investment was $51 million.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40"/>
          </w:cols>
          <w:pgMar w:left="240" w:top="184"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79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9120" w:type="dxa"/>
            <w:vAlign w:val="bottom"/>
            <w:gridSpan w:val="7"/>
          </w:tcPr>
          <w:p>
            <w:pPr>
              <w:spacing w:after="0"/>
              <w:rPr>
                <w:sz w:val="20"/>
                <w:szCs w:val="20"/>
                <w:color w:val="auto"/>
              </w:rPr>
            </w:pPr>
            <w:r>
              <w:rPr>
                <w:rFonts w:ascii="Arial" w:cs="Arial" w:eastAsia="Arial" w:hAnsi="Arial"/>
                <w:sz w:val="18"/>
                <w:szCs w:val="18"/>
                <w:b w:val="1"/>
                <w:bCs w:val="1"/>
                <w:color w:val="auto"/>
              </w:rPr>
              <w:t>NOTE 10 - DEBT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120" w:type="dxa"/>
            <w:vAlign w:val="bottom"/>
            <w:gridSpan w:val="7"/>
          </w:tcPr>
          <w:p>
            <w:pPr>
              <w:ind w:left="4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4"/>
                <w:szCs w:val="24"/>
                <w:color w:val="auto"/>
              </w:rPr>
            </w:pPr>
          </w:p>
        </w:tc>
        <w:tc>
          <w:tcPr>
            <w:tcW w:w="20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9120" w:type="dxa"/>
            <w:vAlign w:val="bottom"/>
            <w:gridSpan w:val="7"/>
            <w:vMerge w:val="restart"/>
          </w:tcPr>
          <w:p>
            <w:pPr>
              <w:ind w:left="40"/>
              <w:spacing w:after="0"/>
              <w:rPr>
                <w:sz w:val="20"/>
                <w:szCs w:val="20"/>
                <w:color w:val="auto"/>
              </w:rPr>
            </w:pPr>
            <w:r>
              <w:rPr>
                <w:rFonts w:ascii="Arial" w:cs="Arial" w:eastAsia="Arial" w:hAnsi="Arial"/>
                <w:sz w:val="18"/>
                <w:szCs w:val="18"/>
                <w:color w:val="auto"/>
              </w:rPr>
              <w:t>Secured</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120" w:type="dxa"/>
            <w:vAlign w:val="bottom"/>
            <w:gridSpan w:val="7"/>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12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4"/>
              </w:rPr>
              <w:t>Notes payable, fixed interest rates of 2.7% to 9.8% (weighted average rate of 3.95% as of December 31, 2019), payable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through 2032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29"/>
        </w:trPr>
        <w:tc>
          <w:tcPr>
            <w:tcW w:w="9120" w:type="dxa"/>
            <w:vAlign w:val="bottom"/>
            <w:gridSpan w:val="7"/>
          </w:tcPr>
          <w:p>
            <w:pPr>
              <w:ind w:left="40"/>
              <w:spacing w:after="0"/>
              <w:rPr>
                <w:sz w:val="20"/>
                <w:szCs w:val="20"/>
                <w:color w:val="auto"/>
              </w:rPr>
            </w:pPr>
            <w:r>
              <w:rPr>
                <w:rFonts w:ascii="Arial" w:cs="Arial" w:eastAsia="Arial" w:hAnsi="Arial"/>
                <w:sz w:val="18"/>
                <w:szCs w:val="18"/>
                <w:color w:val="auto"/>
                <w:w w:val="99"/>
              </w:rPr>
              <w:t>Notes payable, floating interest rates of the London interbank offered rate ("LIBOR") plus 1.05% to 2.25%, payable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20" w:type="dxa"/>
            <w:vAlign w:val="bottom"/>
            <w:gridSpan w:val="7"/>
          </w:tcPr>
          <w:p>
            <w:pPr>
              <w:ind w:left="40"/>
              <w:spacing w:after="0"/>
              <w:rPr>
                <w:sz w:val="20"/>
                <w:szCs w:val="20"/>
                <w:color w:val="auto"/>
              </w:rPr>
            </w:pPr>
            <w:r>
              <w:rPr>
                <w:rFonts w:ascii="Arial" w:cs="Arial" w:eastAsia="Arial" w:hAnsi="Arial"/>
                <w:sz w:val="18"/>
                <w:szCs w:val="18"/>
                <w:color w:val="auto"/>
              </w:rPr>
              <w:t>through 2030</w:t>
            </w: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Term loan, LIBOR plus 1.75%, or alternative rate based on certain market rates plus 0.75%, due 2024</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3"/>
        </w:trPr>
        <w:tc>
          <w:tcPr>
            <w:tcW w:w="9120" w:type="dxa"/>
            <w:vAlign w:val="bottom"/>
            <w:gridSpan w:val="7"/>
          </w:tcPr>
          <w:p>
            <w:pPr>
              <w:ind w:left="40"/>
              <w:spacing w:after="0" w:line="202" w:lineRule="exact"/>
              <w:rPr>
                <w:sz w:val="20"/>
                <w:szCs w:val="20"/>
                <w:color w:val="auto"/>
              </w:rPr>
            </w:pPr>
            <w:r>
              <w:rPr>
                <w:rFonts w:ascii="Arial" w:cs="Arial" w:eastAsia="Arial" w:hAnsi="Arial"/>
                <w:sz w:val="18"/>
                <w:szCs w:val="18"/>
                <w:color w:val="auto"/>
              </w:rPr>
              <w:t>Unsecured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6% Senior Notes due 2020 (a)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9120" w:type="dxa"/>
            <w:vAlign w:val="bottom"/>
            <w:gridSpan w:val="7"/>
          </w:tcPr>
          <w:p>
            <w:pPr>
              <w:ind w:left="40"/>
              <w:spacing w:after="0"/>
              <w:rPr>
                <w:sz w:val="20"/>
                <w:szCs w:val="20"/>
                <w:color w:val="auto"/>
              </w:rPr>
            </w:pPr>
            <w:r>
              <w:rPr>
                <w:rFonts w:ascii="Arial" w:cs="Arial" w:eastAsia="Arial" w:hAnsi="Arial"/>
                <w:sz w:val="18"/>
                <w:szCs w:val="18"/>
                <w:color w:val="auto"/>
              </w:rPr>
              <w:t>4.25% Senior Notes due 2022 (a)</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5% Senior Notes due 2024 (a)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9120" w:type="dxa"/>
            <w:vAlign w:val="bottom"/>
            <w:gridSpan w:val="7"/>
          </w:tcPr>
          <w:p>
            <w:pPr>
              <w:ind w:left="40"/>
              <w:spacing w:after="0"/>
              <w:rPr>
                <w:sz w:val="20"/>
                <w:szCs w:val="20"/>
                <w:color w:val="auto"/>
              </w:rPr>
            </w:pPr>
            <w:r>
              <w:rPr>
                <w:rFonts w:ascii="Arial" w:cs="Arial" w:eastAsia="Arial" w:hAnsi="Arial"/>
                <w:sz w:val="18"/>
                <w:szCs w:val="18"/>
                <w:color w:val="auto"/>
              </w:rPr>
              <w:t>4.875% Senior Notes due 2025 (a)</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gridSpan w:val="6"/>
            <w:shd w:val="clear" w:color="auto" w:fill="CCEEFF"/>
          </w:tcPr>
          <w:p>
            <w:pPr>
              <w:ind w:left="460"/>
              <w:spacing w:after="0"/>
              <w:rPr>
                <w:sz w:val="20"/>
                <w:szCs w:val="20"/>
                <w:color w:val="auto"/>
              </w:rPr>
            </w:pPr>
            <w:r>
              <w:rPr>
                <w:rFonts w:ascii="Arial" w:cs="Arial" w:eastAsia="Arial" w:hAnsi="Arial"/>
                <w:sz w:val="18"/>
                <w:szCs w:val="18"/>
                <w:color w:val="auto"/>
              </w:rPr>
              <w:t>Less: unamortized debt discount, premiums and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80" w:type="dxa"/>
            <w:vAlign w:val="bottom"/>
            <w:gridSpan w:val="6"/>
          </w:tcPr>
          <w:p>
            <w:pPr>
              <w:ind w:left="46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7"/>
        </w:trPr>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0</wp:posOffset>
            </wp:positionV>
            <wp:extent cx="1431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 UAL is the issuer of this debt. United is a guarantor.</w:t>
      </w:r>
    </w:p>
    <w:p>
      <w:pPr>
        <w:spacing w:after="0" w:line="1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presents the Company's contractual principal payments (not including debt discount or debt issuance costs) at December 31, 2019 under then-outstanding long-term debt agreements in each of the next five calendar years (in millions):</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1,407</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1,415</w:t>
            </w:r>
          </w:p>
        </w:tc>
      </w:tr>
      <w:tr>
        <w:trPr>
          <w:trHeight w:val="27"/>
        </w:trPr>
        <w:tc>
          <w:tcPr>
            <w:tcW w:w="9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815</w:t>
            </w:r>
          </w:p>
        </w:tc>
      </w:tr>
      <w:tr>
        <w:trPr>
          <w:trHeight w:val="27"/>
        </w:trPr>
        <w:tc>
          <w:tcPr>
            <w:tcW w:w="9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3,122</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After 2024</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6,209</w:t>
            </w:r>
          </w:p>
        </w:tc>
      </w:tr>
      <w:tr>
        <w:trPr>
          <w:trHeight w:val="27"/>
        </w:trPr>
        <w:tc>
          <w:tcPr>
            <w:tcW w:w="92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14,733</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Secured debt</w:t>
      </w:r>
    </w:p>
    <w:p>
      <w:pPr>
        <w:spacing w:after="0" w:line="225"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b w:val="1"/>
          <w:bCs w:val="1"/>
          <w:i w:val="1"/>
          <w:iCs w:val="1"/>
          <w:color w:val="auto"/>
        </w:rPr>
        <w:t xml:space="preserve">Credit and Guaranty Agreement. </w:t>
      </w:r>
      <w:r>
        <w:rPr>
          <w:rFonts w:ascii="Arial" w:cs="Arial" w:eastAsia="Arial" w:hAnsi="Arial"/>
          <w:sz w:val="17"/>
          <w:szCs w:val="17"/>
          <w:color w:val="auto"/>
        </w:rPr>
        <w:t>United and UAL, as borrower and guarantor, respectively, are parties to the Amended and Restated Credit and Guaranty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(as amended, the "Credit Agreement"). The Credit Agreement consists of a $1.5 billion term loan due April 1, 2024 and a $2.0 billion revolving credit facility available for drawing until its maturity date on April 1, 2022. The obligations of United under the amended Credit Agreement are secured by liens on certain international route authorities, certain take-off and landing rights and related assets of United.</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Term loan borrowings under the Credit Agreement bear interest at a variable rate equal to LIBOR plus a margin of 1.75% per annum, or another rate based on certain market interest rates, plus a margin of 0.75% per annum. The principal amount of the term loan must be repaid in consecutive quarterly installments of 0.25% of the original principal amount thereof, commencing on June 30, 2017, with any unpaid balance due on April 1, 2024. United may prepay all or a portion of the loan from time to time, at par plus accrued and unpaid interest.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2019, United had its entire capacity of $2.0 billion available under the revolving credit facility of the Company's Credit Agreement. United pays a commitment fee equal to 0.75% per annum on the undrawn amount available under the revolving credit facility. If drawn, revolving loans under the Credit Agreement bear interest at a variable rate equal to LIBOR plus a margin of 2.25% per annum, or another rate based on certain market interest rates, plus a margin of 1.25% per annum.</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72"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 xml:space="preserve">EETCs. </w:t>
      </w:r>
      <w:r>
        <w:rPr>
          <w:rFonts w:ascii="Arial" w:cs="Arial" w:eastAsia="Arial" w:hAnsi="Arial"/>
          <w:sz w:val="17"/>
          <w:szCs w:val="17"/>
          <w:color w:val="auto"/>
        </w:rPr>
        <w:t>As of December 31, 2019, United had $9.6 billion principal amount of equipment notes outstanding issued under enhanced equipment trust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certificates ("EETC") financings included in notes payable in the table of outstanding debt above. Generally, the structure of these EETC financings consists of pass-through trusts created by United to issue pass-through certificates, which represent fractional undivided interests in the respective pass-through trusts and are not obligations of United. The proceeds of the issuance of the pass-through certificates are used to purchase equipment notes which are issued by United and secured by its aircraft. The payment obligations under the equipment notes are those of United.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United's consolidated balance sheet because the proceeds held by the depositary are not United's assets.</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February and September 2019, United created new EETC pass-through trusts, each of which issued pass-through certificates. The proceeds of the issuance of the pass-through certificates are used to purchase equipment notes issued by United and secured by its aircraft. The Company records the debt obligation upon issuance of the equipment notes rather than upon the initial issuance of the pass-through certificates. Certain details of the pass-through trusts with proceeds received from issuance of debt in 2019 are as follows (in millions, except stated interest rate):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Total proceeds received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from issuance of debt</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Amounts returned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proceeds from</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Stated</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during 2019 and recorded</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to the holders of the</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issuance of debt to</w:t>
            </w:r>
          </w:p>
        </w:tc>
      </w:tr>
      <w:tr>
        <w:trPr>
          <w:trHeight w:val="216"/>
        </w:trPr>
        <w:tc>
          <w:tcPr>
            <w:tcW w:w="1380" w:type="dxa"/>
            <w:vAlign w:val="bottom"/>
          </w:tcPr>
          <w:p>
            <w:pPr>
              <w:ind w:left="100"/>
              <w:spacing w:after="0"/>
              <w:rPr>
                <w:sz w:val="20"/>
                <w:szCs w:val="20"/>
                <w:color w:val="auto"/>
              </w:rPr>
            </w:pPr>
            <w:r>
              <w:rPr>
                <w:rFonts w:ascii="Arial" w:cs="Arial" w:eastAsia="Arial" w:hAnsi="Arial"/>
                <w:sz w:val="18"/>
                <w:szCs w:val="18"/>
                <w:b w:val="1"/>
                <w:bCs w:val="1"/>
                <w:color w:val="auto"/>
                <w:w w:val="96"/>
              </w:rPr>
              <w:t>EETC Issuance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Final expected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interest</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as debt as of December 31,</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Pass-Through</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 received in</w:t>
            </w:r>
          </w:p>
        </w:tc>
      </w:tr>
      <w:tr>
        <w:trPr>
          <w:trHeight w:val="234"/>
        </w:trPr>
        <w:tc>
          <w:tcPr>
            <w:tcW w:w="1380" w:type="dxa"/>
            <w:vAlign w:val="bottom"/>
          </w:tcPr>
          <w:p>
            <w:pPr>
              <w:ind w:left="52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w:t>
            </w: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distribution date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rate</w:t>
            </w:r>
          </w:p>
        </w:tc>
        <w:tc>
          <w:tcPr>
            <w:tcW w:w="140" w:type="dxa"/>
            <w:vAlign w:val="bottom"/>
          </w:tcPr>
          <w:p>
            <w:pPr>
              <w:spacing w:after="0"/>
              <w:rPr>
                <w:sz w:val="20"/>
                <w:szCs w:val="20"/>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Certificates (a)</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future periods</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September 2019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2032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w w:val="99"/>
              </w:rPr>
              <w:t>September 2019</w:t>
            </w:r>
          </w:p>
        </w:tc>
        <w:tc>
          <w:tcPr>
            <w:tcW w:w="120" w:type="dxa"/>
            <w:vAlign w:val="bottom"/>
          </w:tcPr>
          <w:p>
            <w:pPr>
              <w:spacing w:after="0"/>
              <w:rPr>
                <w:sz w:val="21"/>
                <w:szCs w:val="2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2028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September 2019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2028</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February 2019</w:t>
            </w:r>
          </w:p>
        </w:tc>
        <w:tc>
          <w:tcPr>
            <w:tcW w:w="120" w:type="dxa"/>
            <w:vAlign w:val="bottom"/>
          </w:tcPr>
          <w:p>
            <w:pPr>
              <w:spacing w:after="0"/>
              <w:rPr>
                <w:sz w:val="21"/>
                <w:szCs w:val="2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2031</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2019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2031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r>
      <w:tr>
        <w:trPr>
          <w:trHeight w:val="67"/>
        </w:trPr>
        <w:tc>
          <w:tcPr>
            <w:tcW w:w="13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bl>
    <w:p>
      <w:pPr>
        <w:spacing w:after="0" w:line="197" w:lineRule="exact"/>
        <w:rPr>
          <w:sz w:val="20"/>
          <w:szCs w:val="20"/>
          <w:color w:val="auto"/>
        </w:rPr>
      </w:pPr>
    </w:p>
    <w:p>
      <w:pPr>
        <w:ind w:right="40" w:firstLine="8"/>
        <w:spacing w:after="0" w:line="277" w:lineRule="auto"/>
        <w:tabs>
          <w:tab w:leader="none" w:pos="196"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These proceeds were expected to be used to purchase equipment notes issued by United and secured by three Boeing 737 MAX aircraft, which aircraft were scheduled for delivery by Boeing in 2019. However, as a result of the Federal Aviation Administration Order prohibiting the operation of Boeing 737 MAX series aircraft by U.S. certificated operators (the "FAA Order"), United did not take delivery of these aircraft. These amounts were distributed to the holders of February 2019 Pass Through Certificates together with accrued and unpaid interest thereon but without premium. As a result of the FAA Order, the Company did not contemplate using any proceeds from the September 2019 issuance of the EETC pass-through trusts to fund any Boeing 737 MAX deliveries.</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2019, United borrowed approximately $105 million aggregate principal amount from various financial institutions to finance the purchase of several aircraft delivered in 2019. The notes evidencing these borrowings, which are secured by the related aircraft, mature in 2029 and have interest rates comprised of LIBOR plus a specified margin.</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November 2019, at the request of United, the California Municipal Finance Authority issued its approximately $295 million special facility revenue bonds and loaned the proceeds of such bonds to United pursuant to a loan agreement to finance the costs of construction of an aircraft maintenance and ground service equipment complex at Los Angeles International Airport. The bonds bear interest at 4% per annum, payable semiannually, commencing July 15, 2020 through the July 15, 2029 maturity date. As security for United's obligations under the loan agreement, United also entered into a leasehold mortgage which grants to the trustee of the bonds (acting on behalf of the bondholders) a lien on United's interest in the leased premises and any improvements thereon owned by or leased to United. As of December 31, 2019, United had recorded approximately $39 million related to this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Unsecured debt</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 xml:space="preserve">4.875% Senior Notes due 2025. </w:t>
      </w:r>
      <w:r>
        <w:rPr>
          <w:rFonts w:ascii="Arial" w:cs="Arial" w:eastAsia="Arial" w:hAnsi="Arial"/>
          <w:sz w:val="17"/>
          <w:szCs w:val="17"/>
          <w:color w:val="auto"/>
        </w:rPr>
        <w:t>In May 2019, UAL issued $350 million aggregate principal amount of 4.875% Senior Notes due January 15, 2025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"4.875% Senior Notes due 2025"), which are fully and unconditionally guaranteed and recorded by United on its balance sheet.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84"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UAL and United were in compliance with their respective debt covenants. The collateral, covenants and cross default provisions of the Company's principal debt instruments that contain such provisions are summarized in the table below:</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Debt Instrument</w:t>
            </w:r>
          </w:p>
        </w:tc>
        <w:tc>
          <w:tcPr>
            <w:tcW w:w="6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Collateral, Covenants and Cross Default Provisions</w:t>
            </w:r>
          </w:p>
        </w:tc>
      </w:tr>
      <w:tr>
        <w:trPr>
          <w:trHeight w:val="27"/>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Various equipment notes and other notes payable</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Secured by certain aircraft. The indentures contain events of default that are</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customary for aircraft financing, including in certain cases cross default to other</w:t>
            </w: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related aircraft.</w:t>
            </w:r>
          </w:p>
        </w:tc>
      </w:tr>
      <w:tr>
        <w:trPr>
          <w:trHeight w:val="27"/>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Agreement</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Secured by certain of United's international route authorities, specified take-off</w:t>
            </w: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landing slots at certain airports and certain other assets.</w:t>
            </w:r>
          </w:p>
        </w:tc>
      </w:tr>
      <w:tr>
        <w:trPr>
          <w:trHeight w:val="418"/>
        </w:trPr>
        <w:tc>
          <w:tcPr>
            <w:tcW w:w="5380" w:type="dxa"/>
            <w:vAlign w:val="bottom"/>
            <w:tcBorders>
              <w:left w:val="single" w:sz="8" w:color="auto"/>
              <w:right w:val="single" w:sz="8" w:color="auto"/>
            </w:tcBorders>
          </w:tcPr>
          <w:p>
            <w:pPr>
              <w:spacing w:after="0"/>
              <w:rPr>
                <w:sz w:val="24"/>
                <w:szCs w:val="24"/>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The Credit Agreement requires the Company to maintain at least $2.0 billion of</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unrestricted liquidity at all times, which includes unrestricted cash, short-term</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investments and any undrawn amounts under any revolving credit facility, and to</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maintain a minimum ratio of appraised value of collateral to the outstanding</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obligations under the Credit Agreement of 1.6 to 1.0 at all times. The Credit</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Agreement contains covenants that, among other things, restrict the ability of</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UAL and its restricted subsidiaries (as defined in the Credit Agreement) to incur</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additional indebtedness and to pay dividends on or repurchase stock, although, as</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of December 31, 2019, the Company had ample ability under these restrictions to</w:t>
            </w: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repurchase stock under the Company's share repurchase programs.</w:t>
            </w:r>
          </w:p>
        </w:tc>
      </w:tr>
      <w:tr>
        <w:trPr>
          <w:trHeight w:val="418"/>
        </w:trPr>
        <w:tc>
          <w:tcPr>
            <w:tcW w:w="5380" w:type="dxa"/>
            <w:vAlign w:val="bottom"/>
            <w:tcBorders>
              <w:left w:val="single" w:sz="8" w:color="auto"/>
              <w:right w:val="single" w:sz="8" w:color="auto"/>
            </w:tcBorders>
          </w:tcPr>
          <w:p>
            <w:pPr>
              <w:spacing w:after="0"/>
              <w:rPr>
                <w:sz w:val="24"/>
                <w:szCs w:val="24"/>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Credit Agreement contains events of default customary for this type of</w:t>
            </w: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financing, including a cross default and cross acceleration provision to certain</w:t>
            </w: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material indebtedness of the Company.</w:t>
            </w:r>
          </w:p>
        </w:tc>
      </w:tr>
      <w:tr>
        <w:trPr>
          <w:trHeight w:val="27"/>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 Senior Notes due 2020</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indentures for these notes contain covenants that, among other things, restrict</w:t>
            </w:r>
          </w:p>
        </w:tc>
      </w:tr>
      <w:tr>
        <w:trPr>
          <w:trHeight w:val="216"/>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4.25% Senior Notes due 2022</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ability of the Company and its restricted subsidiaries (as defined in the</w:t>
            </w:r>
          </w:p>
        </w:tc>
      </w:tr>
      <w:tr>
        <w:trPr>
          <w:trHeight w:val="216"/>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 Senior Notes due 2024</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indentures) to incur additional indebtedness and pay dividends on or repurchase</w:t>
            </w:r>
          </w:p>
        </w:tc>
      </w:tr>
      <w:tr>
        <w:trPr>
          <w:trHeight w:val="216"/>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4.875% Senior Notes due 2025</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stock, although the Company currently has ample ability under these restrictions</w:t>
            </w: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repurchase stock under the Company's share repurchase programs.</w:t>
            </w:r>
          </w:p>
        </w:tc>
      </w:tr>
      <w:tr>
        <w:trPr>
          <w:trHeight w:val="41"/>
        </w:trPr>
        <w:tc>
          <w:tcPr>
            <w:tcW w:w="5380" w:type="dxa"/>
            <w:vAlign w:val="bottom"/>
            <w:tcBorders>
              <w:left w:val="single" w:sz="8" w:color="auto"/>
              <w:bottom w:val="single" w:sz="8" w:color="auto"/>
              <w:right w:val="single" w:sz="8" w:color="auto"/>
            </w:tcBorders>
          </w:tcPr>
          <w:p>
            <w:pPr>
              <w:spacing w:after="0"/>
              <w:rPr>
                <w:sz w:val="3"/>
                <w:szCs w:val="3"/>
                <w:color w:val="auto"/>
              </w:rPr>
            </w:pPr>
          </w:p>
        </w:tc>
        <w:tc>
          <w:tcPr>
            <w:tcW w:w="60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 AND CAPACITY PURCHASE AGREEMENTS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United leases aircraft, airport passenger terminal space, aircraft hangars and related maintenance facilities, cargo terminals, other airport facilities, other commercial real estate, office and computer equipment and vehicles, among other items. Certain of these leases include provisions for variable lease payments which are based on several factors, including, but not limited to, relative leased square footage, available seat miles, enplaned passengers, passenger facility charges, terminal equipment usage fees, departures, and airports' annual operating budgets. Due to the variable nature of the rates, these leases are not recorded on our balance sheet as a right-of-use asset and lease liability.</w:t>
      </w:r>
    </w:p>
    <w:p>
      <w:pPr>
        <w:spacing w:after="0" w:line="1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leases with terms greater than 12 months, we record the related right-of-use asset and lease liability at the present value of fixed lease payments over the lease term. To the extent a lease agreement includes an extension option that is reasonably certain to be exercised, we have recognized those amounts as part of our right-of-use assets and lease liabilities. Leases with an initial term of 12 months or less with purchase options or extension options that are not reasonably certain to be exercised are not recorded on the balance sheet; we recognize lease expense for these leases on a straight-line basis over the term of the lease. We combine lease and non-lease components, such as common area maintenance costs, in calculating the right-of-use assets and lease liabilities for all asset groups except for our CPAs, which contain embedded leases for regional aircraft. In addition to the lease component cost for regional aircraft, our CPAs also include non-lease components primarily related to the regional carriers' operating costs incurred in providing regional aircraft services. We allocate consideration for the lease components and non-lease components of each CPA based on their relative standalone values.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84" w:right="2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w:t>
      </w:r>
      <w:r>
        <w:rPr>
          <w:rFonts w:ascii="Arial" w:cs="Arial" w:eastAsia="Arial" w:hAnsi="Arial"/>
          <w:sz w:val="18"/>
          <w:szCs w:val="18"/>
          <w:color w:val="auto"/>
        </w:rPr>
        <w:t>. The Company's lease cost for the years ended December 31 included the following components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1,433</w:t>
            </w:r>
          </w:p>
        </w:tc>
      </w:tr>
      <w:tr>
        <w:trPr>
          <w:trHeight w:val="27"/>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and short-term lease cost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finance lease assets</w:t>
            </w:r>
          </w:p>
        </w:tc>
        <w:tc>
          <w:tcPr>
            <w:tcW w:w="10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finance lease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3,707</w:t>
            </w:r>
          </w:p>
        </w:tc>
      </w:tr>
      <w:tr>
        <w:trPr>
          <w:trHeight w:val="20"/>
        </w:trPr>
        <w:tc>
          <w:tcPr>
            <w:tcW w:w="6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Lease terms and commitments</w:t>
      </w:r>
      <w:r>
        <w:rPr>
          <w:rFonts w:ascii="Arial" w:cs="Arial" w:eastAsia="Arial" w:hAnsi="Arial"/>
          <w:sz w:val="17"/>
          <w:szCs w:val="17"/>
          <w:color w:val="auto"/>
        </w:rPr>
        <w:t>. United's leases include aircraft leases for aircraft that are directly leased by United and aircraft that are operated by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carriers on United's behalf under CPAs (but excluding aircraft owned by United) and non-aircraft leases. Aircraft operating leases relate to leases of 114 mainline and 325 regional aircraft while finance leases relate to leases of 28 mainline and 17 regional aircraft. United's aircraft leases have remaining lease terms of one month to 10 years with expiration dates ranging from 2020 through 2029. Under the terms of most aircraft leases, United has the right to purchase the aircraft at the end of the lease term, in some cases at fair market value, and in others, at a percentage of cost.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Non-aircraft leases have remaining lease terms of one month to 34 years, with expiration dates ranging from 2020 through 2053.</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the Company's scheduled future minimum lease payments under operating and finance leases, recorded on the balance sheet, as of December 31, 2019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Pr>
          <w:p>
            <w:pPr>
              <w:spacing w:after="0"/>
              <w:rPr>
                <w:sz w:val="20"/>
                <w:szCs w:val="20"/>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Finance Leases</w:t>
            </w:r>
          </w:p>
        </w:tc>
      </w:tr>
      <w:tr>
        <w:trPr>
          <w:trHeight w:val="27"/>
        </w:trPr>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After 2024</w:t>
            </w:r>
          </w:p>
        </w:tc>
        <w:tc>
          <w:tcPr>
            <w:tcW w:w="3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7"/>
        </w:trPr>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Minimum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Imputed interest</w:t>
            </w: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Less: current maturities of lease obligations</w:t>
            </w: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As of December 31, 2019, we have additional leases of approximately $500 million for several mainline aircraft, regional jets under a CPA and airport facilities and office space leases that have not yet commenced. These leases will commence in 2020 and 2021 with lease terms of up to 13 years.</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lease agreements do not provide a readily determinable implicit rate nor is it available to us from our lessors. Instead, we estimate United's incremental borrowing rate based on information available at lease commencement in order to discount lease payments to present value. The table below presents additional information related to our leases as of December 31:</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80" w:type="dxa"/>
            <w:vAlign w:val="bottom"/>
            <w:gridSpan w:val="2"/>
          </w:tcPr>
          <w:p>
            <w:pPr>
              <w:ind w:left="7580"/>
              <w:spacing w:after="0"/>
              <w:rPr>
                <w:sz w:val="20"/>
                <w:szCs w:val="20"/>
                <w:color w:val="auto"/>
              </w:rPr>
            </w:pPr>
            <w:r>
              <w:rPr>
                <w:rFonts w:ascii="Arial" w:cs="Arial" w:eastAsia="Arial" w:hAnsi="Arial"/>
                <w:sz w:val="18"/>
                <w:szCs w:val="18"/>
                <w:b w:val="1"/>
                <w:bCs w:val="1"/>
                <w:color w:val="auto"/>
                <w:w w:val="94"/>
              </w:rPr>
              <w:t>2019</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r>
      <w:tr>
        <w:trPr>
          <w:trHeight w:val="27"/>
        </w:trPr>
        <w:tc>
          <w:tcPr>
            <w:tcW w:w="67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2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 years</w:t>
            </w:r>
          </w:p>
        </w:tc>
        <w:tc>
          <w:tcPr>
            <w:tcW w:w="2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 years</w:t>
            </w: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 years</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5 years</w:t>
            </w:r>
          </w:p>
        </w:tc>
      </w:tr>
      <w:tr>
        <w:trPr>
          <w:trHeight w:val="27"/>
        </w:trPr>
        <w:tc>
          <w:tcPr>
            <w:tcW w:w="6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783"/>
        </w:trPr>
        <w:tc>
          <w:tcPr>
            <w:tcW w:w="6720" w:type="dxa"/>
            <w:vAlign w:val="bottom"/>
          </w:tcPr>
          <w:p>
            <w:pPr>
              <w:ind w:left="5580"/>
              <w:spacing w:after="0"/>
              <w:rPr>
                <w:sz w:val="20"/>
                <w:szCs w:val="20"/>
                <w:color w:val="auto"/>
              </w:rPr>
            </w:pPr>
            <w:r>
              <w:rPr>
                <w:rFonts w:ascii="Arial" w:cs="Arial" w:eastAsia="Arial" w:hAnsi="Arial"/>
                <w:sz w:val="18"/>
                <w:szCs w:val="18"/>
                <w:color w:val="auto"/>
              </w:rPr>
              <w:t>80</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184"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supplemental cash flow information related to leases during the year ended December 31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for operating leases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902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Operating cash flows for finance leases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Financing cash flows for finance leases</w:t>
            </w: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151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i w:val="1"/>
          <w:iCs w:val="1"/>
          <w:color w:val="auto"/>
        </w:rPr>
        <w:t xml:space="preserve">Regional CPAs. </w:t>
      </w:r>
      <w:r>
        <w:rPr>
          <w:rFonts w:ascii="Arial" w:cs="Arial" w:eastAsia="Arial" w:hAnsi="Arial"/>
          <w:sz w:val="16"/>
          <w:szCs w:val="16"/>
          <w:color w:val="auto"/>
        </w:rPr>
        <w:t>United has contractual relationships with various regional carriers to provide regional aircraft service branded as United Express.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CPAs, the Company pays the regional carriers contractually agreed fees (carrier costs) for operating these flights plus a variable rate adjustment based on agreed performance metrics, subject to annual adjustments. The fees are based on specific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United's CPAs are for 581 regional aircraft as of December 31, 2019, and the CPAs have terms expiring through 2029. Aircraft operated under CPAs include aircraft leased directly from the regional carriers and those owned by United and operated by the regional carriers. See Part I, Item 2. Properties, of this report for additional information.</w:t>
      </w:r>
    </w:p>
    <w:p>
      <w:pPr>
        <w:spacing w:after="0" w:line="166"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In 2019, United amended an agreement with GoJet Airlines to operate up to 54 Bombardier CRJ-550s under a 10-year CPA arrangement. United also amended an agreement with Mesa Airlines, which added 20 new Embraer E175 LL aircraft under a 12-year CPA and also extended 42 United-owned Embraer E175 aircraft for an additional 5 years.</w:t>
      </w:r>
    </w:p>
    <w:p>
      <w:pPr>
        <w:spacing w:after="0" w:line="18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United recorded approximately $1 billion, $979 million and $907 million in expenses related to its CPAs with its regional carriers in which United is a minority shareholder, for the years ended December 31, 2019, 2018 and 2017, respectively. There were approximately $69 million and $53 million in accounts payable due to these companies as of December 31, 2019 and December 31, 2018, respectively. There were no material accounts receivables due from these companies as of December 31, 2019 and December 31, 2018. The CPAs with these related parties were executed in the ordinary course of business.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United's estimates of its future payments under all of the CPAs do not include the portion of the underlying obligation for any aircraft leased to a regional carrier or deemed to be leased from other regional carriers and facility rent that are disclosed as part of operating leases above.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historic levels and (5) an annual projected inflation rate. These amounts exclude variable pass-through costs such as fuel and landing fees, among others. Based on these assumptions as of December 31, 2019, our future payments through the end of the terms of our CPAs are presented in the table below (in billions):</w:t>
      </w:r>
    </w:p>
    <w:p>
      <w:pPr>
        <w:spacing w:after="0" w:line="327" w:lineRule="exact"/>
        <w:rPr>
          <w:sz w:val="20"/>
          <w:szCs w:val="20"/>
          <w:color w:val="auto"/>
        </w:rPr>
      </w:pPr>
    </w:p>
    <w:tbl>
      <w:tblPr>
        <w:tblLayout w:type="fixed"/>
        <w:tblInd w:w="1160" w:type="dxa"/>
        <w:tblCellMar>
          <w:top w:w="0" w:type="dxa"/>
          <w:left w:w="0" w:type="dxa"/>
          <w:bottom w:w="0" w:type="dxa"/>
          <w:right w:w="0" w:type="dxa"/>
        </w:tblCellMar>
      </w:tblPr>
      <w:tr>
        <w:trPr>
          <w:trHeight w:val="27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After 2024</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5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actual amounts we pay to our regional operators under CPAs could differ materially from these estimates. For example, a 10% increase or decrease in scheduled block hours for all of United's regional operators (whether as a result of changes in average daily utilization or otherwise) in 2020 would result in a corresponding change in annual cash obligations under the CPAs of approximately $202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84"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VARIABLE INTEREST ENTITIES ("VIE")</w:t>
      </w:r>
    </w:p>
    <w:p>
      <w:pPr>
        <w:spacing w:after="0" w:line="25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Variable interests are contractual, ownership or other monetary interests in an entity that change with fluctuations in the fair value of the entity's net assets exclusive of variable interests. A VIE can arise from items such as lease agreements, loan arrangements, guarantees or service contracts. An entity is a VIE if</w:t>
      </w:r>
    </w:p>
    <w:p>
      <w:pPr>
        <w:ind w:right="280" w:firstLine="8"/>
        <w:spacing w:after="0" w:line="261"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entity lacks sufficient equity or (b) the entity's equity holders lack power or the obligation and right as equity holders to absorb the entity's expected losses or to receive its expected residual returns.</w:t>
      </w:r>
    </w:p>
    <w:p>
      <w:pPr>
        <w:spacing w:after="0" w:line="21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If an entity is determined to be a VIE, the entity must be consolidated by the primary beneficiary. The primary beneficiary is the holder of the variable interests that has the power to direct the activities of a VIE that (i) most significantly impact the VIE's economic performance and (ii) has the obligation to absorb losses of or the right to receive benefits from the VIE that could potentially be significant to the VIE. Therefore, the Company must identify which activities most significantly impact the VIE's economic performance and determine whether it, or another party, has the power to direct those activities.</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Aircraft Leases</w:t>
      </w:r>
      <w:r>
        <w:rPr>
          <w:rFonts w:ascii="Arial" w:cs="Arial" w:eastAsia="Arial" w:hAnsi="Arial"/>
          <w:sz w:val="16"/>
          <w:szCs w:val="16"/>
          <w:color w:val="auto"/>
        </w:rPr>
        <w:t>. We are the lessee in a number of operating leases covering the majority of our leased aircraft. The lessors are trusts established specifically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finance and lease aircraft to us. These leasing entities meet the criteria for VIEs. We are generally not the primary beneficiary of the leasing entities if the lease terms are consistent with market terms at the inception of the lease and do not include a residual value guarantee, fixed-price purchase option or similar feature that obligates us to absorb decreases in value or entitles us to participate in increases in the value of the aircraft. This is the case for many of our operating leases; however, leases of six mainline jet aircraft contain a fixed-price purchase option that allow United to purchase the aircraft at predetermined prices on specified dates during the lease term. Additionally, leases covering 60 leased regional jet aircraft contain an option to purchase the aircraft at the end of the lease term at prices that, depending on market conditions, could be below fair value. United has not consolidated the related trusts because, even taking into consideration these purchase options, United is still not the primary beneficiary. United's maximum exposure under these leases is the remaining lease payments, which are reflected in future lease commitments in Note 11 of this report.</w:t>
      </w:r>
    </w:p>
    <w:p>
      <w:pPr>
        <w:spacing w:after="0" w:line="19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Airport Leases</w:t>
      </w:r>
      <w:r>
        <w:rPr>
          <w:rFonts w:ascii="Arial" w:cs="Arial" w:eastAsia="Arial" w:hAnsi="Arial"/>
          <w:sz w:val="16"/>
          <w:szCs w:val="16"/>
          <w:color w:val="auto"/>
        </w:rPr>
        <w:t>. United is the lessee of real property under long-term operating leases at a number of airports where we are also the guarantor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$1.9 billion of tax-exempt special facilities revenue bonds and interest thereon as of December 31, 2019. These leases are typically with municipalities or other governmental entities, which are excluded from the consolidation requirements concerning a VIE. To the extent United's leases and related guarantees are with a separate legal entity other than a governmental entity, United is not the primary beneficiary because the lease terms are consistent with market terms at the inception of the lease and the lease does not include a residual value guarantee, fixed-price purchase option, or similar feature. See Note 13 of this report for more information regarding United's guarantee of the tax-exempt special facilities revenue bonds.</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EETCs. </w:t>
      </w:r>
      <w:r>
        <w:rPr>
          <w:rFonts w:ascii="Arial" w:cs="Arial" w:eastAsia="Arial" w:hAnsi="Arial"/>
          <w:sz w:val="18"/>
          <w:szCs w:val="18"/>
          <w:color w:val="auto"/>
        </w:rPr>
        <w:t>United evaluated whether the pass-through trusts formed for its EETC financings, treated as either debt or aircraft operating leases, are VIEs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consolidated by United under applicable accounting guidance, and determined that the pass-through trusts are VIEs. Based on United's analysis as described below, United determined that it does not have a variable interest in the pass-through trusts.</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primary risk of the pass-through trusts is credit risk (i.e. the risk that United, the issuer of the equipment notes, may be unable to make its principal and interest payments). The primary purpose of the pass-through trust structure is to enhance the credit worthiness of United's debt obligation through certain bankruptcy protection provisions, a liquidity facility (in certain of the EETC structures) and improved loan-to-value ratios for more senior debt classes. These credit enhancements lower United's total borrowing cost. Pass-through trusts are established to receive principal and interest payments on the equipment notes purchased by the pass-through trusts from United and remit these proceeds to the pass-through trusts' certificate holders.</w:t>
      </w:r>
    </w:p>
    <w:p>
      <w:pPr>
        <w:spacing w:after="0" w:line="20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United does not invest in or obtain a financial interest in the pass-through trusts. Rather, United has an obligation to make interest and principal payments on its equipment notes held by the pass-through trusts. United does not intend to have any voting or non-voting equity interest in the pass-through trusts or to absorb variability from the pass-through trusts. Based on this analysis, the Company determined that it is not required to consolidate the pass-through trusts.</w:t>
      </w:r>
    </w:p>
    <w:p>
      <w:pPr>
        <w:spacing w:after="0" w:line="17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BRW. </w:t>
      </w:r>
      <w:r>
        <w:rPr>
          <w:rFonts w:ascii="Arial" w:cs="Arial" w:eastAsia="Arial" w:hAnsi="Arial"/>
          <w:sz w:val="16"/>
          <w:szCs w:val="16"/>
          <w:color w:val="auto"/>
        </w:rPr>
        <w:t>Synergy's wholly-owned affiliate, BRW, is a special purpose entity created to be the borrower of the BRW Term Loan. BRW is also the owner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 that secures the BRW Term Loan. BRW is a VIE and United holds variable interests in BRW including the BRW Term Loan. However, United is not the primary beneficiary of BRW because it does not hold BRW equity and does not have management rights at BRW and therefore does not have the power to direct the activities that most significantly impact BRW's economic performance. In connection with the delivery by United of a notice of default to BRW, Kingsland was granted, in accordance with the agreements related to the BRW Term Loan Agreement, authority to manage BRW.</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84"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AVH. </w:t>
      </w:r>
      <w:r>
        <w:rPr>
          <w:rFonts w:ascii="Arial" w:cs="Arial" w:eastAsia="Arial" w:hAnsi="Arial"/>
          <w:sz w:val="16"/>
          <w:szCs w:val="16"/>
          <w:color w:val="auto"/>
        </w:rPr>
        <w:t>United concluded that AVH is a VIE and that United holds a variable interest through the AVH Convertible Loan and a call option on BRW's AVH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However, United is not the primary beneficiary because it does not hold a material number of shares of AVH and does not have the power through the AVH Convertible Loan Agreement or any other agreement to direct the activities that most significantly impact AVH's economic performance. See Note 8 of this report for more information regarding the AVH Convertible Loan and Note 9 of this report for more information about the AVH call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Commitments. </w:t>
      </w:r>
      <w:r>
        <w:rPr>
          <w:rFonts w:ascii="Arial" w:cs="Arial" w:eastAsia="Arial" w:hAnsi="Arial"/>
          <w:sz w:val="18"/>
          <w:szCs w:val="18"/>
          <w:color w:val="auto"/>
        </w:rPr>
        <w:t>As of December 31, 2019, United had firm commitments and options to purchase aircraft from The Boeing Company ("Boeing"), Airbus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S.A.S. ("Airbus") and Embraer S.A. ("Embraer") presented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Scheduled Aircraft Deliveries</w:t>
            </w:r>
          </w:p>
        </w:tc>
      </w:tr>
      <w:tr>
        <w:trPr>
          <w:trHeight w:val="27"/>
        </w:trPr>
        <w:tc>
          <w:tcPr>
            <w:tcW w:w="5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Number of Firm</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5260" w:type="dxa"/>
            <w:vAlign w:val="bottom"/>
          </w:tcPr>
          <w:p>
            <w:pPr>
              <w:ind w:left="2120"/>
              <w:spacing w:after="0"/>
              <w:rPr>
                <w:sz w:val="20"/>
                <w:szCs w:val="20"/>
                <w:color w:val="auto"/>
              </w:rPr>
            </w:pPr>
            <w:r>
              <w:rPr>
                <w:rFonts w:ascii="Arial" w:cs="Arial" w:eastAsia="Arial" w:hAnsi="Arial"/>
                <w:sz w:val="18"/>
                <w:szCs w:val="18"/>
                <w:b w:val="1"/>
                <w:bCs w:val="1"/>
                <w:color w:val="auto"/>
              </w:rPr>
              <w:t>Aircraft Type</w:t>
            </w:r>
          </w:p>
        </w:tc>
        <w:tc>
          <w:tcPr>
            <w:tcW w:w="24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Commitments (a)</w:t>
            </w: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After 2020</w:t>
            </w:r>
          </w:p>
        </w:tc>
      </w:tr>
      <w:tr>
        <w:trPr>
          <w:trHeight w:val="27"/>
        </w:trPr>
        <w:tc>
          <w:tcPr>
            <w:tcW w:w="5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Airbus A321XLR</w:t>
            </w:r>
          </w:p>
        </w:tc>
        <w:tc>
          <w:tcPr>
            <w:tcW w:w="2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Airbus A350</w:t>
            </w:r>
          </w:p>
        </w:tc>
        <w:tc>
          <w:tcPr>
            <w:tcW w:w="230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Boeing 737 MAX</w:t>
            </w:r>
          </w:p>
        </w:tc>
        <w:tc>
          <w:tcPr>
            <w:tcW w:w="2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Boeing 777-300ER</w:t>
            </w:r>
          </w:p>
        </w:tc>
        <w:tc>
          <w:tcPr>
            <w:tcW w:w="23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Boeing 787</w:t>
            </w:r>
          </w:p>
        </w:tc>
        <w:tc>
          <w:tcPr>
            <w:tcW w:w="2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Embraer E175</w:t>
            </w:r>
          </w:p>
        </w:tc>
        <w:tc>
          <w:tcPr>
            <w:tcW w:w="230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United also has options and purchase rights for additional aircraft.</w:t>
      </w:r>
    </w:p>
    <w:p>
      <w:pPr>
        <w:spacing w:after="0" w:line="16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aircraft listed in the table above are scheduled for delivery through 2030. The Company expects to assign the purchase obligation for each of the 20 Embraer E175 aircraft to one of its regional partners at the time of such aircraft's delivery, subject to certain conditions. To the extent the Company and the aircraft manufacturers with which the Company has existing orders for new aircraft agree to modify the contracts governing those orders, the amount and timing of the Company's future capital commitments could change. United also has agreements to purchase 20 used Airbus A319 aircraft with expected delivery dates through 2022 and 19 used Boeing 737-700 aircraft with expected delivery dates through 2021.</w:t>
      </w:r>
    </w:p>
    <w:p>
      <w:pPr>
        <w:spacing w:after="0" w:line="3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44 Boeing 737 MAX aircraft in the table above include 16 Boeing B737 MAX aircraft of which the Company planned to take delivery in 2019, and 28 aircraft of which the Company planned to take delivery in 2020; however, following the FAA Order, Boeing suspended deliveries of new Boeing 737 MAX aircraft. The extent of the delay to the scheduled deliveries of new 737 MAX aircraft is expected to be impacted by the length of time the FAA Order remains in place, Boeing's production rate and the pace at which Boeing can deliver aircraft following the lifting of the FAA Order, among other factors. As a result, the Company is unable to estimate the number of Boeing 737 MAX aircraft of which it will take delivery in 2020.</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summarizes United's commitments as of December 31, 2019, which include aircraft and related spare engines, aircraft improvements and all non-aircraft capital commitments (in billions):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2023</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After 2024</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9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secured $328 million of EETC financing to finance certain aircraft deliveries in 2020. The Company has also secured backstop financing commitments from certain of its aircraft manufacturers for a limited number of its future aircraft deliveries, subject to certain customary conditions. Financing may be necessary to satisfy the Company's capital commitments for its firm order aircraft and other related capital expenditures.</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Legal and Environmental. </w:t>
      </w:r>
      <w:r>
        <w:rPr>
          <w:rFonts w:ascii="Arial" w:cs="Arial" w:eastAsia="Arial" w:hAnsi="Arial"/>
          <w:sz w:val="18"/>
          <w:szCs w:val="18"/>
          <w:color w:val="auto"/>
        </w:rPr>
        <w:t>The Company has certain contingencies resulting from litigation and claims incident to the ordinary course of business.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management believes, after considering a number of factors, including (but not limited to) the information currently available, the views of legal counsel, the nature of contingencies to which the Company is subject and prior experience, that the ultimate disposition of the litigation and claims will not materially affect the Company's consolidated financial position or results of operations. The Company records liabilities for legal and environmental claims</w:t>
      </w:r>
    </w:p>
    <w:p>
      <w:pPr>
        <w:sectPr>
          <w:pgSz w:w="11900" w:h="16838" w:orient="portrait"/>
          <w:cols w:equalWidth="0" w:num="1">
            <w:col w:w="11420"/>
          </w:cols>
          <w:pgMar w:left="240" w:top="184"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84" w:right="23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when a loss is probable and reasonably estimable. These amounts are recorded based on the Company's assessments of the likelihood of their eventual disposition.</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Guarantees and Indemnifications. </w:t>
      </w:r>
      <w:r>
        <w:rPr>
          <w:rFonts w:ascii="Arial" w:cs="Arial" w:eastAsia="Arial" w:hAnsi="Arial"/>
          <w:sz w:val="17"/>
          <w:szCs w:val="17"/>
          <w:color w:val="auto"/>
        </w:rPr>
        <w:t>In the normal course of business, the Company enters into numerous real estate leasing and aircraft financing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that have various guarantees included in the contracts. These guarantees are primarily in the form of indemnities under which the Company typically indemnifies the lessors and any tax/financing parties against liabilities that arise out of or relate to the use, operation or maintenance of the leased premises or financed aircraft. Currently, the Company believes that any future payments required under these guarantees or indemnities would be immaterial, as most liabilities and related indemnities are covered by insurance (subject to deductibles). Additionally, certain real estate leases include indemnities for any environmental liability that may arise out of or relate to the use of the leased premises.</w:t>
      </w:r>
    </w:p>
    <w:p>
      <w:pPr>
        <w:spacing w:after="0" w:line="2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December 31, 2019, United is the guarantor of approximately $1.9 billion in aggregate principal amount of tax-exempt special facilities revenue bonds and interest thereon. These bonds, issued by various airport municipalities, are payable solely from rentals paid under long-term agreements with the respective governing bodies. The leasing arrangements associated with these obligations are accounted for as operating leases recognized on the Company's balance sheet with the associated expense recorded on a straight-line basis over the expected lease term. The obligations associated with these tax-exempt special facilities revenue bonds are included in our lease commitments disclosed in Note 11 of this report. All of these bonds are due between 2020 and 2038.</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funding the BRW Term Loan Agreement, the Company entered into an agreement with Kingsland, pursuant to which, in return for Kingsland's pledge of its 144.8 million common shares of AVH (which are eligible to be converted into the same number of preferred shares, which may be deposited with the depositary for AVH's American Depositary Receipts ("ADRs"), the class of AVH securities that trades on the New York Stock Exchange (the "NYSE"), in exchange for 18.1 million ADRs) and its consent to BRW's pledge of its AVH common shares to United under the BRW Term Loan Agreement and related agreements, United (1) granted to Kingsland the right to put its AVH common shares to United at market price on the fifth anniversary of the BRW Term Loan Agreement or upon certain sales of AVH common shares owned by BRW, including upon a foreclosure, and (2) guaranteed BRW's obligation to pay Kingsland the difference (which amount, if paid by United, will increase the BRW Term Loan by such amount) if the market price of AVH common shares on the fifth anniversary, or upon any such sale, as applicable, is less than $12 per ADR on the NYSE, for an aggregate maximum possible combined put payment and guarantee amount on the fifth anniversary of $217 million. In 2018, the Company recorded a liability of $31 million for the fair value of its guarantee to loan additional funds to BRW if required. Any such additional loans to BRW would be collateralized by BRW's AVH shares and other collateral.</w:t>
      </w:r>
    </w:p>
    <w:p>
      <w:pPr>
        <w:spacing w:after="0" w:line="2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2019, United is the guarantor of $132 million of aircraft mortgage debt issued by one of United's regional carriers. The aircraft mortgage debt is subject to similar increased cost provisions as described below for the Company's debt, and the Company would potentially be responsible for those costs under the guarantees.</w:t>
      </w:r>
    </w:p>
    <w:p>
      <w:pPr>
        <w:spacing w:after="0" w:line="15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As of December 31, 2019, United had cash collateralized $73 million of letters of credit, which generally have evergreen clauses and are expected to be renewed on an annual basis. As of December 31, 2019, United also had $414 million of surety bonds securing various obligations with expiration dates through 2023.</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in which United is the borrower, United typically agrees to reimburse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reduced returns with respect to the loans due to any change in capital requirements and, in the case of loans with respect to which the interest rate is based on LIBOR,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2019, the Company had $3.4 billion of floating rate debt with remaining terms of up to 11 years that are subject to these increased cost provisions. In several financing transactions involving loans or leases from non-U.S. entities, with remaining terms of up to 11 years and an aggregate balance of $3.2 billion, the Company bears the risk of any change in tax laws that would subject loan or lease payments thereunder to non-U.S. entities to withholding taxes, subject to customary exclusions.</w:t>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Fuel Consortia. </w:t>
      </w:r>
      <w:r>
        <w:rPr>
          <w:rFonts w:ascii="Arial" w:cs="Arial" w:eastAsia="Arial" w:hAnsi="Arial"/>
          <w:sz w:val="16"/>
          <w:szCs w:val="16"/>
          <w:color w:val="auto"/>
        </w:rPr>
        <w:t>United participates in numerous fuel consortia with other air carriers at major airports to reduce the costs of fuel distribution and storage.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2019, approximately $1.9 billion principal amount of such bonds were secured by significant fuel facility leases in which United participates, as to which United and each of the signatory airlines has provided indirect guarantees of the debt. As of December 31, 2019, the Company's contingent exposure was approximately $175 million principal amount of such bonds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84" w:right="27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on its recent consortia participation. The Company's contingent exposure could increase if the participation of other air carriers decreases. The guarantees will expire when the tax-exempt bonds are paid in full, which ranges from 2022 to 2051. The Company did not record a liability at the time these indirect guarantees were made.</w:t>
      </w:r>
    </w:p>
    <w:p>
      <w:pPr>
        <w:spacing w:after="0" w:line="208"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b w:val="1"/>
          <w:bCs w:val="1"/>
          <w:i w:val="1"/>
          <w:iCs w:val="1"/>
          <w:color w:val="auto"/>
        </w:rPr>
        <w:t xml:space="preserve">Regional Capacity Purchase. </w:t>
      </w:r>
      <w:r>
        <w:rPr>
          <w:rFonts w:ascii="Arial" w:cs="Arial" w:eastAsia="Arial" w:hAnsi="Arial"/>
          <w:sz w:val="16"/>
          <w:szCs w:val="16"/>
          <w:color w:val="auto"/>
        </w:rPr>
        <w:t>As of December 31, 2019, United had 325 call options to purchase regional jet aircraft being operated by certain of its regional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carriers with contract dates extending until 2029. These call options are exercisable upon wrongful termination or breach of contract, among other conditions.</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Credit Card Processing Agreements. </w:t>
      </w:r>
      <w:r>
        <w:rPr>
          <w:rFonts w:ascii="Arial" w:cs="Arial" w:eastAsia="Arial" w:hAnsi="Arial"/>
          <w:sz w:val="18"/>
          <w:szCs w:val="18"/>
          <w:color w:val="auto"/>
        </w:rPr>
        <w:t>The Company has agreements with financial institutions that process customer credit card transactions for the sale of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additional cash or other collateral reserves to be established or additional withholding of payments related to receivables collected if the Company does not maintain certain minimum levels of unrestricted cash, cash equivalents and short-term investments (collectively, "Unrestricted Liquidity"). The Company's current level of Unrestricted Liquidity is substantially in excess of these minimum levels.</w:t>
      </w:r>
    </w:p>
    <w:p>
      <w:pPr>
        <w:spacing w:after="0" w:line="2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Labor Negotiations. </w:t>
      </w:r>
      <w:r>
        <w:rPr>
          <w:rFonts w:ascii="Arial" w:cs="Arial" w:eastAsia="Arial" w:hAnsi="Arial"/>
          <w:sz w:val="18"/>
          <w:szCs w:val="18"/>
          <w:color w:val="auto"/>
        </w:rPr>
        <w:t>As of December 31, 2019, United, including its subsidiaries, had approximately 96,000 employees. Approximately 84% of United's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represented by various U.S. labor organizations as of December 31, 2019.</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February 1, 2019, the collective bargaining agreement with the Air Line Pilots Association ("ALPA"), the labor union representing United's pilots, became amendable. The Company and ALPA are in negotiations for an amended agreement. The Company and UNITE HERE, the labor union representing United's Catering Operations employees, started negotiations for a first collective bargaining agreement in March 2019.</w:t>
      </w:r>
    </w:p>
    <w:p>
      <w:pPr>
        <w:spacing w:after="0" w:line="19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collective bargaining agreement with the International Brotherhood of Teamsters (the "IBT") contains provisions that require the Company to align contract terms with other airlines' workgroups under certain conditions. There were no triggering events in 2019 that invoked these provisions.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84"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SPECIAL CHARGES AND UNREALIZED (GAINS) LOSSES ON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Special charges and unrealized gains and losses on investments in the statements of consolidated operations consisted of the following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7"/>
                <w:szCs w:val="17"/>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Severance and benefit costs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Termination of an engine maintenance service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(Gains) losses on sale of assets and other special charges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special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Nonoperating unrealized (gains) losses on investments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special charges and unrealized (gains) losses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adjustments (Note 6)</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20" w:type="dxa"/>
            <w:vAlign w:val="bottom"/>
            <w:gridSpan w:val="2"/>
          </w:tcPr>
          <w:p>
            <w:pPr>
              <w:ind w:left="460"/>
              <w:spacing w:after="0"/>
              <w:rPr>
                <w:sz w:val="20"/>
                <w:szCs w:val="20"/>
                <w:color w:val="auto"/>
              </w:rPr>
            </w:pPr>
            <w:r>
              <w:rPr>
                <w:rFonts w:ascii="Arial" w:cs="Arial" w:eastAsia="Arial" w:hAnsi="Arial"/>
                <w:sz w:val="18"/>
                <w:szCs w:val="18"/>
                <w:color w:val="auto"/>
                <w:w w:val="96"/>
              </w:rPr>
              <w:t>Total special charges and unrealized (gains) losses on investments, net of income taxes and</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7620" w:type="dxa"/>
            <w:vAlign w:val="bottom"/>
            <w:gridSpan w:val="2"/>
          </w:tcPr>
          <w:p>
            <w:pPr>
              <w:ind w:left="460"/>
              <w:spacing w:after="0"/>
              <w:rPr>
                <w:sz w:val="20"/>
                <w:szCs w:val="20"/>
                <w:color w:val="auto"/>
              </w:rPr>
            </w:pPr>
            <w:r>
              <w:rPr>
                <w:rFonts w:ascii="Arial" w:cs="Arial" w:eastAsia="Arial" w:hAnsi="Arial"/>
                <w:sz w:val="18"/>
                <w:szCs w:val="18"/>
                <w:color w:val="auto"/>
              </w:rPr>
              <w:t>income tax adjustments</w:t>
            </w:r>
          </w:p>
        </w:tc>
        <w:tc>
          <w:tcPr>
            <w:tcW w:w="3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conducted its annual impairment review of intangible assets in the fourth quarter of 2019, which consisted of a comparison of the book value of specific assets to the fair value of those assets. Due to a decrease in demand for the Hong Kong market and the resulting decrease in unit revenue, the Company determined that the value of its Hong Kong routes had been fully impaired. Accordingly, in the fourth quarter of 2019, the Company recorded a special non-cash impairment charge of $90 million associated with its Hong Kong routes. Notwithstanding the impairment, the collateral pledged under the Company's term loan continues to be sufficient to satisfy the loan covenants. The Company determined the fair value of the Hong Kong routes using a variation of the income approach known as the excess earnings method, which discounts an asset's projected future net cash flows to determine the current fair value. Assumptions used in the discounted cash flow methodology include a discount rate, which is based upon the Company's current weighted average cost of capital plus an asset-specific risk factor, and a projection of sales, expenses, gross margin, tax rates and contributory asset charges for several future years and a terminal growth rate. The assumptions used for future projections are determined based upon the Company's asset-specific forecasts along with the Company's strategic plan. These assumptions are inherently uncertain as they relate to future events and circumstances. Actual results will be influenced by the competitive environment, fuel costs and other expenses, and potentially other unforeseen events or circumstances that could have a material negative impact on future results.</w:t>
      </w:r>
    </w:p>
    <w:p>
      <w:pPr>
        <w:spacing w:after="0" w:line="1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2019, the Company recorded a $43 million impairment primarily for surplus Boeing 767 aircraft engines removed from operations, an $18 million charge primarily for the write-off of unexercised aircraft purchase options, and $20 million in other aircraft impairments.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2019, the Company recorded $14 million of management severance and $2 million of severance and benefit costs related to a voluntary early-out program for its technicians and related employees represented by the IBT. In the first quarter of 2017, approximately 1,000 technicians and related employees elected to voluntarily separate from the Company and received a severance payment, with a maximum value of $100,000 per participant, based on years of service, with retirement dates through early 2019.</w:t>
      </w:r>
    </w:p>
    <w:p>
      <w:pPr>
        <w:spacing w:after="0" w:line="1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2019, the Company recorded charges of $25 million related to contract terminations, $18 million for the settlement of certain legal matters, $14 million for costs related to the transition of fleet types within a regional carrier contract and $2 million of other charges.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2019, the Company recorded gains of $140 million for the change in market value of certain of its equity investments, primarily Azul, and $13 million for the change in fair value of the AVH Derivative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2018</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2018, the Company recorded a special non-cash impairment charge of $206 million associated with its Hong Kong routes as a result of its annual intangible assets impairment review. The Company determined the fair value of the Hong Kong routes using a variation of the income approach as described above for the 2019 Hong Kong impairment.</w:t>
      </w:r>
    </w:p>
    <w:p>
      <w:pPr>
        <w:spacing w:after="0" w:line="1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May 2018, the Brazil–United States open skies agreement was ratified, which provides air carriers with unrestricted access between the United States and Brazil. The Company determined that the approval of the open skies agreement impaired the entire value of its Brazil route authorities because the agreement removes all limitations or reciprocity requirements for flights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84"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between the United States and Brazil. Accordingly, the Company recorded a $105 million special charge to write off the entire value of the intangible asset associated with its Brazil routes. Also during 2018, the Company recorded $66 million of fair value adjustments related to aircraft purchased off lease, write-offs of unexercised aircraft purchase options and other impairments related to certain fleet types and international slots no longer in use.</w:t>
      </w:r>
    </w:p>
    <w:p>
      <w:pPr>
        <w:spacing w:after="0" w:line="11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During 2018, the Company recorded $22 million of severance and benefit costs related to the voluntary early-out program for its technicians and related employees represented by the IBT as described above. Also during 2018, the Company recorded other management severance of $19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Company recorded a one-time termination charge of $64 million related to one of its engine maintenance service agreements.</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2018, the Company recorded gains of $28 million for the change in market value of certain of its equity investments, primarily Azul. Also, the Company recorded losses of $33 million for the change in fair value of the AVH Derivative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2017</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2017, the Company recorded a $10 million impairment charge related to obsolete spare parts inventory and a $15 million intangible asset impairment charge related to a maintenance service agreement.</w:t>
      </w:r>
    </w:p>
    <w:p>
      <w:pPr>
        <w:spacing w:after="0" w:line="11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During 2017, the Company recorded $83 million of severance and benefit costs related to the voluntary early-out program for its technicians and related employees represented by the IBT as described above. Also during 2017, the Company recorded $33 million of other management severance.</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2017, the Company recorded charges of $12 million for weather-related damages, $11 million for losses on the sale of assets, and $12 million of other charges.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gridSpan w:val="5"/>
          </w:tcPr>
          <w:p>
            <w:pPr>
              <w:spacing w:after="0"/>
              <w:rPr>
                <w:sz w:val="20"/>
                <w:szCs w:val="20"/>
                <w:color w:val="auto"/>
              </w:rPr>
            </w:pPr>
            <w:r>
              <w:rPr>
                <w:rFonts w:ascii="Arial" w:cs="Arial" w:eastAsia="Arial" w:hAnsi="Arial"/>
                <w:sz w:val="18"/>
                <w:szCs w:val="18"/>
                <w:b w:val="1"/>
                <w:bCs w:val="1"/>
                <w:color w:val="auto"/>
              </w:rPr>
              <w:t>NOTE 15 - SELECTED QUARTERLY FINANCIAL DATA (UNAUDITED)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ind w:left="7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2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rPr>
              <w:t>(In millions, except per share amounts)</w:t>
            </w:r>
          </w:p>
        </w:tc>
        <w:tc>
          <w:tcPr>
            <w:tcW w:w="260" w:type="dxa"/>
            <w:vAlign w:val="bottom"/>
          </w:tcPr>
          <w:p>
            <w:pPr>
              <w:spacing w:after="0"/>
              <w:rPr>
                <w:sz w:val="17"/>
                <w:szCs w:val="17"/>
                <w:color w:val="auto"/>
              </w:rPr>
            </w:pPr>
          </w:p>
        </w:tc>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2019</w:t>
            </w:r>
          </w:p>
        </w:tc>
        <w:tc>
          <w:tcPr>
            <w:tcW w:w="26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26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10,888</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324"/>
        </w:trPr>
        <w:tc>
          <w:tcPr>
            <w:tcW w:w="400" w:type="dxa"/>
            <w:vAlign w:val="bottom"/>
            <w:gridSpan w:val="2"/>
          </w:tcPr>
          <w:p>
            <w:pPr>
              <w:ind w:left="40"/>
              <w:spacing w:after="0"/>
              <w:rPr>
                <w:sz w:val="20"/>
                <w:szCs w:val="20"/>
                <w:color w:val="auto"/>
              </w:rPr>
            </w:pPr>
            <w:r>
              <w:rPr>
                <w:rFonts w:ascii="Arial" w:cs="Arial" w:eastAsia="Arial" w:hAnsi="Arial"/>
                <w:sz w:val="18"/>
                <w:szCs w:val="18"/>
                <w:b w:val="1"/>
                <w:bCs w:val="1"/>
                <w:color w:val="auto"/>
                <w:w w:val="84"/>
              </w:rPr>
              <w:t>2018</w:t>
            </w:r>
          </w:p>
        </w:tc>
        <w:tc>
          <w:tcPr>
            <w:tcW w:w="2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Income from operations (a)</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Basic earnings per share (a)</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earnings per share (a)</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81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(a) Amounts adjusted due to the adoption of Accounting Standards Update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See Note 1 of this report for additional information on the adjustments.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84"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UAL's quarterly financial data is subject to seasonal fluctuations and historically its second and third quarter financial results, which reflect higher travel demand, are better than its first and fourth quarter financial results. UAL's quarterly results were impacted by the following significant items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2019</w:t>
            </w:r>
          </w:p>
        </w:tc>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Severance and benefit costs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(Gains) losses on sale of assets and other special charges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Total operating special charges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Nonoperating unrealized (gains) losses on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w w:val="97"/>
              </w:rPr>
              <w:t>Total special charges and unrealized (gains) losses on investments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Income tax benefit related to special charges and unrealized (gains) losses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on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w w:val="91"/>
              </w:rPr>
              <w:t>Total special charges and unrealized (gains) losses on investments, net</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of income tax</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2018</w:t>
            </w: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0" w:type="dxa"/>
            <w:vAlign w:val="bottom"/>
            <w:gridSpan w:val="2"/>
            <w:vMerge w:val="continue"/>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Termination of an engine maintenance service agreement</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Severance and benefit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(Gains) losses on sale of assets and other special charges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special charges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Nonoperating unrealized (gains) losses on investments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Total special charges and unrealized (gains) losses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gridSpan w:val="2"/>
          </w:tcPr>
          <w:p>
            <w:pPr>
              <w:ind w:left="140"/>
              <w:spacing w:after="0"/>
              <w:rPr>
                <w:sz w:val="20"/>
                <w:szCs w:val="20"/>
                <w:color w:val="auto"/>
              </w:rPr>
            </w:pPr>
            <w:r>
              <w:rPr>
                <w:rFonts w:ascii="Arial" w:cs="Arial" w:eastAsia="Arial" w:hAnsi="Arial"/>
                <w:sz w:val="18"/>
                <w:szCs w:val="18"/>
                <w:color w:val="auto"/>
                <w:w w:val="94"/>
              </w:rPr>
              <w:t>Income tax benefit related to special charges and unrealized (gains) losses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gridSpan w:val="2"/>
          </w:tcPr>
          <w:p>
            <w:pPr>
              <w:ind w:left="140"/>
              <w:spacing w:after="0"/>
              <w:rPr>
                <w:sz w:val="20"/>
                <w:szCs w:val="20"/>
                <w:color w:val="auto"/>
              </w:rPr>
            </w:pPr>
            <w:r>
              <w:rPr>
                <w:rFonts w:ascii="Arial" w:cs="Arial" w:eastAsia="Arial" w:hAnsi="Arial"/>
                <w:sz w:val="18"/>
                <w:szCs w:val="18"/>
                <w:color w:val="auto"/>
              </w:rPr>
              <w:t>on investments</w:t>
            </w: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w w:val="91"/>
              </w:rPr>
              <w:t>Total special charges and unrealized (gains) losses on investments, net</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of income tax</w:t>
            </w:r>
          </w:p>
        </w:tc>
        <w:tc>
          <w:tcPr>
            <w:tcW w:w="1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See Note 14 of this report for additional information related to these items.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84"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2019, a novel strain of coronavirus ("COVID-19") was reported in Wuhan, China. The World Health Organization has declared COVID-19 to constitute a "Public Health Emergency of International Concern." On January 30, 2020, the U.S. Department of State issued a Level 4 "do not travel" advisory for China. The U.S. government has also implemented enhanced screenings, quarantine requirements and travel restrictions in connection with the COVID-19 outbreak. The Company has suspended its flights between the United States and each of Beijing, Chengdu, Shanghai and Hong Kong through April 24, 2020. These routes represented approximately 5% of the Company's 2020 planned capacity and the Company's other trans-Pacific routes represented an additional 10% of the Company's 2020 planned capacity. As of the date of this report, the Company is experiencing an approximately 100% decline in near-term demand to China and an approximately 75% decline in near-term demand on the rest of the Company's trans-Pacific routes. The extent of the impact of the COVID-19 on the Company's operational and financial performance will depend on future developments, including the duration and spread of the outbreak and related travel advisories and restrictions and the impact of the COVID-19 on overall demand for air travel, all of which are highly uncertain and cannot be predicted. If traffic on the Company's trans-Pacific routes were to remain at these levels for an extended period, and/or routes in other parts of the Company's network begin to see significant declines in demand, our results of operations for full year 2020 may be materially adversely affected.</w:t>
      </w:r>
    </w:p>
    <w:p>
      <w:pPr>
        <w:spacing w:after="0" w:line="3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February 2020, the Company announced that they had entered into a Third Amended and Restated Co-Branded Card Marketing Services Agreement (as amended from time to time, the "Agreement") with Chase. The Agreement, which replaces the Co-Brand Agreement, also extends the term into 2029 and modifies certain other terms. We will continue to account for the considerations received under the Agreement to the separately identifiable performance obligations using the estimated selling price allocation methodology explained in Note 1(d). In connection with the Agreement the Company, entered into an Amended and Restated Co-Branded Card Strategic Alliance Agreement with Visa U.S.A. Inc.</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84"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 and Procedures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UAL and United each maintain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they file with the SEC on a timely basis. Based on that evaluation, the Chief Executive Officer and the Chief Financial Officer of UAL and United have concluded that as of December 31, 2019, disclosure controls and procedures were effective.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during the Quarter Ended December 31, 2019</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three months ended December 31, 2019, there was no change in UAL's or United's internal control over financial reporting that materially affected, or is reasonably likely to materially affect, their internal control over financial reporting.</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184" w:right="3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United Airlines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United Airlines Holdings, Inc.'s (the "Company") internal control over financial reporting as of December 31, 2019,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as of and for the year ended December 31, 2019 of the Company and our report dated February 24, 2020 expressed an unqualified opinion thereon.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84"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Holdings, Inc. Management Report on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United Airlines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management of United Airlines Holdings, Inc. ("UAL") is responsible for establishing and maintaining adequate internal control over financial reporting, as such term is defined in Exchange Act Rules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conducted an evaluation of the design and operating effectiveness of our internal control over financial reporting as of December 31, 2019. In making this assessment, management used the framework set forth in Internal Control—Integrated Framework (2013 Framework) issued by the Committee of the Sponsoring Organizations of the Treadway Commission. Based on this evaluation, our Chief Executive Officer and Chief Financial Officer concluded that our internal control over financial reporting was effective as of December 31, 2019.</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independent registered public accounting firm, Ernst &amp; Young LLP, who audited UAL's consolidated financial statements included in this Form 10-K, has issued a report on UAL's internal control over financial reporting, which is included herein.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Inc. Management Report on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United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management of United Airlines, Inc. ("United") is responsible for establishing and maintaining adequate internal control over financial reporting, as such term is defined in Exchange Act Rules 13a-15(f). United's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United's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United's Chief Executive Officer and Chief Financial Officer, United conducted an evaluation of the design and operating effectiveness of its internal control over financial reporting as of December 31, 2019. In making this assessment, management used the framework set forth in Internal Control—Integrated Framework (2013 Framework) issued by the Committee of the Sponsoring Organizations of the Treadway Commission. Based on this evaluation, United's Chief Executive Officer and Chief Financial Officer concluded that its internal control over financial reporting was effective as of December 31, 2019.</w:t>
      </w:r>
    </w:p>
    <w:p>
      <w:pPr>
        <w:spacing w:after="0" w:line="13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This annual report does not include an attestation report of United's registered public accounting firm regarding internal control over financial reporting. Management's report was not subject to attestation by United's registered public accounting firm pursuant to the rules of the Securities and Exchange Commission that permit United to provide only management's report in this annual report.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184" w:right="27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Certain information required by this item with respect to UAL is incorporated by reference from UAL's definitive proxy statement for its 2020 Annual Meeting of Stockholders under the captions "Election of Directors" and "Corporate Governance." Information regarding the executive officers of UAL is presented in Part I, Item 1 of this report. There are no family relationships among the executive officers or the directors of UAL. The executive officers are elected by UAL's Board of Directors each year and hold office until the next annual meeting of stockholders, until their successors are elected and qualified, or until their earlier death, resignation or removal.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Code of Ethics. </w:t>
      </w:r>
      <w:r>
        <w:rPr>
          <w:rFonts w:ascii="Arial" w:cs="Arial" w:eastAsia="Arial" w:hAnsi="Arial"/>
          <w:sz w:val="18"/>
          <w:szCs w:val="18"/>
          <w:color w:val="auto"/>
        </w:rPr>
        <w:t>The Company has a code of ethics, the "Code of Ethics and Business Conduct," for its directors, officers and employees. The code serves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of Ethics" as defined by SEC regulations, and as a "Code of Conduct" under Nasdaq Listing Rule 5610. The code is available on the Company's investor relations website at ir.united.com. Waivers granted to certain officers from compliance with or future amendments to the code will be disclosed on the Company's investor relations website in accordance with Item 5.05 of Form 8-K.</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2020 Annual Meeting of Stockholders under the captions "Executive Compensation," "2019 Director Compensation" and "Corporate Governance—Compensation Committee Interlocks and Insider Participation."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89" w:lineRule="exact"/>
        <w:rPr>
          <w:sz w:val="20"/>
          <w:szCs w:val="20"/>
          <w:color w:val="auto"/>
        </w:rPr>
      </w:pPr>
    </w:p>
    <w:p>
      <w:pPr>
        <w:ind w:left="1300" w:right="2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93"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2020 Annual Meeting of Stockholders under the caption "Beneficial Ownership of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2020 Annual Meeting of Stockholders under the captions "Corporate Governance—Certain Relationships and Related Transactions," "Corporate Governance—Committees of the Board" and "Corporate Governance—Director Independence."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84" w:right="25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of the UAL Board of Directors has adopted a policy on pre-approval of services of the Company's independent registered public accounting firm. As a wholly-owned subsidiary of UAL, United's audit services are determined by UAL. The policy provides that the Audit Committee shall pre-approve all audit and non-audit services to be provided to UAL and its subsidiaries and affiliates by its independent auditors. The process by which this is carried out is as follows:</w:t>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3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Any requests for audit, audit related, tax and other services not contemplated with the recurring services approval described above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0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a periodic basis, the Audit Committee reviews the status of services and fees incurred year-to-date and a list of newly pre-approved services since its last regularly scheduled meeting. The Audit Committee has considered whether the 2019 and 2018 non-audit services provided by Ernst &amp; Young LLP, the Company's independent registered public accounting firm, are compatible with maintaining auditor independence.</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of the services in 2019 and 2018 under the Audit Fees, Audit Related Fees, Tax Fees and All Other Fees categories below have been approved by the Audit Committee pursuant to paragraph (c)(7) of Rule 2-01 of Regulation S-X of the Exchange Act.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the Company's independent auditors in 2019 and 2018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Audit Related Fees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4,535</w:t>
            </w:r>
          </w:p>
        </w:tc>
      </w:tr>
      <w:tr>
        <w:trPr>
          <w:trHeight w:val="20"/>
        </w:trPr>
        <w:tc>
          <w:tcPr>
            <w:tcW w:w="83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4"/>
          <w:szCs w:val="14"/>
          <w:color w:val="auto"/>
        </w:rPr>
        <w:t>Note: UAL and United amounts are the same.</w:t>
      </w:r>
    </w:p>
    <w:p>
      <w:pPr>
        <w:spacing w:after="0" w:line="3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For 2019 and 2018, audit fees consist primarily of the audit and quarterly reviews of the consolidated financial statements and the audit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of internal control over financial reporting of United Airlines Holdings, Inc. and its wholly-owned subsidiaries. Audit fees also include the audit of the consolidated financial statements of United,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Audit Related Fees. </w:t>
      </w:r>
      <w:r>
        <w:rPr>
          <w:rFonts w:ascii="Arial" w:cs="Arial" w:eastAsia="Arial" w:hAnsi="Arial"/>
          <w:sz w:val="18"/>
          <w:szCs w:val="18"/>
          <w:color w:val="auto"/>
        </w:rPr>
        <w:t>For 2019, fees for audit-related services primarily consisted of accounting consultations for proposed or future transactions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identifying and testing changes in the internal control environment prior to the implementation of the new revenue accounting system, which went into effect during the third quarter of 2019. For 2018, fees for audit-related services consisted of consultations related to the adoption of new accounting standards prior to adoption.</w:t>
      </w:r>
    </w:p>
    <w:p>
      <w:pPr>
        <w:spacing w:after="0" w:line="21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 xml:space="preserve">Tax Fees. </w:t>
      </w:r>
      <w:r>
        <w:rPr>
          <w:rFonts w:ascii="Arial" w:cs="Arial" w:eastAsia="Arial" w:hAnsi="Arial"/>
          <w:sz w:val="16"/>
          <w:szCs w:val="16"/>
          <w:color w:val="auto"/>
        </w:rPr>
        <w:t>Tax fees for 2019 and 2018 relate to professional services provided for research and consultations regarding tax accounting and tax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and review of U.S. and international tax impacts of certain transactions, exclusive of tax services rendered in connection with the audit.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Fees for all other services billed in 2018 consist of subscriptions to Ernst &amp; Young LLP's on-line accounting research tool.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84"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1080" w:hanging="104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306" w:lineRule="exact"/>
        <w:rPr>
          <w:rFonts w:ascii="Arial" w:cs="Arial" w:eastAsia="Arial" w:hAnsi="Arial"/>
          <w:sz w:val="18"/>
          <w:szCs w:val="18"/>
          <w:color w:val="auto"/>
        </w:rPr>
      </w:pPr>
    </w:p>
    <w:p>
      <w:pPr>
        <w:ind w:left="1080" w:right="360" w:hanging="802"/>
        <w:spacing w:after="0" w:line="277"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required by this item are listed in Part II, Item 8,</w:t>
      </w:r>
      <w:r>
        <w:rPr>
          <w:rFonts w:ascii="Arial" w:cs="Arial" w:eastAsia="Arial" w:hAnsi="Arial"/>
          <w:sz w:val="18"/>
          <w:szCs w:val="18"/>
          <w:i w:val="1"/>
          <w:iCs w:val="1"/>
          <w:color w:val="auto"/>
        </w:rPr>
        <w:t xml:space="preserve"> Financial Statements and Supplementary Data </w:t>
      </w:r>
      <w:r>
        <w:rPr>
          <w:rFonts w:ascii="Arial" w:cs="Arial" w:eastAsia="Arial" w:hAnsi="Arial"/>
          <w:sz w:val="18"/>
          <w:szCs w:val="18"/>
          <w:color w:val="auto"/>
        </w:rPr>
        <w:t>herein.</w:t>
      </w:r>
    </w:p>
    <w:p>
      <w:pPr>
        <w:spacing w:after="0" w:line="237" w:lineRule="exact"/>
        <w:rPr>
          <w:rFonts w:ascii="Arial" w:cs="Arial" w:eastAsia="Arial" w:hAnsi="Arial"/>
          <w:sz w:val="18"/>
          <w:szCs w:val="18"/>
          <w:color w:val="auto"/>
        </w:rPr>
      </w:pPr>
    </w:p>
    <w:p>
      <w:pPr>
        <w:ind w:left="1080" w:right="400" w:hanging="802"/>
        <w:spacing w:after="0" w:line="277"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The financial statement schedule required by this item is listed below and included in this report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 page hereto.</w:t>
      </w:r>
    </w:p>
    <w:p>
      <w:pPr>
        <w:spacing w:after="0" w:line="1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Schedule II-Valuation and Qualifying Accounts for the years ended December 31, 2019, 2018 and 2017.</w:t>
      </w:r>
    </w:p>
    <w:p>
      <w:pPr>
        <w:spacing w:after="0" w:line="293"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shown in the consolidated financial statements or notes thereto.</w:t>
      </w:r>
    </w:p>
    <w:p>
      <w:pPr>
        <w:spacing w:after="0" w:line="333" w:lineRule="exact"/>
        <w:rPr>
          <w:sz w:val="20"/>
          <w:szCs w:val="20"/>
          <w:color w:val="auto"/>
        </w:rPr>
      </w:pPr>
    </w:p>
    <w:p>
      <w:pPr>
        <w:ind w:left="1080" w:hanging="1045"/>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required by this item are provided in the Exhibit Index.</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40" w:type="dxa"/>
            <w:vAlign w:val="bottom"/>
            <w:gridSpan w:val="21"/>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Registrant</w:t>
            </w:r>
          </w:p>
        </w:tc>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40" w:type="dxa"/>
            <w:vAlign w:val="bottom"/>
            <w:gridSpan w:val="19"/>
          </w:tcPr>
          <w:p>
            <w:pPr>
              <w:ind w:left="220"/>
              <w:spacing w:after="0"/>
              <w:rPr>
                <w:sz w:val="20"/>
                <w:szCs w:val="20"/>
                <w:color w:val="auto"/>
              </w:rPr>
            </w:pPr>
            <w:r>
              <w:rPr>
                <w:rFonts w:ascii="Arial" w:cs="Arial" w:eastAsia="Arial" w:hAnsi="Arial"/>
                <w:sz w:val="14"/>
                <w:szCs w:val="14"/>
                <w:b w:val="1"/>
                <w:bCs w:val="1"/>
                <w:color w:val="auto"/>
              </w:rPr>
              <w:t>Exhibit</w:t>
            </w:r>
          </w:p>
        </w:tc>
      </w:tr>
      <w:tr>
        <w:trPr>
          <w:trHeight w:val="345"/>
        </w:trPr>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Articles of Incorporation and Bylaws</w:t>
            </w:r>
          </w:p>
        </w:tc>
        <w:tc>
          <w:tcPr>
            <w:tcW w:w="440" w:type="dxa"/>
            <w:vAlign w:val="bottom"/>
            <w:tcBorders>
              <w:top w:val="single" w:sz="8" w:color="auto"/>
            </w:tcBorders>
            <w:gridSpan w:val="2"/>
          </w:tcPr>
          <w:p>
            <w:pPr>
              <w:spacing w:after="0"/>
              <w:rPr>
                <w:sz w:val="24"/>
                <w:szCs w:val="24"/>
                <w:color w:val="auto"/>
              </w:rPr>
            </w:pPr>
          </w:p>
        </w:tc>
        <w:tc>
          <w:tcPr>
            <w:tcW w:w="4080" w:type="dxa"/>
            <w:vAlign w:val="bottom"/>
            <w:gridSpan w:val="16"/>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40" w:type="dxa"/>
            <w:vAlign w:val="bottom"/>
            <w:gridSpan w:val="21"/>
          </w:tcPr>
          <w:p>
            <w:pPr>
              <w:spacing w:after="0"/>
              <w:rPr>
                <w:rFonts w:ascii="Arial" w:cs="Arial" w:eastAsia="Arial" w:hAnsi="Arial"/>
                <w:sz w:val="18"/>
                <w:szCs w:val="18"/>
                <w:color w:val="0000FF"/>
                <w:w w:val="96"/>
              </w:rPr>
            </w:pPr>
            <w:hyperlink r:id="rId31">
              <w:r>
                <w:rPr>
                  <w:rFonts w:ascii="Arial" w:cs="Arial" w:eastAsia="Arial" w:hAnsi="Arial"/>
                  <w:sz w:val="18"/>
                  <w:szCs w:val="18"/>
                  <w:color w:val="0000FF"/>
                  <w:w w:val="96"/>
                </w:rPr>
                <w:t>Amended and Restated Certificate of Incorporation of United Airlines Holdings, Inc. (filed as Exhibit 3.1 to UAL's</w:t>
              </w:r>
            </w:hyperlink>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82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Form 8-K filed June 27, 2019, Commission file number 1-6033, and incorporated herein by reference)</w:t>
              </w:r>
            </w:hyperlink>
          </w:p>
        </w:tc>
        <w:tc>
          <w:tcPr>
            <w:tcW w:w="360" w:type="dxa"/>
            <w:vAlign w:val="bottom"/>
            <w:gridSpan w:val="6"/>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40" w:type="dxa"/>
            <w:vAlign w:val="bottom"/>
            <w:gridSpan w:val="21"/>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Amended and Restated Bylaws of United Airlines Holdings, Inc. (filed as Exhibit 3.2 to UAL's Form 8-K filed June 27,</w:t>
              </w:r>
            </w:hyperlink>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86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2019, Commission file number 1-6033, and incorporated herein by reference)</w:t>
              </w:r>
            </w:hyperlink>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FF"/>
            </w:tcBorders>
            <w:gridSpan w:val="17"/>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Amended and Restated Certificate of Incorporation of United Airlines, Inc. (filed as Exhibit 3.1 to UAL's Form 8-K</w:t>
              </w:r>
            </w:hyperlink>
          </w:p>
        </w:tc>
        <w:tc>
          <w:tcPr>
            <w:tcW w:w="280" w:type="dxa"/>
            <w:vAlign w:val="bottom"/>
            <w:gridSpan w:val="4"/>
          </w:tcPr>
          <w:p>
            <w:pPr>
              <w:spacing w:after="0"/>
              <w:rPr>
                <w:sz w:val="24"/>
                <w:szCs w:val="24"/>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filed April 3, 2013, Commission file number 1-6033, and incorporated herein by reference)</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0" w:type="dxa"/>
            <w:vAlign w:val="bottom"/>
            <w:tcBorders>
              <w:bottom w:val="single" w:sz="8" w:color="0000FF"/>
            </w:tcBorders>
            <w:gridSpan w:val="18"/>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Amended and Restated By-laws of United Airlines, Inc. (filed as Exhibit 3.2 to UAL's Form 8-K filed April 3, 2013,</w:t>
              </w:r>
            </w:hyperlink>
          </w:p>
        </w:tc>
        <w:tc>
          <w:tcPr>
            <w:tcW w:w="240" w:type="dxa"/>
            <w:vAlign w:val="bottom"/>
            <w:gridSpan w:val="3"/>
          </w:tcPr>
          <w:p>
            <w:pPr>
              <w:spacing w:after="0"/>
              <w:rPr>
                <w:sz w:val="24"/>
                <w:szCs w:val="24"/>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Commission file number 1-6033, and incorporated herein by reference)</w:t>
              </w:r>
            </w:hyperlink>
          </w:p>
        </w:tc>
        <w:tc>
          <w:tcPr>
            <w:tcW w:w="3480" w:type="dxa"/>
            <w:vAlign w:val="bottom"/>
            <w:gridSpan w:val="14"/>
          </w:tcPr>
          <w:p>
            <w:pPr>
              <w:spacing w:after="0"/>
              <w:rPr>
                <w:sz w:val="17"/>
                <w:szCs w:val="17"/>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40" w:type="dxa"/>
            <w:vAlign w:val="bottom"/>
            <w:gridSpan w:val="21"/>
          </w:tcPr>
          <w:p>
            <w:pPr>
              <w:spacing w:after="0"/>
              <w:rPr>
                <w:sz w:val="20"/>
                <w:szCs w:val="20"/>
                <w:color w:val="auto"/>
              </w:rPr>
            </w:pPr>
            <w:r>
              <w:rPr>
                <w:rFonts w:ascii="Arial" w:cs="Arial" w:eastAsia="Arial" w:hAnsi="Arial"/>
                <w:sz w:val="18"/>
                <w:szCs w:val="18"/>
                <w:b w:val="1"/>
                <w:bCs w:val="1"/>
                <w:color w:val="auto"/>
              </w:rPr>
              <w:t>Instruments Defining Rights of Security Holders, Including Indentures</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0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0" w:type="dxa"/>
            <w:vAlign w:val="bottom"/>
            <w:tcBorders>
              <w:bottom w:val="single" w:sz="8" w:color="0000FF"/>
            </w:tcBorders>
            <w:gridSpan w:val="18"/>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Indenture, dated as of May 7, 2013, among United Continental Holdings, Inc., United Airlines, Inc. and The Bank of</w:t>
              </w:r>
            </w:hyperlink>
          </w:p>
        </w:tc>
        <w:tc>
          <w:tcPr>
            <w:tcW w:w="240" w:type="dxa"/>
            <w:vAlign w:val="bottom"/>
            <w:gridSpan w:val="3"/>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83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New York Mellon Trust Company, N.A., as Trustee (filed as Exhibit 4.1 to UAL's Form 8-K filed on May 10, 2013,</w:t>
              </w:r>
            </w:hyperlink>
          </w:p>
        </w:tc>
        <w:tc>
          <w:tcPr>
            <w:tcW w:w="300" w:type="dxa"/>
            <w:vAlign w:val="bottom"/>
            <w:gridSpan w:val="5"/>
          </w:tcPr>
          <w:p>
            <w:pPr>
              <w:spacing w:after="0"/>
              <w:rPr>
                <w:sz w:val="17"/>
                <w:szCs w:val="17"/>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Commission file number 1-6033, and incorporated herein by reference)</w:t>
              </w:r>
            </w:hyperlink>
          </w:p>
        </w:tc>
        <w:tc>
          <w:tcPr>
            <w:tcW w:w="3500" w:type="dxa"/>
            <w:vAlign w:val="bottom"/>
            <w:gridSpan w:val="15"/>
          </w:tcPr>
          <w:p>
            <w:pPr>
              <w:spacing w:after="0"/>
              <w:rPr>
                <w:sz w:val="17"/>
                <w:szCs w:val="17"/>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0" w:type="dxa"/>
            <w:vAlign w:val="bottom"/>
            <w:tcBorders>
              <w:bottom w:val="single" w:sz="8" w:color="0000FF"/>
            </w:tcBorders>
            <w:gridSpan w:val="14"/>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Second Supplemental Indenture, dated as of November 8, 2013, among United Continental Holdings, Inc., United</w:t>
              </w:r>
            </w:hyperlink>
          </w:p>
        </w:tc>
        <w:tc>
          <w:tcPr>
            <w:tcW w:w="440" w:type="dxa"/>
            <w:vAlign w:val="bottom"/>
            <w:gridSpan w:val="7"/>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40" w:type="dxa"/>
            <w:vAlign w:val="bottom"/>
            <w:gridSpan w:val="21"/>
          </w:tcPr>
          <w:p>
            <w:pPr>
              <w:spacing w:after="0" w:line="196" w:lineRule="exact"/>
              <w:rPr>
                <w:rFonts w:ascii="Arial" w:cs="Arial" w:eastAsia="Arial" w:hAnsi="Arial"/>
                <w:sz w:val="18"/>
                <w:szCs w:val="18"/>
                <w:color w:val="0000FF"/>
                <w:w w:val="98"/>
              </w:rPr>
            </w:pPr>
            <w:hyperlink r:id="rId36">
              <w:r>
                <w:rPr>
                  <w:rFonts w:ascii="Arial" w:cs="Arial" w:eastAsia="Arial" w:hAnsi="Arial"/>
                  <w:sz w:val="18"/>
                  <w:szCs w:val="18"/>
                  <w:color w:val="0000FF"/>
                  <w:w w:val="98"/>
                </w:rPr>
                <w:t>Airlines, Inc. and The Bank of New York Mellon Trust Company, N.A., as Trustee, providing for the issuance of</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6.</w:t>
              </w:r>
              <w:r>
                <w:rPr>
                  <w:rFonts w:ascii="Arial" w:cs="Arial" w:eastAsia="Arial" w:hAnsi="Arial"/>
                  <w:sz w:val="18"/>
                  <w:szCs w:val="18"/>
                  <w:u w:val="single" w:color="auto"/>
                  <w:color w:val="0000FF"/>
                  <w:w w:val="92"/>
                </w:rPr>
                <w:t>000%</w:t>
              </w:r>
              <w:r>
                <w:rPr>
                  <w:rFonts w:ascii="Arial" w:cs="Arial" w:eastAsia="Arial" w:hAnsi="Arial"/>
                  <w:sz w:val="18"/>
                  <w:szCs w:val="18"/>
                  <w:color w:val="0000FF"/>
                  <w:w w:val="92"/>
                </w:rPr>
                <w:t xml:space="preserve"> Senior Notes due 2020 (filed as Exhibit 4.2 to UAL's Form 8-K filed on November 12, 2013, Commission file</w:t>
              </w:r>
            </w:hyperlink>
          </w:p>
        </w:tc>
        <w:tc>
          <w:tcPr>
            <w:tcW w:w="100" w:type="dxa"/>
            <w:vAlign w:val="bottom"/>
            <w:gridSpan w:val="2"/>
          </w:tcPr>
          <w:p>
            <w:pPr>
              <w:spacing w:after="0"/>
              <w:rPr>
                <w:sz w:val="17"/>
                <w:szCs w:val="17"/>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39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number 1-6033, and incorporated herein by reference)</w:t>
              </w:r>
            </w:hyperlink>
          </w:p>
        </w:tc>
        <w:tc>
          <w:tcPr>
            <w:tcW w:w="4740" w:type="dxa"/>
            <w:vAlign w:val="bottom"/>
            <w:gridSpan w:val="19"/>
          </w:tcPr>
          <w:p>
            <w:pPr>
              <w:spacing w:after="0"/>
              <w:rPr>
                <w:sz w:val="17"/>
                <w:szCs w:val="17"/>
                <w:color w:val="auto"/>
              </w:rPr>
            </w:pPr>
          </w:p>
        </w:tc>
      </w:tr>
      <w:tr>
        <w:trPr>
          <w:trHeight w:val="41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UAL</w:t>
            </w:r>
          </w:p>
        </w:tc>
        <w:tc>
          <w:tcPr>
            <w:tcW w:w="8640" w:type="dxa"/>
            <w:vAlign w:val="bottom"/>
            <w:gridSpan w:val="21"/>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6.000% Senior Notes due 2020 (filed as Exhibit 4.3 to UAL's Form 8-K filed on November 12, 2013,</w:t>
              </w:r>
            </w:hyperlink>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Commission file number 1-6033, and incorporated herein by reference)</w:t>
              </w:r>
            </w:hyperlink>
          </w:p>
        </w:tc>
        <w:tc>
          <w:tcPr>
            <w:tcW w:w="2760" w:type="dxa"/>
            <w:vAlign w:val="bottom"/>
            <w:tcBorders>
              <w:top w:val="single" w:sz="8" w:color="0000FF"/>
            </w:tcBorders>
            <w:gridSpan w:val="5"/>
          </w:tcPr>
          <w:p>
            <w:pPr>
              <w:spacing w:after="0"/>
              <w:rPr>
                <w:sz w:val="17"/>
                <w:szCs w:val="17"/>
                <w:color w:val="auto"/>
              </w:rPr>
            </w:pPr>
          </w:p>
        </w:tc>
        <w:tc>
          <w:tcPr>
            <w:tcW w:w="720" w:type="dxa"/>
            <w:vAlign w:val="bottom"/>
            <w:gridSpan w:val="9"/>
          </w:tcPr>
          <w:p>
            <w:pPr>
              <w:spacing w:after="0"/>
              <w:rPr>
                <w:sz w:val="17"/>
                <w:szCs w:val="17"/>
                <w:color w:val="auto"/>
              </w:rPr>
            </w:pPr>
          </w:p>
        </w:tc>
      </w:tr>
      <w:tr>
        <w:trPr>
          <w:trHeight w:val="41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UAL</w:t>
            </w:r>
          </w:p>
        </w:tc>
        <w:tc>
          <w:tcPr>
            <w:tcW w:w="8640" w:type="dxa"/>
            <w:vAlign w:val="bottom"/>
            <w:tcBorders>
              <w:bottom w:val="single" w:sz="8" w:color="0000FF"/>
            </w:tcBorders>
            <w:gridSpan w:val="21"/>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Notation of Note Guarantee (filed as Exhibit 4.4 to UAL's Form 8-K filed on November 12, 2013, Commission</w:t>
              </w:r>
            </w:hyperlink>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41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file number 1-6033, and incorporated herein by reference)</w:t>
              </w:r>
            </w:hyperlink>
          </w:p>
        </w:tc>
        <w:tc>
          <w:tcPr>
            <w:tcW w:w="4460" w:type="dxa"/>
            <w:vAlign w:val="bottom"/>
            <w:gridSpan w:val="1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40"/>
          </w:cols>
          <w:pgMar w:left="240" w:top="184" w:right="31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340"/>
          </w:cols>
          <w:pgMar w:left="240" w:top="184" w:right="31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61"/>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Third Supplemental Indenture, dated as of January 26, 2017, among United Continental Holdings, Inc., United Airlines,</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80" w:type="dxa"/>
            <w:vAlign w:val="bottom"/>
            <w:tcBorders>
              <w:top w:val="single" w:sz="8" w:color="0000FF"/>
              <w:bottom w:val="single" w:sz="8" w:color="0000FF"/>
            </w:tcBorders>
            <w:gridSpan w:val="27"/>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Inc. and The Bank of New York Mellon Trust Company, N.A., as Trustee, providing for the issuance of 5.000% Senior</w:t>
              </w:r>
            </w:hyperlink>
          </w:p>
        </w:tc>
        <w:tc>
          <w:tcPr>
            <w:tcW w:w="40" w:type="dxa"/>
            <w:vAlign w:val="bottom"/>
            <w:tcBorders>
              <w:top w:val="single" w:sz="8" w:color="0000FF"/>
            </w:tcBorders>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Notes due 2024 (filed as Exhibit 4.2 to UAL's Form 8-K filed January 27, 2017, Commission file number 1-6033, and</w:t>
              </w:r>
            </w:hyperlink>
          </w:p>
        </w:tc>
        <w:tc>
          <w:tcPr>
            <w:tcW w:w="180" w:type="dxa"/>
            <w:vAlign w:val="bottom"/>
            <w:gridSpan w:val="6"/>
          </w:tcPr>
          <w:p>
            <w:pPr>
              <w:spacing w:after="0"/>
              <w:rPr>
                <w:sz w:val="17"/>
                <w:szCs w:val="17"/>
                <w:color w:val="auto"/>
              </w:rPr>
            </w:pPr>
          </w:p>
        </w:tc>
      </w:tr>
      <w:tr>
        <w:trPr>
          <w:trHeight w:val="196"/>
        </w:trPr>
        <w:tc>
          <w:tcPr>
            <w:tcW w:w="116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incorporated herein by reference)</w:t>
              </w:r>
            </w:hyperlink>
          </w:p>
        </w:tc>
        <w:tc>
          <w:tcPr>
            <w:tcW w:w="6280" w:type="dxa"/>
            <w:vAlign w:val="bottom"/>
            <w:gridSpan w:val="28"/>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440" w:type="dxa"/>
            <w:vAlign w:val="bottom"/>
            <w:tcBorders>
              <w:bottom w:val="single" w:sz="8" w:color="0000FF"/>
            </w:tcBorders>
            <w:gridSpan w:val="22"/>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5.000% Senior Notes due 2024 (filed as Exhibit A to Exhibit 4.2 to UAL's Form 8-K filed January 27, 2017,</w:t>
              </w:r>
            </w:hyperlink>
          </w:p>
        </w:tc>
        <w:tc>
          <w:tcPr>
            <w:tcW w:w="240" w:type="dxa"/>
            <w:vAlign w:val="bottom"/>
            <w:gridSpan w:val="8"/>
          </w:tcPr>
          <w:p>
            <w:pPr>
              <w:spacing w:after="0"/>
              <w:rPr>
                <w:sz w:val="24"/>
                <w:szCs w:val="24"/>
                <w:color w:val="auto"/>
              </w:rPr>
            </w:pPr>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Commission file number 1-6033, and incorporated herein by reference)</w:t>
              </w:r>
            </w:hyperlink>
          </w:p>
        </w:tc>
        <w:tc>
          <w:tcPr>
            <w:tcW w:w="3540" w:type="dxa"/>
            <w:vAlign w:val="bottom"/>
            <w:gridSpan w:val="2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80" w:type="dxa"/>
            <w:vAlign w:val="bottom"/>
            <w:gridSpan w:val="30"/>
          </w:tcPr>
          <w:p>
            <w:pPr>
              <w:spacing w:after="0"/>
              <w:rPr>
                <w:rFonts w:ascii="Arial" w:cs="Arial" w:eastAsia="Arial" w:hAnsi="Arial"/>
                <w:sz w:val="18"/>
                <w:szCs w:val="18"/>
                <w:color w:val="0000FF"/>
                <w:w w:val="98"/>
              </w:rPr>
            </w:pPr>
            <w:hyperlink r:id="rId39">
              <w:r>
                <w:rPr>
                  <w:rFonts w:ascii="Arial" w:cs="Arial" w:eastAsia="Arial" w:hAnsi="Arial"/>
                  <w:sz w:val="18"/>
                  <w:szCs w:val="18"/>
                  <w:color w:val="0000FF"/>
                  <w:w w:val="98"/>
                </w:rPr>
                <w:t>Form of Notation of Note Guarantee (filed as Exhibit B to Exhibit 4.2 to UAL's Form 8-K filed January 27, 2017,</w:t>
              </w:r>
            </w:hyperlink>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Commission file number 1-6033, and incorporated herein by reference)</w:t>
              </w:r>
            </w:hyperlink>
          </w:p>
        </w:tc>
        <w:tc>
          <w:tcPr>
            <w:tcW w:w="3040" w:type="dxa"/>
            <w:vAlign w:val="bottom"/>
            <w:tcBorders>
              <w:top w:val="single" w:sz="8" w:color="0000FF"/>
            </w:tcBorders>
            <w:gridSpan w:val="11"/>
          </w:tcPr>
          <w:p>
            <w:pPr>
              <w:spacing w:after="0"/>
              <w:rPr>
                <w:sz w:val="17"/>
                <w:szCs w:val="17"/>
                <w:color w:val="auto"/>
              </w:rPr>
            </w:pPr>
          </w:p>
        </w:tc>
        <w:tc>
          <w:tcPr>
            <w:tcW w:w="500" w:type="dxa"/>
            <w:vAlign w:val="bottom"/>
            <w:gridSpan w:val="1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Fourth Supplemental Indenture, dated as of September 29, 2017, among United Continental Holdings, Inc., United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40" w:type="dxa"/>
            <w:vAlign w:val="bottom"/>
            <w:tcBorders>
              <w:top w:val="single" w:sz="8" w:color="0000FF"/>
            </w:tcBorders>
            <w:gridSpan w:val="18"/>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Airlines, Inc. and The Bank of New York Mellon Trust Company, N.A., as Trustee, providing for the issuance of</w:t>
              </w:r>
            </w:hyperlink>
          </w:p>
        </w:tc>
        <w:tc>
          <w:tcPr>
            <w:tcW w:w="440" w:type="dxa"/>
            <w:vAlign w:val="bottom"/>
            <w:gridSpan w:val="1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10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4.</w:t>
              </w:r>
              <w:r>
                <w:rPr>
                  <w:rFonts w:ascii="Arial" w:cs="Arial" w:eastAsia="Arial" w:hAnsi="Arial"/>
                  <w:sz w:val="18"/>
                  <w:szCs w:val="18"/>
                  <w:u w:val="single" w:color="auto"/>
                  <w:color w:val="0000FF"/>
                  <w:w w:val="92"/>
                </w:rPr>
                <w:t>250%</w:t>
              </w:r>
              <w:r>
                <w:rPr>
                  <w:rFonts w:ascii="Arial" w:cs="Arial" w:eastAsia="Arial" w:hAnsi="Arial"/>
                  <w:sz w:val="18"/>
                  <w:szCs w:val="18"/>
                  <w:color w:val="0000FF"/>
                  <w:w w:val="92"/>
                </w:rPr>
                <w:t xml:space="preserve"> Senior Notes due 2022 (filed as Exhibit 4.2 to UAL's Form 8-K filed October 4, 2017, Commission file</w:t>
              </w:r>
            </w:hyperlink>
          </w:p>
        </w:tc>
        <w:tc>
          <w:tcPr>
            <w:tcW w:w="580" w:type="dxa"/>
            <w:vAlign w:val="bottom"/>
            <w:gridSpan w:val="16"/>
          </w:tcPr>
          <w:p>
            <w:pPr>
              <w:spacing w:after="0"/>
              <w:rPr>
                <w:sz w:val="17"/>
                <w:szCs w:val="17"/>
                <w:color w:val="auto"/>
              </w:rPr>
            </w:pPr>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9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number 1-6033, and incorporated herein by reference)</w:t>
              </w:r>
            </w:hyperlink>
          </w:p>
        </w:tc>
        <w:tc>
          <w:tcPr>
            <w:tcW w:w="4140" w:type="dxa"/>
            <w:vAlign w:val="bottom"/>
            <w:tcBorders>
              <w:top w:val="single" w:sz="8" w:color="0000FF"/>
            </w:tcBorders>
            <w:gridSpan w:val="8"/>
          </w:tcPr>
          <w:p>
            <w:pPr>
              <w:spacing w:after="0"/>
              <w:rPr>
                <w:sz w:val="17"/>
                <w:szCs w:val="17"/>
                <w:color w:val="auto"/>
              </w:rPr>
            </w:pPr>
          </w:p>
        </w:tc>
        <w:tc>
          <w:tcPr>
            <w:tcW w:w="640" w:type="dxa"/>
            <w:vAlign w:val="bottom"/>
            <w:gridSpan w:val="18"/>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80" w:type="dxa"/>
            <w:vAlign w:val="bottom"/>
            <w:gridSpan w:val="30"/>
          </w:tcPr>
          <w:p>
            <w:pPr>
              <w:spacing w:after="0"/>
              <w:rPr>
                <w:rFonts w:ascii="Arial" w:cs="Arial" w:eastAsia="Arial" w:hAnsi="Arial"/>
                <w:sz w:val="18"/>
                <w:szCs w:val="18"/>
                <w:color w:val="0000FF"/>
                <w:w w:val="96"/>
              </w:rPr>
            </w:pPr>
            <w:hyperlink r:id="rId40">
              <w:r>
                <w:rPr>
                  <w:rFonts w:ascii="Arial" w:cs="Arial" w:eastAsia="Arial" w:hAnsi="Arial"/>
                  <w:sz w:val="18"/>
                  <w:szCs w:val="18"/>
                  <w:color w:val="0000FF"/>
                  <w:w w:val="96"/>
                </w:rPr>
                <w:t>Form of 4.250% Senior Notes due 2022 (filed as Exhibit A to Exhibit 4.2 to UAL's Form 8-K filed October 4, 2017,</w:t>
              </w:r>
            </w:hyperlink>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Commission file number 1-6033, and incorporated herein by reference)</w:t>
              </w:r>
            </w:hyperlink>
          </w:p>
        </w:tc>
        <w:tc>
          <w:tcPr>
            <w:tcW w:w="3220" w:type="dxa"/>
            <w:vAlign w:val="bottom"/>
            <w:tcBorders>
              <w:top w:val="single" w:sz="8" w:color="0000FF"/>
            </w:tcBorders>
            <w:gridSpan w:val="15"/>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120" w:type="dxa"/>
            <w:vAlign w:val="bottom"/>
            <w:tcBorders>
              <w:bottom w:val="single" w:sz="8" w:color="0000FF"/>
            </w:tcBorders>
            <w:gridSpan w:val="15"/>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Notation of Note Guarantee (filed as Exhibit B to Exhibit 4.2 to UAL's Form 8-K filed October 4, 2017,</w:t>
              </w:r>
            </w:hyperlink>
          </w:p>
        </w:tc>
        <w:tc>
          <w:tcPr>
            <w:tcW w:w="560" w:type="dxa"/>
            <w:vAlign w:val="bottom"/>
            <w:gridSpan w:val="15"/>
          </w:tcPr>
          <w:p>
            <w:pPr>
              <w:spacing w:after="0"/>
              <w:rPr>
                <w:sz w:val="24"/>
                <w:szCs w:val="24"/>
                <w:color w:val="auto"/>
              </w:rPr>
            </w:pPr>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5"/>
              </w:rPr>
              <w:t>4.10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Commission file number 1-6033, and incorporated herein by reference)</w:t>
              </w:r>
            </w:hyperlink>
          </w:p>
        </w:tc>
        <w:tc>
          <w:tcPr>
            <w:tcW w:w="3540" w:type="dxa"/>
            <w:vAlign w:val="bottom"/>
            <w:gridSpan w:val="25"/>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Fifth Supplemental Indenture, dated as of May 9, 2019, among United Continental Holdings, Inc., United Airlines, Inc.</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0"/>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and The Bank of New York Mellon Trust Company, N.A., as Trustee (filed as Exhibit 4.2 to UAL's Form 8-K filed May</w:t>
              </w:r>
            </w:hyperlink>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8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10, 2019, Commission file number 1-6033, and incorporated herein by reference)</w:t>
              </w:r>
            </w:hyperlink>
          </w:p>
        </w:tc>
        <w:tc>
          <w:tcPr>
            <w:tcW w:w="2780" w:type="dxa"/>
            <w:vAlign w:val="bottom"/>
            <w:tcBorders>
              <w:top w:val="single" w:sz="8" w:color="0000FF"/>
            </w:tcBorders>
            <w:gridSpan w:val="22"/>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80" w:type="dxa"/>
            <w:vAlign w:val="bottom"/>
            <w:gridSpan w:val="30"/>
          </w:tcPr>
          <w:p>
            <w:pPr>
              <w:spacing w:after="0"/>
              <w:rPr>
                <w:rFonts w:ascii="Arial" w:cs="Arial" w:eastAsia="Arial" w:hAnsi="Arial"/>
                <w:sz w:val="18"/>
                <w:szCs w:val="18"/>
                <w:color w:val="0000FF"/>
                <w:w w:val="98"/>
              </w:rPr>
            </w:pPr>
            <w:hyperlink r:id="rId42">
              <w:r>
                <w:rPr>
                  <w:rFonts w:ascii="Arial" w:cs="Arial" w:eastAsia="Arial" w:hAnsi="Arial"/>
                  <w:sz w:val="18"/>
                  <w:szCs w:val="18"/>
                  <w:color w:val="0000FF"/>
                  <w:w w:val="98"/>
                </w:rPr>
                <w:t>Form of 4.875% Senior Notes due 2025 (filed as Exhibit A to Exhibit 4.2 to UAL's Form 8-K filed May 10, 2019,</w:t>
              </w:r>
            </w:hyperlink>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5"/>
              </w:rPr>
              <w:t>4.12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Commission file number 1-6033, and incorporated herein by reference)</w:t>
              </w:r>
            </w:hyperlink>
          </w:p>
        </w:tc>
        <w:tc>
          <w:tcPr>
            <w:tcW w:w="3060" w:type="dxa"/>
            <w:vAlign w:val="bottom"/>
            <w:tcBorders>
              <w:top w:val="single" w:sz="8" w:color="0000FF"/>
            </w:tcBorders>
            <w:gridSpan w:val="12"/>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7960" w:type="dxa"/>
            <w:vAlign w:val="bottom"/>
            <w:tcBorders>
              <w:bottom w:val="single" w:sz="8" w:color="0000FF"/>
            </w:tcBorders>
            <w:gridSpan w:val="10"/>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Notation of Note Guarantee (filed as Exhibit B to Exhibit 4.2 to UAL's Form 8-K filed May 10, 2019,</w:t>
              </w:r>
            </w:hyperlink>
          </w:p>
        </w:tc>
        <w:tc>
          <w:tcPr>
            <w:tcW w:w="720" w:type="dxa"/>
            <w:vAlign w:val="bottom"/>
            <w:gridSpan w:val="20"/>
          </w:tcPr>
          <w:p>
            <w:pPr>
              <w:spacing w:after="0"/>
              <w:rPr>
                <w:sz w:val="24"/>
                <w:szCs w:val="24"/>
                <w:color w:val="auto"/>
              </w:rPr>
            </w:pPr>
          </w:p>
        </w:tc>
      </w:tr>
      <w:tr>
        <w:trPr>
          <w:trHeight w:val="196"/>
        </w:trPr>
        <w:tc>
          <w:tcPr>
            <w:tcW w:w="1160" w:type="dxa"/>
            <w:vAlign w:val="bottom"/>
          </w:tcPr>
          <w:p>
            <w:pPr>
              <w:jc w:val="center"/>
              <w:ind w:left="450"/>
              <w:spacing w:after="0" w:line="196" w:lineRule="exact"/>
              <w:rPr>
                <w:sz w:val="20"/>
                <w:szCs w:val="20"/>
                <w:color w:val="auto"/>
              </w:rPr>
            </w:pPr>
            <w:r>
              <w:rPr>
                <w:rFonts w:ascii="Arial" w:cs="Arial" w:eastAsia="Arial" w:hAnsi="Arial"/>
                <w:sz w:val="18"/>
                <w:szCs w:val="18"/>
                <w:color w:val="auto"/>
                <w:w w:val="85"/>
              </w:rPr>
              <w:t>4.13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30"/>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Commission file number 1-6033, and incorporated herein by reference)</w:t>
              </w:r>
            </w:hyperlink>
          </w:p>
        </w:tc>
      </w:tr>
      <w:tr>
        <w:trPr>
          <w:trHeight w:val="411"/>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14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1160" w:type="dxa"/>
            <w:vAlign w:val="bottom"/>
          </w:tcPr>
          <w:p>
            <w:pPr>
              <w:jc w:val="center"/>
              <w:ind w:left="450"/>
              <w:spacing w:after="0" w:line="190" w:lineRule="exact"/>
              <w:rPr>
                <w:sz w:val="20"/>
                <w:szCs w:val="20"/>
                <w:color w:val="auto"/>
              </w:rPr>
            </w:pPr>
            <w:r>
              <w:rPr>
                <w:rFonts w:ascii="Arial" w:cs="Arial" w:eastAsia="Arial" w:hAnsi="Arial"/>
                <w:sz w:val="18"/>
                <w:szCs w:val="18"/>
                <w:color w:val="auto"/>
                <w:w w:val="85"/>
              </w:rPr>
              <w:t>4.14</w:t>
            </w:r>
          </w:p>
        </w:tc>
        <w:tc>
          <w:tcPr>
            <w:tcW w:w="120" w:type="dxa"/>
            <w:vAlign w:val="bottom"/>
          </w:tcPr>
          <w:p>
            <w:pPr>
              <w:spacing w:after="0"/>
              <w:rPr>
                <w:sz w:val="16"/>
                <w:szCs w:val="16"/>
                <w:color w:val="auto"/>
              </w:rPr>
            </w:pPr>
          </w:p>
        </w:tc>
        <w:tc>
          <w:tcPr>
            <w:tcW w:w="1120" w:type="dxa"/>
            <w:vAlign w:val="bottom"/>
          </w:tcPr>
          <w:p>
            <w:pPr>
              <w:ind w:left="140"/>
              <w:spacing w:after="0" w:line="190" w:lineRule="exact"/>
              <w:rPr>
                <w:sz w:val="20"/>
                <w:szCs w:val="20"/>
                <w:color w:val="auto"/>
              </w:rPr>
            </w:pPr>
            <w:r>
              <w:rPr>
                <w:rFonts w:ascii="Arial" w:cs="Arial" w:eastAsia="Arial" w:hAnsi="Arial"/>
                <w:sz w:val="18"/>
                <w:szCs w:val="18"/>
                <w:color w:val="auto"/>
              </w:rPr>
              <w:t>United</w:t>
            </w:r>
          </w:p>
        </w:tc>
        <w:tc>
          <w:tcPr>
            <w:tcW w:w="8300" w:type="dxa"/>
            <w:vAlign w:val="bottom"/>
            <w:tcBorders>
              <w:bottom w:val="single" w:sz="8" w:color="0000FF"/>
            </w:tcBorders>
            <w:gridSpan w:val="19"/>
          </w:tcPr>
          <w:p>
            <w:pPr>
              <w:spacing w:after="0" w:line="190"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Description of the Registrant's Securities Registered Pursuant to Section 12 of the Securities Exchange Act of 1934</w:t>
              </w:r>
            </w:hyperlink>
          </w:p>
        </w:tc>
        <w:tc>
          <w:tcPr>
            <w:tcW w:w="380" w:type="dxa"/>
            <w:vAlign w:val="bottom"/>
            <w:gridSpan w:val="11"/>
          </w:tcPr>
          <w:p>
            <w:pPr>
              <w:spacing w:after="0"/>
              <w:rPr>
                <w:sz w:val="16"/>
                <w:szCs w:val="16"/>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sz w:val="20"/>
                <w:szCs w:val="20"/>
                <w:color w:val="auto"/>
              </w:rPr>
            </w:pPr>
            <w:r>
              <w:rPr>
                <w:rFonts w:ascii="Arial" w:cs="Arial" w:eastAsia="Arial" w:hAnsi="Arial"/>
                <w:sz w:val="18"/>
                <w:szCs w:val="18"/>
                <w:b w:val="1"/>
                <w:bCs w:val="1"/>
                <w:color w:val="auto"/>
              </w:rPr>
              <w:t>Material Contracts</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Agreement, dated April 19, 2016, by and among PAR Capital Management, Inc., Altimeter Capital Management, LP,</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United Continental Holdings, Inc. and the other signatories listed on the signature page thereto (filed as Exhibit 10.1 to</w:t>
              </w:r>
            </w:hyperlink>
          </w:p>
        </w:tc>
        <w:tc>
          <w:tcPr>
            <w:tcW w:w="100" w:type="dxa"/>
            <w:vAlign w:val="bottom"/>
            <w:gridSpan w:val="3"/>
          </w:tcPr>
          <w:p>
            <w:pPr>
              <w:spacing w:after="0"/>
              <w:rPr>
                <w:sz w:val="17"/>
                <w:szCs w:val="17"/>
                <w:color w:val="auto"/>
              </w:rPr>
            </w:pPr>
          </w:p>
        </w:tc>
      </w:tr>
      <w:tr>
        <w:trPr>
          <w:trHeight w:val="196"/>
        </w:trPr>
        <w:tc>
          <w:tcPr>
            <w:tcW w:w="1280" w:type="dxa"/>
            <w:vAlign w:val="bottom"/>
            <w:gridSpan w:val="2"/>
          </w:tcPr>
          <w:p>
            <w:pPr>
              <w:jc w:val="center"/>
              <w:ind w:left="390"/>
              <w:spacing w:after="0" w:line="196" w:lineRule="exact"/>
              <w:rPr>
                <w:sz w:val="20"/>
                <w:szCs w:val="20"/>
                <w:color w:val="auto"/>
              </w:rPr>
            </w:pPr>
            <w:r>
              <w:rPr>
                <w:rFonts w:ascii="Arial" w:cs="Arial" w:eastAsia="Arial" w:hAnsi="Arial"/>
                <w:sz w:val="18"/>
                <w:szCs w:val="18"/>
                <w:color w:val="auto"/>
                <w:w w:val="88"/>
              </w:rPr>
              <w:t>†10.1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9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UAL's Form 8-K filed April 20, 2016, Commission file number 1-6033, and incorporated herein by reference)</w:t>
              </w:r>
            </w:hyperlink>
          </w:p>
        </w:tc>
        <w:tc>
          <w:tcPr>
            <w:tcW w:w="740" w:type="dxa"/>
            <w:vAlign w:val="bottom"/>
            <w:gridSpan w:val="21"/>
          </w:tcPr>
          <w:p>
            <w:pPr>
              <w:spacing w:after="0"/>
              <w:rPr>
                <w:sz w:val="17"/>
                <w:szCs w:val="17"/>
                <w:color w:val="auto"/>
              </w:rPr>
            </w:pPr>
          </w:p>
        </w:tc>
      </w:tr>
      <w:tr>
        <w:trPr>
          <w:trHeight w:val="372"/>
        </w:trPr>
        <w:tc>
          <w:tcPr>
            <w:tcW w:w="128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†10.2</w:t>
            </w: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80" w:type="dxa"/>
            <w:vAlign w:val="bottom"/>
            <w:gridSpan w:val="30"/>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United Airlines Holdings, Inc. Profit Sharing Plan (amended and restated effective January 1, 2019)</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Employment Agreement, dated December 31, 2015, among United Continental Holdings, Inc., United Airlines, Inc. and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top w:val="single" w:sz="8" w:color="0000FF"/>
            </w:tcBorders>
            <w:gridSpan w:val="29"/>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Oscar Munoz (filed as Exhibit 10.1 to UAL's Form 8-K/A filed January 7, 2016, Commission file number 1-6033, and</w:t>
              </w:r>
            </w:hyperlink>
          </w:p>
        </w:tc>
        <w:tc>
          <w:tcPr>
            <w:tcW w:w="40" w:type="dxa"/>
            <w:vAlign w:val="bottom"/>
          </w:tcPr>
          <w:p>
            <w:pPr>
              <w:spacing w:after="0"/>
              <w:rPr>
                <w:sz w:val="17"/>
                <w:szCs w:val="17"/>
                <w:color w:val="auto"/>
              </w:rPr>
            </w:pPr>
          </w:p>
        </w:tc>
      </w:tr>
      <w:tr>
        <w:trPr>
          <w:trHeight w:val="196"/>
        </w:trPr>
        <w:tc>
          <w:tcPr>
            <w:tcW w:w="1280" w:type="dxa"/>
            <w:vAlign w:val="bottom"/>
            <w:gridSpan w:val="2"/>
          </w:tcPr>
          <w:p>
            <w:pPr>
              <w:jc w:val="center"/>
              <w:ind w:left="390"/>
              <w:spacing w:after="0" w:line="196" w:lineRule="exact"/>
              <w:rPr>
                <w:sz w:val="20"/>
                <w:szCs w:val="20"/>
                <w:color w:val="auto"/>
              </w:rPr>
            </w:pPr>
            <w:r>
              <w:rPr>
                <w:rFonts w:ascii="Arial" w:cs="Arial" w:eastAsia="Arial" w:hAnsi="Arial"/>
                <w:sz w:val="18"/>
                <w:szCs w:val="18"/>
                <w:color w:val="auto"/>
                <w:w w:val="88"/>
              </w:rPr>
              <w:t>†10.3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incorporated herein by reference)</w:t>
              </w:r>
            </w:hyperlink>
          </w:p>
        </w:tc>
        <w:tc>
          <w:tcPr>
            <w:tcW w:w="6120" w:type="dxa"/>
            <w:vAlign w:val="bottom"/>
            <w:tcBorders>
              <w:top w:val="single" w:sz="8" w:color="0000FF"/>
            </w:tcBorders>
            <w:gridSpan w:val="23"/>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Amendment to Employment Agreement, dated April 19, 2016, by and among United Continental Holdings, Inc., United</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0"/>
          </w:tcPr>
          <w:p>
            <w:pPr>
              <w:spacing w:after="0" w:line="19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Airlines, Inc. and Oscar Munoz (filed as Exhibit 10.1 to UAL's Form 8-K filed April 20, 2016, Commission file number</w:t>
              </w:r>
            </w:hyperlink>
          </w:p>
        </w:tc>
      </w:tr>
      <w:tr>
        <w:trPr>
          <w:trHeight w:val="196"/>
        </w:trPr>
        <w:tc>
          <w:tcPr>
            <w:tcW w:w="1280" w:type="dxa"/>
            <w:vAlign w:val="bottom"/>
            <w:gridSpan w:val="2"/>
          </w:tcPr>
          <w:p>
            <w:pPr>
              <w:jc w:val="center"/>
              <w:ind w:left="390"/>
              <w:spacing w:after="0" w:line="196" w:lineRule="exact"/>
              <w:rPr>
                <w:sz w:val="20"/>
                <w:szCs w:val="20"/>
                <w:color w:val="auto"/>
              </w:rPr>
            </w:pPr>
            <w:r>
              <w:rPr>
                <w:rFonts w:ascii="Arial" w:cs="Arial" w:eastAsia="Arial" w:hAnsi="Arial"/>
                <w:sz w:val="18"/>
                <w:szCs w:val="18"/>
                <w:color w:val="auto"/>
                <w:w w:val="88"/>
              </w:rPr>
              <w:t>†10.4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3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1-6033, and incorporated herein by reference)</w:t>
              </w:r>
            </w:hyperlink>
          </w:p>
        </w:tc>
        <w:tc>
          <w:tcPr>
            <w:tcW w:w="5340" w:type="dxa"/>
            <w:vAlign w:val="bottom"/>
            <w:tcBorders>
              <w:top w:val="single" w:sz="8" w:color="0000FF"/>
            </w:tcBorders>
            <w:gridSpan w:val="26"/>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tcBorders>
              <w:bottom w:val="single" w:sz="8" w:color="0000FF"/>
            </w:tcBorders>
            <w:gridSpan w:val="30"/>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Second Amendment to Employment Agreement, dated April 21, 2017, by and among United Continental Holdings, Inc.,</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8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United Airlines, Inc. and Oscar Munoz (filed as Exhibit 10.1 to UAL's Current Report on Form 8-K filed on April 21,</w:t>
              </w:r>
            </w:hyperlink>
          </w:p>
        </w:tc>
        <w:tc>
          <w:tcPr>
            <w:tcW w:w="200" w:type="dxa"/>
            <w:vAlign w:val="bottom"/>
            <w:gridSpan w:val="7"/>
          </w:tcPr>
          <w:p>
            <w:pPr>
              <w:spacing w:after="0"/>
              <w:rPr>
                <w:sz w:val="17"/>
                <w:szCs w:val="17"/>
                <w:color w:val="auto"/>
              </w:rPr>
            </w:pPr>
          </w:p>
        </w:tc>
      </w:tr>
      <w:tr>
        <w:trPr>
          <w:trHeight w:val="196"/>
        </w:trPr>
        <w:tc>
          <w:tcPr>
            <w:tcW w:w="1280" w:type="dxa"/>
            <w:vAlign w:val="bottom"/>
            <w:gridSpan w:val="2"/>
          </w:tcPr>
          <w:p>
            <w:pPr>
              <w:jc w:val="center"/>
              <w:ind w:left="390"/>
              <w:spacing w:after="0" w:line="196" w:lineRule="exact"/>
              <w:rPr>
                <w:sz w:val="20"/>
                <w:szCs w:val="20"/>
                <w:color w:val="auto"/>
              </w:rPr>
            </w:pPr>
            <w:r>
              <w:rPr>
                <w:rFonts w:ascii="Arial" w:cs="Arial" w:eastAsia="Arial" w:hAnsi="Arial"/>
                <w:sz w:val="18"/>
                <w:szCs w:val="18"/>
                <w:color w:val="auto"/>
                <w:w w:val="88"/>
              </w:rPr>
              <w:t>†10.5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30"/>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2017, Commission file number 1-6033,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580" w:type="dxa"/>
            <w:vAlign w:val="bottom"/>
            <w:gridSpan w:val="6"/>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20" w:type="dxa"/>
            <w:vAlign w:val="bottom"/>
            <w:tcBorders>
              <w:bottom w:val="single" w:sz="8" w:color="0000FF"/>
            </w:tcBorders>
            <w:gridSpan w:val="21"/>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Transition Agreement, dated as of December 4, 2019, by and among United Airlines Holdings, Inc., United Airlines,</w:t>
              </w:r>
            </w:hyperlink>
          </w:p>
        </w:tc>
        <w:tc>
          <w:tcPr>
            <w:tcW w:w="26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0"/>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Inc. and Oscar Munoz (filed as Exhibit 10.1 to UAL's Current Report on Form 8-K filed on December 6, 2019,</w:t>
              </w:r>
            </w:hyperlink>
          </w:p>
        </w:tc>
      </w:tr>
      <w:tr>
        <w:trPr>
          <w:trHeight w:val="196"/>
        </w:trPr>
        <w:tc>
          <w:tcPr>
            <w:tcW w:w="1280" w:type="dxa"/>
            <w:vAlign w:val="bottom"/>
            <w:gridSpan w:val="2"/>
          </w:tcPr>
          <w:p>
            <w:pPr>
              <w:jc w:val="center"/>
              <w:ind w:left="390"/>
              <w:spacing w:after="0" w:line="196" w:lineRule="exact"/>
              <w:rPr>
                <w:sz w:val="20"/>
                <w:szCs w:val="20"/>
                <w:color w:val="auto"/>
              </w:rPr>
            </w:pPr>
            <w:r>
              <w:rPr>
                <w:rFonts w:ascii="Arial" w:cs="Arial" w:eastAsia="Arial" w:hAnsi="Arial"/>
                <w:sz w:val="18"/>
                <w:szCs w:val="18"/>
                <w:color w:val="auto"/>
                <w:w w:val="88"/>
              </w:rPr>
              <w:t>†10.6</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Commission file number 1-6033, and incorporated herein by reference)</w:t>
              </w:r>
            </w:hyperlink>
          </w:p>
        </w:tc>
        <w:tc>
          <w:tcPr>
            <w:tcW w:w="2840" w:type="dxa"/>
            <w:vAlign w:val="bottom"/>
            <w:tcBorders>
              <w:top w:val="single" w:sz="8" w:color="0000FF"/>
            </w:tcBorders>
            <w:gridSpan w:val="6"/>
          </w:tcPr>
          <w:p>
            <w:pPr>
              <w:spacing w:after="0"/>
              <w:rPr>
                <w:sz w:val="17"/>
                <w:szCs w:val="17"/>
                <w:color w:val="auto"/>
              </w:rPr>
            </w:pPr>
          </w:p>
        </w:tc>
        <w:tc>
          <w:tcPr>
            <w:tcW w:w="700" w:type="dxa"/>
            <w:vAlign w:val="bottom"/>
            <w:gridSpan w:val="19"/>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0"/>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SERP Agreement, dated as of October 1, 2010, by and among United Continental Holdings, Inc., Continental Airlines,</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top w:val="single" w:sz="8" w:color="0000FF"/>
            </w:tcBorders>
            <w:gridSpan w:val="26"/>
          </w:tcPr>
          <w:p>
            <w:pPr>
              <w:spacing w:after="0" w:line="196" w:lineRule="exact"/>
              <w:rPr>
                <w:rFonts w:ascii="Arial" w:cs="Arial" w:eastAsia="Arial" w:hAnsi="Arial"/>
                <w:sz w:val="18"/>
                <w:szCs w:val="18"/>
                <w:color w:val="0000FF"/>
                <w:w w:val="96"/>
              </w:rPr>
            </w:pPr>
            <w:hyperlink r:id="rId48">
              <w:r>
                <w:rPr>
                  <w:rFonts w:ascii="Arial" w:cs="Arial" w:eastAsia="Arial" w:hAnsi="Arial"/>
                  <w:sz w:val="18"/>
                  <w:szCs w:val="18"/>
                  <w:color w:val="0000FF"/>
                  <w:w w:val="96"/>
                </w:rPr>
                <w:t>Inc. and Gerald Laderman (filed as Exhibit 10.2 to UAL's Form 10-Q for the quarter ended September 30, 2015,</w:t>
              </w:r>
            </w:hyperlink>
          </w:p>
        </w:tc>
        <w:tc>
          <w:tcPr>
            <w:tcW w:w="140" w:type="dxa"/>
            <w:vAlign w:val="bottom"/>
            <w:gridSpan w:val="4"/>
          </w:tcPr>
          <w:p>
            <w:pPr>
              <w:spacing w:after="0"/>
              <w:rPr>
                <w:sz w:val="17"/>
                <w:szCs w:val="17"/>
                <w:color w:val="auto"/>
              </w:rPr>
            </w:pPr>
          </w:p>
        </w:tc>
      </w:tr>
      <w:tr>
        <w:trPr>
          <w:trHeight w:val="196"/>
        </w:trPr>
        <w:tc>
          <w:tcPr>
            <w:tcW w:w="1280" w:type="dxa"/>
            <w:vAlign w:val="bottom"/>
            <w:gridSpan w:val="2"/>
          </w:tcPr>
          <w:p>
            <w:pPr>
              <w:jc w:val="center"/>
              <w:ind w:left="390"/>
              <w:spacing w:after="0" w:line="196" w:lineRule="exact"/>
              <w:rPr>
                <w:sz w:val="20"/>
                <w:szCs w:val="20"/>
                <w:color w:val="auto"/>
              </w:rPr>
            </w:pPr>
            <w:r>
              <w:rPr>
                <w:rFonts w:ascii="Arial" w:cs="Arial" w:eastAsia="Arial" w:hAnsi="Arial"/>
                <w:sz w:val="18"/>
                <w:szCs w:val="18"/>
                <w:color w:val="auto"/>
                <w:w w:val="88"/>
              </w:rPr>
              <w:t>†10.7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Commission file number 1-6033, and incorporated herein by reference)</w:t>
              </w:r>
            </w:hyperlink>
          </w:p>
        </w:tc>
        <w:tc>
          <w:tcPr>
            <w:tcW w:w="2940" w:type="dxa"/>
            <w:vAlign w:val="bottom"/>
            <w:tcBorders>
              <w:top w:val="single" w:sz="8" w:color="0000FF"/>
            </w:tcBorders>
            <w:gridSpan w:val="8"/>
          </w:tcPr>
          <w:p>
            <w:pPr>
              <w:spacing w:after="0"/>
              <w:rPr>
                <w:sz w:val="17"/>
                <w:szCs w:val="17"/>
                <w:color w:val="auto"/>
              </w:rPr>
            </w:pPr>
          </w:p>
        </w:tc>
        <w:tc>
          <w:tcPr>
            <w:tcW w:w="600" w:type="dxa"/>
            <w:vAlign w:val="bottom"/>
            <w:gridSpan w:val="1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80"/>
          </w:cols>
          <w:pgMar w:left="240" w:top="172" w:right="579" w:bottom="1440" w:gutter="0" w:footer="0" w:header="0"/>
        </w:sectPr>
      </w:pP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080"/>
          </w:cols>
          <w:pgMar w:left="240" w:top="172" w:right="57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61"/>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40" w:type="dxa"/>
            <w:vAlign w:val="bottom"/>
            <w:tcBorders>
              <w:bottom w:val="single" w:sz="8" w:color="0000FF"/>
            </w:tcBorders>
            <w:gridSpan w:val="17"/>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Stock Option Award Notice, dated as of December 4, 2019, to J. Scott Kirby pursuant to the United Continental</w:t>
              </w:r>
            </w:hyperlink>
          </w:p>
        </w:tc>
        <w:tc>
          <w:tcPr>
            <w:tcW w:w="62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3"/>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Holdings, Inc. 2017 Incentive Compensation Plan (filed as Exhibit 10.2 to UAL's Current Report on Form 8-K filed on</w:t>
              </w:r>
            </w:hyperlink>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56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December 6, 2019, Commission file number 1-6033, and incorporated herein by reference)</w:t>
              </w:r>
            </w:hyperlink>
          </w:p>
        </w:tc>
        <w:tc>
          <w:tcPr>
            <w:tcW w:w="10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80" w:type="dxa"/>
            <w:vAlign w:val="bottom"/>
            <w:tcBorders>
              <w:bottom w:val="single" w:sz="8" w:color="0000FF"/>
            </w:tcBorders>
            <w:gridSpan w:val="23"/>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Form of Stock Option Award Notice pursuant to the United Continental Holdings, Inc. 2008 Incentive Compensation</w:t>
              </w:r>
            </w:hyperlink>
          </w:p>
        </w:tc>
        <w:tc>
          <w:tcPr>
            <w:tcW w:w="18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Plan (filed as Exhibit 10.1 to UAL's Form 10-Q for the quarter ended September 30, 2016, Commission file number 1-</w:t>
              </w:r>
            </w:hyperlink>
          </w:p>
        </w:tc>
        <w:tc>
          <w:tcPr>
            <w:tcW w:w="100" w:type="dxa"/>
            <w:vAlign w:val="bottom"/>
            <w:gridSpan w:val="4"/>
          </w:tcPr>
          <w:p>
            <w:pPr>
              <w:spacing w:after="0"/>
              <w:rPr>
                <w:sz w:val="17"/>
                <w:szCs w:val="17"/>
                <w:color w:val="auto"/>
              </w:rPr>
            </w:pPr>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†10.9</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316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6033, and incorporated herein by reference)</w:t>
              </w:r>
            </w:hyperlink>
          </w:p>
        </w:tc>
        <w:tc>
          <w:tcPr>
            <w:tcW w:w="5500" w:type="dxa"/>
            <w:vAlign w:val="bottom"/>
            <w:gridSpan w:val="29"/>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40" w:type="dxa"/>
            <w:vAlign w:val="bottom"/>
            <w:tcBorders>
              <w:bottom w:val="single" w:sz="8" w:color="0000FF"/>
            </w:tcBorders>
            <w:gridSpan w:val="14"/>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Form of Restricted Stock Unit Award Notice pursuant to the United Continental Holdings, Inc. 2008 Incentive</w:t>
              </w:r>
            </w:hyperlink>
          </w:p>
        </w:tc>
        <w:tc>
          <w:tcPr>
            <w:tcW w:w="720" w:type="dxa"/>
            <w:vAlign w:val="bottom"/>
            <w:gridSpan w:val="1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Compensation Plan (filed as Exhibit 10.2 to UAL's Form 10-Q for the quarter ended September 30, 2016, Commission</w:t>
              </w:r>
            </w:hyperlink>
          </w:p>
        </w:tc>
        <w:tc>
          <w:tcPr>
            <w:tcW w:w="100" w:type="dxa"/>
            <w:vAlign w:val="bottom"/>
            <w:gridSpan w:val="4"/>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†10.10</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41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file number 1-6033, and incorporated herein by reference)</w:t>
              </w:r>
            </w:hyperlink>
          </w:p>
        </w:tc>
        <w:tc>
          <w:tcPr>
            <w:tcW w:w="4480" w:type="dxa"/>
            <w:vAlign w:val="bottom"/>
            <w:gridSpan w:val="28"/>
          </w:tcPr>
          <w:p>
            <w:pPr>
              <w:spacing w:after="0"/>
              <w:rPr>
                <w:sz w:val="17"/>
                <w:szCs w:val="17"/>
                <w:color w:val="auto"/>
              </w:rPr>
            </w:pPr>
          </w:p>
        </w:tc>
      </w:tr>
      <w:tr>
        <w:trPr>
          <w:trHeight w:val="372"/>
        </w:trPr>
        <w:tc>
          <w:tcPr>
            <w:tcW w:w="1280" w:type="dxa"/>
            <w:vAlign w:val="bottom"/>
            <w:gridSpan w:val="2"/>
          </w:tcPr>
          <w:p>
            <w:pPr>
              <w:jc w:val="center"/>
              <w:ind w:left="391"/>
              <w:spacing w:after="0"/>
              <w:rPr>
                <w:sz w:val="20"/>
                <w:szCs w:val="20"/>
                <w:color w:val="auto"/>
              </w:rPr>
            </w:pPr>
            <w:r>
              <w:rPr>
                <w:rFonts w:ascii="Arial" w:cs="Arial" w:eastAsia="Arial" w:hAnsi="Arial"/>
                <w:sz w:val="18"/>
                <w:szCs w:val="18"/>
                <w:color w:val="auto"/>
                <w:w w:val="87"/>
              </w:rPr>
              <w:t>†10.11</w:t>
            </w: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6820" w:type="dxa"/>
            <w:vAlign w:val="bottom"/>
            <w:tcBorders>
              <w:bottom w:val="single" w:sz="8" w:color="0000FF"/>
            </w:tcBorders>
            <w:gridSpan w:val="9"/>
          </w:tcPr>
          <w:p>
            <w:pPr>
              <w:spacing w:after="0"/>
              <w:rPr>
                <w:rFonts w:ascii="Arial" w:cs="Arial" w:eastAsia="Arial" w:hAnsi="Arial"/>
                <w:sz w:val="18"/>
                <w:szCs w:val="18"/>
                <w:color w:val="0000FF"/>
                <w:w w:val="94"/>
              </w:rPr>
            </w:pPr>
            <w:hyperlink w:anchor="page123">
              <w:r>
                <w:rPr>
                  <w:rFonts w:ascii="Arial" w:cs="Arial" w:eastAsia="Arial" w:hAnsi="Arial"/>
                  <w:sz w:val="18"/>
                  <w:szCs w:val="18"/>
                  <w:color w:val="0000FF"/>
                  <w:w w:val="94"/>
                </w:rPr>
                <w:t>Description of Benefits for Officers of United Airlines Holdings, Inc. and United Airlines, Inc.</w:t>
              </w:r>
            </w:hyperlink>
          </w:p>
        </w:tc>
        <w:tc>
          <w:tcPr>
            <w:tcW w:w="1840" w:type="dxa"/>
            <w:vAlign w:val="bottom"/>
            <w:gridSpan w:val="24"/>
          </w:tcPr>
          <w:p>
            <w:pPr>
              <w:spacing w:after="0"/>
              <w:rPr>
                <w:sz w:val="24"/>
                <w:szCs w:val="24"/>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33"/>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United Continental Holdings, Inc. Officer Travel Policy (filed as Exhibit 10.24 to UAL's Form 10-K for the year ended</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66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December 31, 2010, Commission file number 1-6033, and incorporated herein by reference)</w:t>
              </w:r>
            </w:hyperlink>
          </w:p>
        </w:tc>
        <w:tc>
          <w:tcPr>
            <w:tcW w:w="1920" w:type="dxa"/>
            <w:vAlign w:val="bottom"/>
            <w:tcBorders>
              <w:top w:val="single" w:sz="8" w:color="0000FF"/>
            </w:tcBorders>
            <w:gridSpan w:val="21"/>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bottom w:val="single" w:sz="8" w:color="0000FF"/>
            </w:tcBorders>
            <w:gridSpan w:val="21"/>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United Continental Holdings, Inc. 2008 Incentive Compensation Plan (filed as Annex A to UAL Corporation's 2013</w:t>
              </w:r>
            </w:hyperlink>
          </w:p>
        </w:tc>
        <w:tc>
          <w:tcPr>
            <w:tcW w:w="30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gridSpan w:val="33"/>
          </w:tcPr>
          <w:p>
            <w:pPr>
              <w:spacing w:after="0" w:line="19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Definitive Proxy Statement filed on April 26, 2013, Commission file number 1-6033, and incorporated herein by</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1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reference) (now named the United Continental Holdings, Inc. 2008 Incentive Compensation Plan)</w:t>
              </w:r>
            </w:hyperlink>
          </w:p>
        </w:tc>
        <w:tc>
          <w:tcPr>
            <w:tcW w:w="540" w:type="dxa"/>
            <w:vAlign w:val="bottom"/>
            <w:gridSpan w:val="1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20" w:type="dxa"/>
            <w:vAlign w:val="bottom"/>
            <w:tcBorders>
              <w:bottom w:val="single" w:sz="8" w:color="0000FF"/>
            </w:tcBorders>
            <w:gridSpan w:val="22"/>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First Amendment to the United Continental Holdings, Inc. 2008 Incentive Compensation Plan (changing the name to</w:t>
              </w:r>
            </w:hyperlink>
          </w:p>
        </w:tc>
        <w:tc>
          <w:tcPr>
            <w:tcW w:w="24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gridSpan w:val="33"/>
          </w:tcPr>
          <w:p>
            <w:pPr>
              <w:spacing w:after="0" w:line="196"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United Continental Holdings, Inc. 2008 Incentive Compensation Plan) (filed as Annex A to UAL's Definitive Proxy</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40" w:type="dxa"/>
            <w:vAlign w:val="bottom"/>
            <w:tcBorders>
              <w:top w:val="single" w:sz="8" w:color="0000FF"/>
            </w:tcBorders>
            <w:gridSpan w:val="20"/>
          </w:tcPr>
          <w:p>
            <w:pPr>
              <w:spacing w:after="0" w:line="196"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Statement filed on April 26, 2013, Commission file number 1-6033, and incorporated herein by reference)</w:t>
              </w:r>
            </w:hyperlink>
          </w:p>
        </w:tc>
        <w:tc>
          <w:tcPr>
            <w:tcW w:w="320" w:type="dxa"/>
            <w:vAlign w:val="bottom"/>
            <w:gridSpan w:val="1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32"/>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Second Amendment to the United Continental Holdings, Inc. 2008 Incentive Compensation Plan (filed as Exhibit 10.19</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to UAL's Form 10-K for the year ended December 31, 2016, Commission file number 1-6033, and incorporated herein</w:t>
              </w:r>
            </w:hyperlink>
          </w:p>
        </w:tc>
        <w:tc>
          <w:tcPr>
            <w:tcW w:w="80" w:type="dxa"/>
            <w:vAlign w:val="bottom"/>
            <w:gridSpan w:val="5"/>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80" w:type="dxa"/>
            <w:vAlign w:val="bottom"/>
            <w:tcBorders>
              <w:bottom w:val="single" w:sz="8" w:color="0000FF"/>
            </w:tcBorders>
            <w:gridSpan w:val="23"/>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of Stock Option Award Notice pursuant to the United Continental Holdings, Inc. 2008 Incentive Compensation</w:t>
              </w:r>
            </w:hyperlink>
          </w:p>
        </w:tc>
        <w:tc>
          <w:tcPr>
            <w:tcW w:w="18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Plan (filed as Exhibit 10.5 to UAL's Form 10-Q for the quarter ended June 30, 2008, Commission file number 1-6033,</w:t>
              </w:r>
            </w:hyperlink>
          </w:p>
        </w:tc>
        <w:tc>
          <w:tcPr>
            <w:tcW w:w="140" w:type="dxa"/>
            <w:vAlign w:val="bottom"/>
            <w:gridSpan w:val="8"/>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†10.16</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40" w:type="dxa"/>
            <w:vAlign w:val="bottom"/>
            <w:tcBorders>
              <w:bottom w:val="single" w:sz="8" w:color="0000FF"/>
            </w:tcBorders>
            <w:gridSpan w:val="14"/>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Restricted Stock Unit Award Notice pursuant to the United Continental Holdings, Inc. 2008 Incentive</w:t>
              </w:r>
            </w:hyperlink>
          </w:p>
        </w:tc>
        <w:tc>
          <w:tcPr>
            <w:tcW w:w="720" w:type="dxa"/>
            <w:vAlign w:val="bottom"/>
            <w:gridSpan w:val="1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Compensation Plan (stock settled) (filed as Exhibit 10.21 to UAL's Form 10-K for the year ended December 31, 2016,</w:t>
              </w:r>
            </w:hyperlink>
          </w:p>
        </w:tc>
        <w:tc>
          <w:tcPr>
            <w:tcW w:w="100" w:type="dxa"/>
            <w:vAlign w:val="bottom"/>
            <w:gridSpan w:val="6"/>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1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Commission file number 1-6033, and incorporated herein by reference)</w:t>
              </w:r>
            </w:hyperlink>
          </w:p>
        </w:tc>
        <w:tc>
          <w:tcPr>
            <w:tcW w:w="3520" w:type="dxa"/>
            <w:vAlign w:val="bottom"/>
            <w:gridSpan w:val="27"/>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33"/>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United Continental Holdings, Inc. Performance-Based Restricted Stock Unit Program (adopted pursuant to the United</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38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2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Continental Holdings, Inc. 2008 Incentive Compensation Plan) (filed as Exhibit 10.31 to UAL's Form 10-K for the year</w:t>
              </w:r>
            </w:hyperlink>
          </w:p>
        </w:tc>
        <w:tc>
          <w:tcPr>
            <w:tcW w:w="40" w:type="dxa"/>
            <w:vAlign w:val="bottom"/>
            <w:gridSpan w:val="2"/>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12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ended December 31, 2010, Commission file number 1-6033, and incorporated herein by reference)</w:t>
              </w:r>
            </w:hyperlink>
          </w:p>
        </w:tc>
        <w:tc>
          <w:tcPr>
            <w:tcW w:w="154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0" w:type="dxa"/>
            <w:vAlign w:val="bottom"/>
            <w:tcBorders>
              <w:bottom w:val="single" w:sz="8" w:color="0000FF"/>
            </w:tcBorders>
            <w:gridSpan w:val="30"/>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First Amendment to the United Continental Holdings, Inc. Performance-Based Restricted Stock Unit Program (adopted</w:t>
              </w:r>
            </w:hyperlink>
          </w:p>
        </w:tc>
        <w:tc>
          <w:tcPr>
            <w:tcW w:w="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pursuant to the United Continental Holdings, Inc. 2008 Incentive Compensation Plan) (effective with respect to</w:t>
              </w:r>
            </w:hyperlink>
          </w:p>
        </w:tc>
        <w:tc>
          <w:tcPr>
            <w:tcW w:w="640" w:type="dxa"/>
            <w:vAlign w:val="bottom"/>
            <w:gridSpan w:val="1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gridSpan w:val="33"/>
          </w:tcPr>
          <w:p>
            <w:pPr>
              <w:spacing w:after="0" w:line="19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performance periods beginning on or after January 1, 2012) (filed as Exhibit 10.33 to UAL's Form 10-K for the year</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†10.19</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ended December 31, 2011, Commission file number 1-6033, and incorporated herein by reference)</w:t>
              </w:r>
            </w:hyperlink>
          </w:p>
        </w:tc>
        <w:tc>
          <w:tcPr>
            <w:tcW w:w="300" w:type="dxa"/>
            <w:vAlign w:val="bottom"/>
            <w:gridSpan w:val="1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380" w:type="dxa"/>
            <w:vAlign w:val="bottom"/>
            <w:gridSpan w:val="10"/>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20" w:type="dxa"/>
            <w:vAlign w:val="bottom"/>
            <w:tcBorders>
              <w:bottom w:val="single" w:sz="8" w:color="0000FF"/>
            </w:tcBorders>
            <w:gridSpan w:val="19"/>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Second Amendment to the United Continental Holdings, Inc. Performance-Based Restricted Stock Unit Program</w:t>
              </w:r>
            </w:hyperlink>
          </w:p>
        </w:tc>
        <w:tc>
          <w:tcPr>
            <w:tcW w:w="54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(adopted pursuant to the United Continental Holdings, Inc. 2008 Incentive Compensation Plan) (filed as Exhibit 10.29</w:t>
              </w:r>
            </w:hyperlink>
          </w:p>
        </w:tc>
        <w:tc>
          <w:tcPr>
            <w:tcW w:w="1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to UAL's Form 10-K for the year ended December 31, 2012, Commission file number 1-6033, and incorporated herein</w:t>
              </w:r>
            </w:hyperlink>
          </w:p>
        </w:tc>
        <w:tc>
          <w:tcPr>
            <w:tcW w:w="80" w:type="dxa"/>
            <w:vAlign w:val="bottom"/>
            <w:gridSpan w:val="5"/>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†10.20</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3"/>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tcBorders>
              <w:bottom w:val="single" w:sz="8" w:color="0000FF"/>
            </w:tcBorders>
            <w:gridSpan w:val="33"/>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Third Amendment to the United Continental Holdings, Inc. Performance-Based Restricted Stock Unit Program (adopted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gridSpan w:val="33"/>
          </w:tcPr>
          <w:p>
            <w:pPr>
              <w:spacing w:after="0" w:line="19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pursuant to the United Continental Holdings, Inc. 2008 Incentive Compensation Plan) (filed as Exhibit 10.1 to UAL's</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Form 10-Q for the quarter ended March 31, 2015, Commission file number 1-6033, and incorporated herein by</w:t>
              </w:r>
            </w:hyperlink>
          </w:p>
        </w:tc>
        <w:tc>
          <w:tcPr>
            <w:tcW w:w="480" w:type="dxa"/>
            <w:vAlign w:val="bottom"/>
            <w:tcBorders>
              <w:top w:val="single" w:sz="8" w:color="0000FF"/>
            </w:tcBorders>
            <w:gridSpan w:val="8"/>
          </w:tcPr>
          <w:p>
            <w:pPr>
              <w:spacing w:after="0"/>
              <w:rPr>
                <w:sz w:val="17"/>
                <w:szCs w:val="17"/>
                <w:color w:val="auto"/>
              </w:rPr>
            </w:pPr>
          </w:p>
        </w:tc>
        <w:tc>
          <w:tcPr>
            <w:tcW w:w="180" w:type="dxa"/>
            <w:vAlign w:val="bottom"/>
            <w:gridSpan w:val="10"/>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†10.21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3"/>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33"/>
          </w:tcPr>
          <w:p>
            <w:pPr>
              <w:spacing w:after="0"/>
              <w:rPr>
                <w:rFonts w:ascii="Arial" w:cs="Arial" w:eastAsia="Arial" w:hAnsi="Arial"/>
                <w:sz w:val="18"/>
                <w:szCs w:val="18"/>
                <w:color w:val="0000FF"/>
                <w:w w:val="97"/>
              </w:rPr>
            </w:pPr>
            <w:hyperlink r:id="rId61">
              <w:r>
                <w:rPr>
                  <w:rFonts w:ascii="Arial" w:cs="Arial" w:eastAsia="Arial" w:hAnsi="Arial"/>
                  <w:sz w:val="18"/>
                  <w:szCs w:val="18"/>
                  <w:color w:val="0000FF"/>
                  <w:w w:val="97"/>
                </w:rPr>
                <w:t>Fourth Amendment to the United Continental Holdings, Inc. Performance-Based Restricted Stock Unit Program</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60" w:type="dxa"/>
            <w:vAlign w:val="bottom"/>
            <w:gridSpan w:val="18"/>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(adopted pursuant to the United Continental Holdings, Inc. 2008 Incentive Compensation Plan) (filed as Exhibit 10.22</w:t>
              </w:r>
            </w:hyperlink>
          </w:p>
        </w:tc>
        <w:tc>
          <w:tcPr>
            <w:tcW w:w="14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to UAL's Form 10-K for the year ended December 31, 2015, Commission file number 1-6033 and incorporated herein</w:t>
              </w:r>
            </w:hyperlink>
          </w:p>
        </w:tc>
        <w:tc>
          <w:tcPr>
            <w:tcW w:w="160" w:type="dxa"/>
            <w:vAlign w:val="bottom"/>
            <w:gridSpan w:val="9"/>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†10.22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3"/>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72" w:right="599" w:bottom="1440" w:gutter="0" w:footer="0" w:header="0"/>
        </w:sectPr>
      </w:pPr>
    </w:p>
    <w:p>
      <w:pPr>
        <w:spacing w:after="0" w:line="17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060"/>
          </w:cols>
          <w:pgMar w:left="240" w:top="172" w:right="59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61"/>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Form of Performance-Based Restricted Stock Unit Award Notice pursuant to the United Continental Holdings, Inc.</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9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Performance-Based Restricted Stock Unit Program (Relative Pre-tax Margin awards) (for performance periods</w:t>
              </w:r>
            </w:hyperlink>
          </w:p>
        </w:tc>
        <w:tc>
          <w:tcPr>
            <w:tcW w:w="300" w:type="dxa"/>
            <w:vAlign w:val="bottom"/>
            <w:tcBorders>
              <w:top w:val="single" w:sz="8" w:color="0000FF"/>
            </w:tcBorders>
            <w:gridSpan w:val="6"/>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beginning on or after January 1, 2015) (filed as Exhibit 10.2 to UAL's Form 10-Q for the quarter ended March 31, 2015,</w:t>
              </w:r>
            </w:hyperlink>
          </w:p>
        </w:tc>
        <w:tc>
          <w:tcPr>
            <w:tcW w:w="20" w:type="dxa"/>
            <w:vAlign w:val="bottom"/>
          </w:tcPr>
          <w:p>
            <w:pPr>
              <w:spacing w:after="0"/>
              <w:rPr>
                <w:sz w:val="17"/>
                <w:szCs w:val="17"/>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†10.23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Commission file number 1-6033, and incorporated herein by reference)</w:t>
              </w:r>
            </w:hyperlink>
          </w:p>
        </w:tc>
        <w:tc>
          <w:tcPr>
            <w:tcW w:w="3540" w:type="dxa"/>
            <w:vAlign w:val="bottom"/>
            <w:gridSpan w:val="26"/>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United Air Lines, Inc. Management Cash Direct &amp; Cash Match Program (amended and restated effective January 1,</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2016) (filed as Exhibit 10.28 to UAL's Form 10-K for the year ended December 31, 2018 Commission file number 1-</w:t>
              </w:r>
            </w:hyperlink>
          </w:p>
        </w:tc>
        <w:tc>
          <w:tcPr>
            <w:tcW w:w="220" w:type="dxa"/>
            <w:vAlign w:val="bottom"/>
            <w:gridSpan w:val="8"/>
          </w:tcPr>
          <w:p>
            <w:pPr>
              <w:spacing w:after="0"/>
              <w:rPr>
                <w:sz w:val="17"/>
                <w:szCs w:val="17"/>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†10.24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31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6033, and incorporated herein by reference)</w:t>
              </w:r>
            </w:hyperlink>
          </w:p>
        </w:tc>
        <w:tc>
          <w:tcPr>
            <w:tcW w:w="5520" w:type="dxa"/>
            <w:vAlign w:val="bottom"/>
            <w:gridSpan w:val="28"/>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20" w:type="dxa"/>
            <w:vAlign w:val="bottom"/>
            <w:tcBorders>
              <w:bottom w:val="single" w:sz="8" w:color="0000FF"/>
            </w:tcBorders>
            <w:gridSpan w:val="28"/>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United Continental Holdings, Inc. Executive Severance Plan (effective October 1, 2014) (filed as Exhibit 10.1 to UAL's</w:t>
              </w:r>
            </w:hyperlink>
          </w:p>
        </w:tc>
        <w:tc>
          <w:tcPr>
            <w:tcW w:w="60" w:type="dxa"/>
            <w:vAlign w:val="bottom"/>
            <w:gridSpan w:val="3"/>
          </w:tcPr>
          <w:p>
            <w:pPr>
              <w:spacing w:after="0"/>
              <w:rPr>
                <w:sz w:val="24"/>
                <w:szCs w:val="24"/>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†10.25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1"/>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Form 8-K filed June 20, 2014, Commission file number 1-6033,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29"/>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United Continental Holdings, Inc. 2017 Incentive Compensation Plan (filed as Exhibit 10.1 to UAL's Form 8-K filed on</w:t>
              </w:r>
            </w:hyperlink>
          </w:p>
        </w:tc>
        <w:tc>
          <w:tcPr>
            <w:tcW w:w="40" w:type="dxa"/>
            <w:vAlign w:val="bottom"/>
            <w:gridSpan w:val="2"/>
          </w:tcPr>
          <w:p>
            <w:pPr>
              <w:spacing w:after="0"/>
              <w:rPr>
                <w:sz w:val="24"/>
                <w:szCs w:val="24"/>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†10.26</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62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May 30, 2017, Commission file number 1-6033, and incorporated herein by reference)</w:t>
              </w:r>
            </w:hyperlink>
          </w:p>
        </w:tc>
        <w:tc>
          <w:tcPr>
            <w:tcW w:w="2440" w:type="dxa"/>
            <w:vAlign w:val="bottom"/>
            <w:gridSpan w:val="23"/>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40" w:type="dxa"/>
            <w:vAlign w:val="bottom"/>
            <w:tcBorders>
              <w:bottom w:val="single" w:sz="8" w:color="0000FF"/>
            </w:tcBorders>
            <w:gridSpan w:val="12"/>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Restricted Stock Unit Award Notice pursuant to the United Continental Holdings, Inc. 2017 Incentive</w:t>
              </w:r>
            </w:hyperlink>
          </w:p>
        </w:tc>
        <w:tc>
          <w:tcPr>
            <w:tcW w:w="740" w:type="dxa"/>
            <w:vAlign w:val="bottom"/>
            <w:gridSpan w:val="1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Compensation Plan (filed as Exhibit 10.6 to UAL's Form 10-Q for the quarter ended June 30, 2017, Commission file</w:t>
              </w:r>
            </w:hyperlink>
          </w:p>
        </w:tc>
        <w:tc>
          <w:tcPr>
            <w:tcW w:w="280" w:type="dxa"/>
            <w:vAlign w:val="bottom"/>
            <w:gridSpan w:val="10"/>
          </w:tcPr>
          <w:p>
            <w:pPr>
              <w:spacing w:after="0"/>
              <w:rPr>
                <w:sz w:val="17"/>
                <w:szCs w:val="17"/>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†10.27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39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number 1-6033, and incorporated herein by reference)</w:t>
              </w:r>
            </w:hyperlink>
          </w:p>
        </w:tc>
        <w:tc>
          <w:tcPr>
            <w:tcW w:w="4780" w:type="dxa"/>
            <w:vAlign w:val="bottom"/>
            <w:gridSpan w:val="27"/>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Form of Stock Option Award Notice pursuant to the United Continental Holdings, Inc. 2017 Incentive Compensation</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Plan (filed as Exhibit 10.7 to UAL's Form 10-Q for the quarter ended June 30, 2017, Commission file number 1-6033,</w:t>
              </w:r>
            </w:hyperlink>
          </w:p>
        </w:tc>
        <w:tc>
          <w:tcPr>
            <w:tcW w:w="160" w:type="dxa"/>
            <w:vAlign w:val="bottom"/>
            <w:gridSpan w:val="6"/>
          </w:tcPr>
          <w:p>
            <w:pPr>
              <w:spacing w:after="0"/>
              <w:rPr>
                <w:sz w:val="17"/>
                <w:szCs w:val="17"/>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†10.28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1"/>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80" w:type="dxa"/>
            <w:vAlign w:val="bottom"/>
            <w:tcBorders>
              <w:bottom w:val="single" w:sz="8" w:color="0000FF"/>
            </w:tcBorders>
            <w:gridSpan w:val="17"/>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United Continental Holdings, Inc. Performance-Based RSU Program (adopted pursuant to the United Continental</w:t>
              </w:r>
            </w:hyperlink>
          </w:p>
        </w:tc>
        <w:tc>
          <w:tcPr>
            <w:tcW w:w="50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Holdings, Inc. 2017 Incentive Compensation Plan) (filed as Exhibit 10.8 to UAL's Form 10-Q for the quarter ended June</w:t>
              </w:r>
            </w:hyperlink>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†10.29</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8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30, 2017, Commission file number 1-6033, and incorporated herein by reference)</w:t>
              </w:r>
            </w:hyperlink>
          </w:p>
        </w:tc>
        <w:tc>
          <w:tcPr>
            <w:tcW w:w="2820" w:type="dxa"/>
            <w:vAlign w:val="bottom"/>
            <w:gridSpan w:val="24"/>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20" w:type="dxa"/>
            <w:vAlign w:val="bottom"/>
            <w:tcBorders>
              <w:bottom w:val="single" w:sz="8" w:color="0000FF"/>
            </w:tcBorders>
            <w:gridSpan w:val="25"/>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First Amendment to the United Continental Holdings, Inc. Performance-Based RSU Program (adopted pursuant to the</w:t>
              </w:r>
            </w:hyperlink>
          </w:p>
        </w:tc>
        <w:tc>
          <w:tcPr>
            <w:tcW w:w="16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United Continental Holdings, Inc. 2017 Incentive Compensation Plan) (filed as Exhibit 10.34 to UAL's Form 10-K for</w:t>
              </w:r>
            </w:hyperlink>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†10.30</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7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the year ended December 31, 2018, Commission file number 1-6033, and incorporated herein by reference)</w:t>
              </w:r>
            </w:hyperlink>
          </w:p>
        </w:tc>
        <w:tc>
          <w:tcPr>
            <w:tcW w:w="780" w:type="dxa"/>
            <w:vAlign w:val="bottom"/>
            <w:tcBorders>
              <w:top w:val="single" w:sz="8" w:color="0000FF"/>
            </w:tcBorders>
            <w:gridSpan w:val="14"/>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60" w:type="dxa"/>
            <w:vAlign w:val="bottom"/>
            <w:tcBorders>
              <w:bottom w:val="single" w:sz="8" w:color="0000FF"/>
            </w:tcBorders>
            <w:gridSpan w:val="27"/>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Form of Performance-Based RSU Award Notice pursuant to the United Continental Holdings, Inc. Performance-Based</w:t>
              </w:r>
            </w:hyperlink>
          </w:p>
        </w:tc>
        <w:tc>
          <w:tcPr>
            <w:tcW w:w="12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RSU Program (Relative Pre-tax Margin awards) (stock settled form of award) (filed as Exhibit 10.35 to UAL's Form 10-</w:t>
              </w:r>
            </w:hyperlink>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1"/>
          </w:tcPr>
          <w:p>
            <w:pPr>
              <w:spacing w:after="0" w:line="196" w:lineRule="exact"/>
              <w:rPr>
                <w:rFonts w:ascii="Arial" w:cs="Arial" w:eastAsia="Arial" w:hAnsi="Arial"/>
                <w:sz w:val="18"/>
                <w:szCs w:val="18"/>
                <w:color w:val="0000FF"/>
                <w:w w:val="96"/>
              </w:rPr>
            </w:pPr>
            <w:hyperlink r:id="rId70">
              <w:r>
                <w:rPr>
                  <w:rFonts w:ascii="Arial" w:cs="Arial" w:eastAsia="Arial" w:hAnsi="Arial"/>
                  <w:sz w:val="18"/>
                  <w:szCs w:val="18"/>
                  <w:color w:val="0000FF"/>
                  <w:w w:val="96"/>
                </w:rPr>
                <w:t>K for the year ended December 31, 2018, Commission file number 1-6033,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Form of Performance-Based RSU Award Notice pursuant to the United Continental Holdings, Inc. Performance-Based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40" w:type="dxa"/>
            <w:vAlign w:val="bottom"/>
            <w:tcBorders>
              <w:top w:val="single" w:sz="8" w:color="0000FF"/>
            </w:tcBorders>
            <w:gridSpan w:val="26"/>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RSU Program (Relative Pre-tax Margin awards) (filed as Exhibit 10.9 to UAL's Form 10-Q for the quarter ended June</w:t>
              </w:r>
            </w:hyperlink>
          </w:p>
        </w:tc>
        <w:tc>
          <w:tcPr>
            <w:tcW w:w="140" w:type="dxa"/>
            <w:vAlign w:val="bottom"/>
            <w:gridSpan w:val="5"/>
          </w:tcPr>
          <w:p>
            <w:pPr>
              <w:spacing w:after="0"/>
              <w:rPr>
                <w:sz w:val="17"/>
                <w:szCs w:val="17"/>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8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30, 2017, Commission file number 1-6033, and incorporated herein by reference)</w:t>
              </w:r>
            </w:hyperlink>
          </w:p>
        </w:tc>
        <w:tc>
          <w:tcPr>
            <w:tcW w:w="2640" w:type="dxa"/>
            <w:vAlign w:val="bottom"/>
            <w:tcBorders>
              <w:top w:val="single" w:sz="8" w:color="0000FF"/>
            </w:tcBorders>
            <w:gridSpan w:val="17"/>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60" w:type="dxa"/>
            <w:vAlign w:val="bottom"/>
            <w:tcBorders>
              <w:bottom w:val="single" w:sz="8" w:color="0000FF"/>
            </w:tcBorders>
            <w:gridSpan w:val="18"/>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United Continental Holdings, Inc. Annual Incentive Program (cash settled form of award) (adopted pursuant to the</w:t>
              </w:r>
            </w:hyperlink>
          </w:p>
        </w:tc>
        <w:tc>
          <w:tcPr>
            <w:tcW w:w="42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United Continental Holdings, Inc. 2017 Incentive Compensation Plan) (filed as Exhibit 10.63 to UAL's Form 10-K for</w:t>
              </w:r>
            </w:hyperlink>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†10.33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7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the year ended December 31, 2017, Commission file number 1-6033, and incorporated herein by reference)</w:t>
              </w:r>
            </w:hyperlink>
          </w:p>
        </w:tc>
        <w:tc>
          <w:tcPr>
            <w:tcW w:w="780" w:type="dxa"/>
            <w:vAlign w:val="bottom"/>
            <w:tcBorders>
              <w:top w:val="single" w:sz="8" w:color="0000FF"/>
            </w:tcBorders>
            <w:gridSpan w:val="14"/>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Form of Annual Incentive Program Award Notice pursuant to the United Continental Holdings, Inc. Annual Incentive</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60" w:type="dxa"/>
            <w:vAlign w:val="bottom"/>
            <w:tcBorders>
              <w:top w:val="single" w:sz="8" w:color="0000FF"/>
            </w:tcBorders>
            <w:gridSpan w:val="23"/>
          </w:tcPr>
          <w:p>
            <w:pPr>
              <w:spacing w:after="0" w:line="196"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Program (adopted pursuant to the United Continental Holdings, Inc. 2017 Incentive Compensation Plan) (filed as</w:t>
              </w:r>
            </w:hyperlink>
          </w:p>
        </w:tc>
        <w:tc>
          <w:tcPr>
            <w:tcW w:w="22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Exhibit 10.64 to UAL's Form 10-K for the year ended December 31, 2017, Commission file number 1-6033, and</w:t>
              </w:r>
            </w:hyperlink>
          </w:p>
        </w:tc>
        <w:tc>
          <w:tcPr>
            <w:tcW w:w="40" w:type="dxa"/>
            <w:vAlign w:val="bottom"/>
            <w:tcBorders>
              <w:top w:val="single" w:sz="8" w:color="0000FF"/>
            </w:tcBorders>
          </w:tcPr>
          <w:p>
            <w:pPr>
              <w:spacing w:after="0"/>
              <w:rPr>
                <w:sz w:val="17"/>
                <w:szCs w:val="17"/>
                <w:color w:val="auto"/>
              </w:rPr>
            </w:pPr>
          </w:p>
        </w:tc>
        <w:tc>
          <w:tcPr>
            <w:tcW w:w="520" w:type="dxa"/>
            <w:vAlign w:val="bottom"/>
            <w:gridSpan w:val="15"/>
          </w:tcPr>
          <w:p>
            <w:pPr>
              <w:spacing w:after="0"/>
              <w:rPr>
                <w:sz w:val="17"/>
                <w:szCs w:val="17"/>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24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incorporated herein by reference)</w:t>
              </w:r>
            </w:hyperlink>
          </w:p>
        </w:tc>
        <w:tc>
          <w:tcPr>
            <w:tcW w:w="6280" w:type="dxa"/>
            <w:vAlign w:val="bottom"/>
            <w:gridSpan w:val="30"/>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w w:val="92"/>
              </w:rPr>
            </w:pPr>
            <w:hyperlink w:anchor="page124">
              <w:r>
                <w:rPr>
                  <w:rFonts w:ascii="Arial" w:cs="Arial" w:eastAsia="Arial" w:hAnsi="Arial"/>
                  <w:sz w:val="18"/>
                  <w:szCs w:val="18"/>
                  <w:color w:val="0000FF"/>
                  <w:w w:val="92"/>
                </w:rPr>
                <w:t>Form of Performance-Based RSU Award Notice pursuant to the United Continental Holdings, Inc. Performance-Based</w:t>
              </w:r>
            </w:hyperlink>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w:anchor="page124">
              <w:r>
                <w:rPr>
                  <w:rFonts w:ascii="Arial" w:cs="Arial" w:eastAsia="Arial" w:hAnsi="Arial"/>
                  <w:sz w:val="18"/>
                  <w:szCs w:val="18"/>
                  <w:color w:val="0000FF"/>
                </w:rPr>
                <w:t>RSU Program (for performance periods beginning on or after January 1, 2020)</w:t>
              </w:r>
            </w:hyperlink>
          </w:p>
        </w:tc>
        <w:tc>
          <w:tcPr>
            <w:tcW w:w="140" w:type="dxa"/>
            <w:vAlign w:val="bottom"/>
            <w:gridSpan w:val="5"/>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60" w:type="dxa"/>
            <w:vAlign w:val="bottom"/>
            <w:gridSpan w:val="6"/>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9"/>
        </w:trPr>
        <w:tc>
          <w:tcPr>
            <w:tcW w:w="1280" w:type="dxa"/>
            <w:vAlign w:val="bottom"/>
            <w:gridSpan w:val="2"/>
          </w:tcPr>
          <w:p>
            <w:pPr>
              <w:ind w:left="620"/>
              <w:spacing w:after="0"/>
              <w:rPr>
                <w:sz w:val="20"/>
                <w:szCs w:val="20"/>
                <w:color w:val="auto"/>
              </w:rPr>
            </w:pPr>
            <w:r>
              <w:rPr>
                <w:rFonts w:ascii="Arial" w:cs="Arial" w:eastAsia="Arial" w:hAnsi="Arial"/>
                <w:sz w:val="18"/>
                <w:szCs w:val="18"/>
                <w:color w:val="auto"/>
              </w:rPr>
              <w:t>†10.36</w:t>
            </w: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740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27">
              <w:r>
                <w:rPr>
                  <w:rFonts w:ascii="Arial" w:cs="Arial" w:eastAsia="Arial" w:hAnsi="Arial"/>
                  <w:sz w:val="18"/>
                  <w:szCs w:val="18"/>
                  <w:color w:val="0000FF"/>
                  <w:w w:val="92"/>
                </w:rPr>
                <w:t>Description of Compensation and Benefits for United Airlines Holdings, Inc. Non-Employee Directors</w:t>
              </w:r>
            </w:hyperlink>
          </w:p>
        </w:tc>
        <w:tc>
          <w:tcPr>
            <w:tcW w:w="700" w:type="dxa"/>
            <w:vAlign w:val="bottom"/>
            <w:gridSpan w:val="4"/>
          </w:tcPr>
          <w:p>
            <w:pPr>
              <w:spacing w:after="0"/>
              <w:rPr>
                <w:sz w:val="24"/>
                <w:szCs w:val="24"/>
                <w:color w:val="auto"/>
              </w:rPr>
            </w:pPr>
          </w:p>
        </w:tc>
        <w:tc>
          <w:tcPr>
            <w:tcW w:w="540" w:type="dxa"/>
            <w:vAlign w:val="bottom"/>
            <w:gridSpan w:val="15"/>
          </w:tcPr>
          <w:p>
            <w:pPr>
              <w:spacing w:after="0"/>
              <w:rPr>
                <w:sz w:val="24"/>
                <w:szCs w:val="24"/>
                <w:color w:val="auto"/>
              </w:rPr>
            </w:pPr>
          </w:p>
        </w:tc>
        <w:tc>
          <w:tcPr>
            <w:tcW w:w="40" w:type="dxa"/>
            <w:vAlign w:val="bottom"/>
            <w:gridSpan w:val="2"/>
          </w:tcPr>
          <w:p>
            <w:pPr>
              <w:spacing w:after="0"/>
              <w:rPr>
                <w:sz w:val="24"/>
                <w:szCs w:val="24"/>
                <w:color w:val="auto"/>
              </w:rPr>
            </w:pPr>
          </w:p>
        </w:tc>
      </w:tr>
      <w:tr>
        <w:trPr>
          <w:trHeight w:val="39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29"/>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United Continental Holdings, Inc. 2006 Director Equity Incentive Plan (as amended and restated, effective February 20,</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2014, filed as Annex A to UAL's Definitive Proxy Statement filed April 25, 2014, Commission file number 1-6033, and</w:t>
              </w:r>
            </w:hyperlink>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2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incorporated herein by reference)</w:t>
              </w:r>
            </w:hyperlink>
          </w:p>
        </w:tc>
        <w:tc>
          <w:tcPr>
            <w:tcW w:w="6240" w:type="dxa"/>
            <w:vAlign w:val="bottom"/>
            <w:tcBorders>
              <w:top w:val="single" w:sz="8" w:color="0000FF"/>
            </w:tcBorders>
            <w:gridSpan w:val="2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w w:val="97"/>
              </w:rPr>
            </w:pPr>
            <w:hyperlink r:id="rId75">
              <w:r>
                <w:rPr>
                  <w:rFonts w:ascii="Arial" w:cs="Arial" w:eastAsia="Arial" w:hAnsi="Arial"/>
                  <w:sz w:val="18"/>
                  <w:szCs w:val="18"/>
                  <w:color w:val="0000FF"/>
                  <w:w w:val="97"/>
                </w:rPr>
                <w:t>First Amendment to the United Continental Holdings, Inc. 2006 Director Equity Incentive Plan (as amended and</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100" w:type="dxa"/>
            <w:vAlign w:val="bottom"/>
            <w:gridSpan w:val="14"/>
            <w:shd w:val="clear" w:color="auto" w:fill="0000FF"/>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FF"/>
                <w:w w:val="97"/>
              </w:rPr>
            </w:pPr>
            <w:hyperlink r:id="rId75">
              <w:r>
                <w:rPr>
                  <w:rFonts w:ascii="Arial" w:cs="Arial" w:eastAsia="Arial" w:hAnsi="Arial"/>
                  <w:sz w:val="18"/>
                  <w:szCs w:val="18"/>
                  <w:color w:val="0000FF"/>
                  <w:w w:val="97"/>
                </w:rPr>
                <w:t>restated on February 20, 2014) (filed as Exhibit 10.3 to UAL's Form 10-Q for the quarter ended March 31, 2017,</w:t>
              </w:r>
            </w:hyperlink>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†10.38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Commission file number 1-6033, and incorporated herein by reference)</w:t>
              </w:r>
            </w:hyperlink>
          </w:p>
        </w:tc>
        <w:tc>
          <w:tcPr>
            <w:tcW w:w="2960" w:type="dxa"/>
            <w:vAlign w:val="bottom"/>
            <w:tcBorders>
              <w:top w:val="single" w:sz="8" w:color="0000FF"/>
            </w:tcBorders>
            <w:gridSpan w:val="9"/>
          </w:tcPr>
          <w:p>
            <w:pPr>
              <w:spacing w:after="0"/>
              <w:rPr>
                <w:sz w:val="17"/>
                <w:szCs w:val="17"/>
                <w:color w:val="auto"/>
              </w:rPr>
            </w:pPr>
          </w:p>
        </w:tc>
        <w:tc>
          <w:tcPr>
            <w:tcW w:w="580" w:type="dxa"/>
            <w:vAlign w:val="bottom"/>
            <w:gridSpan w:val="1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80"/>
          </w:cols>
          <w:pgMar w:left="240" w:top="171" w:right="579" w:bottom="1440" w:gutter="0" w:footer="0" w:header="0"/>
        </w:sectPr>
      </w:pP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080"/>
          </w:cols>
          <w:pgMar w:left="240" w:top="171" w:right="57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340" w:type="dxa"/>
            <w:vAlign w:val="bottom"/>
            <w:tcBorders>
              <w:bottom w:val="single" w:sz="8" w:color="0000FF"/>
            </w:tcBorders>
            <w:gridSpan w:val="17"/>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Form of Share Unit Award Notice pursuant to the United Continental Holdings, Inc. 2006 Director Equity Incentive</w:t>
              </w:r>
            </w:hyperlink>
          </w:p>
        </w:tc>
        <w:tc>
          <w:tcPr>
            <w:tcW w:w="340" w:type="dxa"/>
            <w:vAlign w:val="bottom"/>
            <w:gridSpan w:val="1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6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Plan (for awards granted on or after June 2011) (filed as Exhibit 10.9 to UAL's Form 10-Q for the quarter ended June</w:t>
              </w:r>
            </w:hyperlink>
          </w:p>
        </w:tc>
        <w:tc>
          <w:tcPr>
            <w:tcW w:w="220" w:type="dxa"/>
            <w:vAlign w:val="bottom"/>
            <w:gridSpan w:val="6"/>
          </w:tcPr>
          <w:p>
            <w:pPr>
              <w:spacing w:after="0"/>
              <w:rPr>
                <w:sz w:val="17"/>
                <w:szCs w:val="17"/>
                <w:color w:val="auto"/>
              </w:rPr>
            </w:pPr>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0"/>
              </w:rPr>
              <w:t>†10.39</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58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30, 2014, Commission file number 1-6033, and incorporated herein by reference)</w:t>
              </w:r>
            </w:hyperlink>
          </w:p>
        </w:tc>
        <w:tc>
          <w:tcPr>
            <w:tcW w:w="2820" w:type="dxa"/>
            <w:vAlign w:val="bottom"/>
            <w:gridSpan w:val="24"/>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40" w:type="dxa"/>
            <w:vAlign w:val="bottom"/>
            <w:tcBorders>
              <w:bottom w:val="single" w:sz="8" w:color="0000FF"/>
            </w:tcBorders>
            <w:gridSpan w:val="22"/>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Amended and Restated A350-900 Purchase Agreement, dated September 1, 2017, including letter agreements related</w:t>
              </w:r>
            </w:hyperlink>
          </w:p>
        </w:tc>
        <w:tc>
          <w:tcPr>
            <w:tcW w:w="240" w:type="dxa"/>
            <w:vAlign w:val="bottom"/>
            <w:gridSpan w:val="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9"/>
          </w:tcPr>
          <w:p>
            <w:pPr>
              <w:spacing w:after="0" w:line="196" w:lineRule="exact"/>
              <w:rPr>
                <w:rFonts w:ascii="Arial" w:cs="Arial" w:eastAsia="Arial" w:hAnsi="Arial"/>
                <w:sz w:val="18"/>
                <w:szCs w:val="18"/>
                <w:color w:val="0000FF"/>
                <w:w w:val="97"/>
              </w:rPr>
            </w:pPr>
            <w:hyperlink r:id="rId77">
              <w:r>
                <w:rPr>
                  <w:rFonts w:ascii="Arial" w:cs="Arial" w:eastAsia="Arial" w:hAnsi="Arial"/>
                  <w:sz w:val="18"/>
                  <w:szCs w:val="18"/>
                  <w:color w:val="0000FF"/>
                  <w:w w:val="97"/>
                </w:rPr>
                <w:t>thereto, between Airbus S.A.S. and United Airlines, Inc. (filed as Exhibit 10.1 to UAL's Form 10-Q for the quarter</w:t>
              </w:r>
            </w:hyperlink>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^10.40</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2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ended September 30, 2017, Commission file number 1-6033, and incorporated herein by reference)</w:t>
              </w:r>
            </w:hyperlink>
          </w:p>
        </w:tc>
        <w:tc>
          <w:tcPr>
            <w:tcW w:w="440" w:type="dxa"/>
            <w:vAlign w:val="bottom"/>
            <w:gridSpan w:val="16"/>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20" w:type="dxa"/>
            <w:vAlign w:val="bottom"/>
            <w:tcBorders>
              <w:bottom w:val="single" w:sz="8" w:color="0000FF"/>
            </w:tcBorders>
            <w:gridSpan w:val="27"/>
          </w:tcPr>
          <w:p>
            <w:pPr>
              <w:spacing w:after="0"/>
              <w:rPr>
                <w:rFonts w:ascii="Arial" w:cs="Arial" w:eastAsia="Arial" w:hAnsi="Arial"/>
                <w:sz w:val="18"/>
                <w:szCs w:val="18"/>
                <w:color w:val="0000FF"/>
                <w:w w:val="89"/>
              </w:rPr>
            </w:pPr>
            <w:hyperlink r:id="rId78">
              <w:r>
                <w:rPr>
                  <w:rFonts w:ascii="Arial" w:cs="Arial" w:eastAsia="Arial" w:hAnsi="Arial"/>
                  <w:sz w:val="18"/>
                  <w:szCs w:val="18"/>
                  <w:color w:val="0000FF"/>
                  <w:w w:val="89"/>
                </w:rPr>
                <w:t>Amendment No. 1, dated as of July 18, 2019, to the Amended and Restated A350-900 Purchase Agreement, dated as of</w:t>
              </w:r>
            </w:hyperlink>
          </w:p>
        </w:tc>
        <w:tc>
          <w:tcPr>
            <w:tcW w:w="60" w:type="dxa"/>
            <w:vAlign w:val="bottom"/>
            <w:gridSpan w:val="2"/>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September 1, 2017, including letter agreements related thereto, between Airbus S.A.S. and United Airlines, Inc. (filed as</w:t>
              </w:r>
            </w:hyperlink>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2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Exhibit 10.1 to UAL's Form 10-Q for the quarter ended September 30, 2019, Commission file number 1-6033, and</w:t>
              </w:r>
            </w:hyperlink>
          </w:p>
        </w:tc>
        <w:tc>
          <w:tcPr>
            <w:tcW w:w="40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^10.41</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incorporated herein by reference)</w:t>
              </w:r>
            </w:hyperlink>
          </w:p>
        </w:tc>
        <w:tc>
          <w:tcPr>
            <w:tcW w:w="6280" w:type="dxa"/>
            <w:vAlign w:val="bottom"/>
            <w:gridSpan w:val="27"/>
          </w:tcPr>
          <w:p>
            <w:pPr>
              <w:spacing w:after="0"/>
              <w:rPr>
                <w:sz w:val="17"/>
                <w:szCs w:val="17"/>
                <w:color w:val="auto"/>
              </w:rPr>
            </w:pPr>
          </w:p>
        </w:tc>
      </w:tr>
      <w:tr>
        <w:trPr>
          <w:trHeight w:val="385"/>
        </w:trPr>
        <w:tc>
          <w:tcPr>
            <w:tcW w:w="6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UAL</w:t>
            </w:r>
          </w:p>
        </w:tc>
        <w:tc>
          <w:tcPr>
            <w:tcW w:w="8680" w:type="dxa"/>
            <w:vAlign w:val="bottom"/>
            <w:gridSpan w:val="29"/>
          </w:tcPr>
          <w:p>
            <w:pPr>
              <w:spacing w:after="0"/>
              <w:rPr>
                <w:rFonts w:ascii="Arial" w:cs="Arial" w:eastAsia="Arial" w:hAnsi="Arial"/>
                <w:sz w:val="18"/>
                <w:szCs w:val="18"/>
                <w:color w:val="0000FF"/>
                <w:w w:val="90"/>
              </w:rPr>
            </w:pPr>
            <w:hyperlink w:anchor="page128">
              <w:r>
                <w:rPr>
                  <w:rFonts w:ascii="Arial" w:cs="Arial" w:eastAsia="Arial" w:hAnsi="Arial"/>
                  <w:sz w:val="18"/>
                  <w:szCs w:val="18"/>
                  <w:color w:val="0000FF"/>
                  <w:w w:val="90"/>
                </w:rPr>
                <w:t>Amendment No. 2, dated as of December 3, 2019, to the Amended and Restated A350-900 Purchase Agreement, dated</w:t>
              </w:r>
            </w:hyperlink>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^10.42</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4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w:anchor="page128">
              <w:r>
                <w:rPr>
                  <w:rFonts w:ascii="Arial" w:cs="Arial" w:eastAsia="Arial" w:hAnsi="Arial"/>
                  <w:sz w:val="18"/>
                  <w:szCs w:val="18"/>
                  <w:color w:val="0000FF"/>
                  <w:w w:val="90"/>
                </w:rPr>
                <w:t>as of September 1, 2017, including letter agreements related thereto, between Airbus S.A.S. and United Airlines, Inc.</w:t>
              </w:r>
            </w:hyperlink>
          </w:p>
        </w:tc>
        <w:tc>
          <w:tcPr>
            <w:tcW w:w="120" w:type="dxa"/>
            <w:vAlign w:val="bottom"/>
            <w:tcBorders>
              <w:top w:val="single" w:sz="8" w:color="0000FF"/>
            </w:tcBorders>
            <w:gridSpan w:val="3"/>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Aircraft General Terms Agreement, dated October 10, 1997, by and among Continental and Boeing (filed as Exhibit</w:t>
              </w:r>
            </w:hyperlink>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15</w:t>
              </w:r>
              <w:r>
                <w:rPr>
                  <w:rFonts w:ascii="Arial" w:cs="Arial" w:eastAsia="Arial" w:hAnsi="Arial"/>
                  <w:sz w:val="18"/>
                  <w:szCs w:val="18"/>
                  <w:color w:val="0000FF"/>
                  <w:w w:val="92"/>
                </w:rPr>
                <w:t xml:space="preserve"> to Continental's Form 10-K for the year ended December 31, 1997, Commission File Number 1-10323, and</w:t>
              </w:r>
            </w:hyperlink>
          </w:p>
        </w:tc>
        <w:tc>
          <w:tcPr>
            <w:tcW w:w="320" w:type="dxa"/>
            <w:vAlign w:val="bottom"/>
            <w:gridSpan w:val="11"/>
          </w:tcPr>
          <w:p>
            <w:pPr>
              <w:spacing w:after="0"/>
              <w:rPr>
                <w:sz w:val="17"/>
                <w:szCs w:val="17"/>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^10.43</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incorporated herein by reference)</w:t>
              </w:r>
            </w:hyperlink>
          </w:p>
        </w:tc>
        <w:tc>
          <w:tcPr>
            <w:tcW w:w="5780" w:type="dxa"/>
            <w:vAlign w:val="bottom"/>
            <w:tcBorders>
              <w:top w:val="single" w:sz="8" w:color="0000FF"/>
            </w:tcBorders>
            <w:gridSpan w:val="10"/>
          </w:tcPr>
          <w:p>
            <w:pPr>
              <w:spacing w:after="0"/>
              <w:rPr>
                <w:sz w:val="17"/>
                <w:szCs w:val="17"/>
                <w:color w:val="auto"/>
              </w:rPr>
            </w:pPr>
          </w:p>
        </w:tc>
        <w:tc>
          <w:tcPr>
            <w:tcW w:w="500" w:type="dxa"/>
            <w:vAlign w:val="bottom"/>
            <w:gridSpan w:val="17"/>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120" w:type="dxa"/>
            <w:vAlign w:val="bottom"/>
            <w:tcBorders>
              <w:bottom w:val="single" w:sz="8" w:color="0000FF"/>
            </w:tcBorders>
            <w:gridSpan w:val="10"/>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Purchase Agreement No. PA-03776, dated July 12, 2012, between The Boeing Company and United Continental</w:t>
              </w:r>
            </w:hyperlink>
          </w:p>
        </w:tc>
        <w:tc>
          <w:tcPr>
            <w:tcW w:w="560" w:type="dxa"/>
            <w:vAlign w:val="bottom"/>
            <w:gridSpan w:val="19"/>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4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Holdings, Inc. (filed as Exhibit 10.3 to UAL's Form 10-Q for the quarter ended September 30, 2012, Commission file</w:t>
              </w:r>
            </w:hyperlink>
          </w:p>
        </w:tc>
        <w:tc>
          <w:tcPr>
            <w:tcW w:w="220" w:type="dxa"/>
            <w:vAlign w:val="bottom"/>
            <w:gridSpan w:val="6"/>
          </w:tcPr>
          <w:p>
            <w:pPr>
              <w:spacing w:after="0"/>
              <w:rPr>
                <w:sz w:val="17"/>
                <w:szCs w:val="17"/>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^10.44</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39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80">
              <w:r>
                <w:rPr>
                  <w:rFonts w:ascii="Arial" w:cs="Arial" w:eastAsia="Arial" w:hAnsi="Arial"/>
                  <w:sz w:val="18"/>
                  <w:szCs w:val="18"/>
                  <w:color w:val="0000FF"/>
                  <w:w w:val="89"/>
                </w:rPr>
                <w:t>number 1-6033, and incorporated herein by reference)</w:t>
              </w:r>
            </w:hyperlink>
          </w:p>
        </w:tc>
        <w:tc>
          <w:tcPr>
            <w:tcW w:w="4780" w:type="dxa"/>
            <w:vAlign w:val="bottom"/>
            <w:gridSpan w:val="26"/>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UAL</w:t>
            </w:r>
          </w:p>
        </w:tc>
        <w:tc>
          <w:tcPr>
            <w:tcW w:w="8600" w:type="dxa"/>
            <w:vAlign w:val="bottom"/>
            <w:tcBorders>
              <w:bottom w:val="single" w:sz="8" w:color="0000FF"/>
            </w:tcBorders>
            <w:gridSpan w:val="26"/>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Supplemental Agreement No. 1 to Purchase Agreement No. 03776, dated June 17, 2013 (filed as Exhibit 10.5 to UAL's</w:t>
              </w:r>
            </w:hyperlink>
          </w:p>
        </w:tc>
        <w:tc>
          <w:tcPr>
            <w:tcW w:w="80" w:type="dxa"/>
            <w:vAlign w:val="bottom"/>
            <w:gridSpan w:val="3"/>
          </w:tcPr>
          <w:p>
            <w:pPr>
              <w:spacing w:after="0"/>
              <w:rPr>
                <w:sz w:val="24"/>
                <w:szCs w:val="24"/>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^10.45</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9"/>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Form 10-Q for the quarter ended June 30, 2013, Commission file number 1-6033, and incorporated herein by reference)</w:t>
              </w:r>
            </w:hyperlink>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20" w:type="dxa"/>
            <w:vAlign w:val="bottom"/>
            <w:tcBorders>
              <w:top w:val="single" w:sz="8" w:color="0000FF"/>
            </w:tcBorders>
            <w:gridSpan w:val="27"/>
          </w:tcPr>
          <w:p>
            <w:pPr>
              <w:spacing w:after="0"/>
              <w:rPr>
                <w:rFonts w:ascii="Arial" w:cs="Arial" w:eastAsia="Arial" w:hAnsi="Arial"/>
                <w:sz w:val="18"/>
                <w:szCs w:val="18"/>
                <w:color w:val="0000FF"/>
                <w:w w:val="97"/>
              </w:rPr>
            </w:pPr>
            <w:hyperlink r:id="rId82">
              <w:r>
                <w:rPr>
                  <w:rFonts w:ascii="Arial" w:cs="Arial" w:eastAsia="Arial" w:hAnsi="Arial"/>
                  <w:sz w:val="18"/>
                  <w:szCs w:val="18"/>
                  <w:color w:val="0000FF"/>
                  <w:w w:val="97"/>
                </w:rPr>
                <w:t>Purchase Agreement Assignment to Purchase Agreement No. 03776, dated October 23, 2013, between United</w:t>
              </w:r>
            </w:hyperlink>
          </w:p>
        </w:tc>
        <w:tc>
          <w:tcPr>
            <w:tcW w:w="60" w:type="dxa"/>
            <w:vAlign w:val="bottom"/>
            <w:gridSpan w:val="2"/>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Continental Holdings, Inc. and United Airlines, Inc. (filed as Exhibit 10.3 to UAL's Form 10-Q for the quarter ended</w:t>
              </w:r>
            </w:hyperlink>
          </w:p>
        </w:tc>
        <w:tc>
          <w:tcPr>
            <w:tcW w:w="280" w:type="dxa"/>
            <w:vAlign w:val="bottom"/>
            <w:gridSpan w:val="9"/>
          </w:tcPr>
          <w:p>
            <w:pPr>
              <w:spacing w:after="0"/>
              <w:rPr>
                <w:sz w:val="17"/>
                <w:szCs w:val="17"/>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^10.46</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9"/>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September 30, 2013, Commission file number 1-6033, and incorporated herein by reference)</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FF"/>
                <w:w w:val="94"/>
              </w:rPr>
            </w:pPr>
            <w:hyperlink r:id="rId83">
              <w:r>
                <w:rPr>
                  <w:rFonts w:ascii="Arial" w:cs="Arial" w:eastAsia="Arial" w:hAnsi="Arial"/>
                  <w:sz w:val="18"/>
                  <w:szCs w:val="18"/>
                  <w:color w:val="0000FF"/>
                  <w:w w:val="94"/>
                </w:rPr>
                <w:t>Supplemental Agreement No. 2 to Purchase Agreement No. 03776, dated January 14, 2015 (filed as Exhibit 10.5 to</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UAL's Form 10-Q for the quarter ended March 31, 2015, Commission file number 1-6033, and incorporated herein by</w:t>
              </w:r>
            </w:hyperlink>
          </w:p>
        </w:tc>
        <w:tc>
          <w:tcPr>
            <w:tcW w:w="160" w:type="dxa"/>
            <w:vAlign w:val="bottom"/>
            <w:gridSpan w:val="5"/>
          </w:tcPr>
          <w:p>
            <w:pPr>
              <w:spacing w:after="0"/>
              <w:rPr>
                <w:sz w:val="17"/>
                <w:szCs w:val="17"/>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^10.47</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9"/>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reference)</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UAL</w:t>
            </w:r>
          </w:p>
        </w:tc>
        <w:tc>
          <w:tcPr>
            <w:tcW w:w="8600" w:type="dxa"/>
            <w:vAlign w:val="bottom"/>
            <w:tcBorders>
              <w:bottom w:val="single" w:sz="8" w:color="0000FF"/>
            </w:tcBorders>
            <w:gridSpan w:val="26"/>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Supplemental Agreement No. 3 to Purchase Agreement No. 03776, dated May 26, 2015 (filed as Exhibit 10.4 to UAL's</w:t>
              </w:r>
            </w:hyperlink>
          </w:p>
        </w:tc>
        <w:tc>
          <w:tcPr>
            <w:tcW w:w="80" w:type="dxa"/>
            <w:vAlign w:val="bottom"/>
            <w:gridSpan w:val="3"/>
          </w:tcPr>
          <w:p>
            <w:pPr>
              <w:spacing w:after="0"/>
              <w:rPr>
                <w:sz w:val="24"/>
                <w:szCs w:val="24"/>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^10.48</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9"/>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Form 10-Q for the quarter ended June 30, 2015, Commission file number 1-6033, and incorporated herein by reference)</w:t>
              </w:r>
            </w:hyperlink>
          </w:p>
        </w:tc>
      </w:tr>
      <w:tr>
        <w:trPr>
          <w:trHeight w:val="372"/>
        </w:trPr>
        <w:tc>
          <w:tcPr>
            <w:tcW w:w="6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UAL</w:t>
            </w:r>
          </w:p>
        </w:tc>
        <w:tc>
          <w:tcPr>
            <w:tcW w:w="8600" w:type="dxa"/>
            <w:vAlign w:val="bottom"/>
            <w:tcBorders>
              <w:top w:val="single" w:sz="8" w:color="0000FF"/>
              <w:bottom w:val="single" w:sz="8" w:color="0000FF"/>
            </w:tcBorders>
            <w:gridSpan w:val="26"/>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Supplemental Agreement No. 4 to Purchase Agreement No. 03776, dated June 12, 2015 (filed as Exhibit 10.5 to UAL's</w:t>
              </w:r>
            </w:hyperlink>
          </w:p>
        </w:tc>
        <w:tc>
          <w:tcPr>
            <w:tcW w:w="20" w:type="dxa"/>
            <w:vAlign w:val="bottom"/>
            <w:tcBorders>
              <w:top w:val="single" w:sz="8" w:color="0000FF"/>
            </w:tcBorders>
          </w:tcPr>
          <w:p>
            <w:pPr>
              <w:spacing w:after="0"/>
              <w:rPr>
                <w:sz w:val="24"/>
                <w:szCs w:val="24"/>
                <w:color w:val="auto"/>
              </w:rPr>
            </w:pPr>
          </w:p>
        </w:tc>
        <w:tc>
          <w:tcPr>
            <w:tcW w:w="60" w:type="dxa"/>
            <w:vAlign w:val="bottom"/>
            <w:gridSpan w:val="2"/>
          </w:tcPr>
          <w:p>
            <w:pPr>
              <w:spacing w:after="0"/>
              <w:rPr>
                <w:sz w:val="24"/>
                <w:szCs w:val="24"/>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^10.49</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9"/>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Form 10-Q for the quarter ended June 30, 2015, Commission file number 1-6033, and incorporated herein by reference)</w:t>
              </w:r>
            </w:hyperlink>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1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r:id="rId86">
              <w:r>
                <w:rPr>
                  <w:rFonts w:ascii="Arial" w:cs="Arial" w:eastAsia="Arial" w:hAnsi="Arial"/>
                  <w:sz w:val="18"/>
                  <w:szCs w:val="18"/>
                  <w:color w:val="0000FF"/>
                  <w:w w:val="89"/>
                </w:rPr>
                <w:t>Supplemental Agreement No. 5 to Purchase Agreement No. 03776, dated January 20, 2016, between The Boeing</w:t>
              </w:r>
            </w:hyperlink>
          </w:p>
        </w:tc>
        <w:tc>
          <w:tcPr>
            <w:tcW w:w="480" w:type="dxa"/>
            <w:vAlign w:val="bottom"/>
            <w:tcBorders>
              <w:top w:val="single" w:sz="8" w:color="0000FF"/>
            </w:tcBorders>
            <w:gridSpan w:val="16"/>
          </w:tcPr>
          <w:p>
            <w:pPr>
              <w:spacing w:after="0"/>
              <w:rPr>
                <w:sz w:val="24"/>
                <w:szCs w:val="24"/>
                <w:color w:val="auto"/>
              </w:rPr>
            </w:pPr>
          </w:p>
        </w:tc>
        <w:tc>
          <w:tcPr>
            <w:tcW w:w="60" w:type="dxa"/>
            <w:vAlign w:val="bottom"/>
            <w:gridSpan w:val="2"/>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9"/>
          </w:tcPr>
          <w:p>
            <w:pPr>
              <w:spacing w:after="0" w:line="19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Company and United Airlines, Inc. (filed as Exhibit 10.1 to UAL's Form 10-Q for the quarter ended March 31, 2016,</w:t>
              </w:r>
            </w:hyperlink>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^10.50</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Commission file number 1-6033, and incorporated herein by reference)</w:t>
              </w:r>
            </w:hyperlink>
          </w:p>
        </w:tc>
        <w:tc>
          <w:tcPr>
            <w:tcW w:w="3280" w:type="dxa"/>
            <w:vAlign w:val="bottom"/>
            <w:tcBorders>
              <w:top w:val="single" w:sz="8" w:color="0000FF"/>
            </w:tcBorders>
            <w:gridSpan w:val="17"/>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140" w:type="dxa"/>
            <w:vAlign w:val="bottom"/>
            <w:tcBorders>
              <w:bottom w:val="single" w:sz="8" w:color="0000FF"/>
            </w:tcBorders>
            <w:gridSpan w:val="11"/>
          </w:tcPr>
          <w:p>
            <w:pPr>
              <w:spacing w:after="0"/>
              <w:rPr>
                <w:rFonts w:ascii="Arial" w:cs="Arial" w:eastAsia="Arial" w:hAnsi="Arial"/>
                <w:sz w:val="18"/>
                <w:szCs w:val="18"/>
                <w:color w:val="0000FF"/>
                <w:w w:val="89"/>
              </w:rPr>
            </w:pPr>
            <w:hyperlink r:id="rId87">
              <w:r>
                <w:rPr>
                  <w:rFonts w:ascii="Arial" w:cs="Arial" w:eastAsia="Arial" w:hAnsi="Arial"/>
                  <w:sz w:val="18"/>
                  <w:szCs w:val="18"/>
                  <w:color w:val="0000FF"/>
                  <w:w w:val="89"/>
                </w:rPr>
                <w:t>Supplemental Agreement No. 6 to Purchase Agreement No. 03776, dated February 8, 2016, between The Boeing</w:t>
              </w:r>
            </w:hyperlink>
          </w:p>
        </w:tc>
        <w:tc>
          <w:tcPr>
            <w:tcW w:w="540" w:type="dxa"/>
            <w:vAlign w:val="bottom"/>
            <w:gridSpan w:val="18"/>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9"/>
          </w:tcPr>
          <w:p>
            <w:pPr>
              <w:spacing w:after="0" w:line="196"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Company and United Airlines, Inc. (filed as Exhibit 10.3 to UAL's Form 10-Q for the quarter ended March 31, 2016,</w:t>
              </w:r>
            </w:hyperlink>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^10.51</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Commission file number 1-6033, and incorporated herein by reference)</w:t>
              </w:r>
            </w:hyperlink>
          </w:p>
        </w:tc>
        <w:tc>
          <w:tcPr>
            <w:tcW w:w="3280" w:type="dxa"/>
            <w:vAlign w:val="bottom"/>
            <w:tcBorders>
              <w:top w:val="single" w:sz="8" w:color="0000FF"/>
            </w:tcBorders>
            <w:gridSpan w:val="17"/>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20" w:type="dxa"/>
            <w:vAlign w:val="bottom"/>
            <w:tcBorders>
              <w:bottom w:val="single" w:sz="8" w:color="0000FF"/>
            </w:tcBorders>
            <w:gridSpan w:val="16"/>
          </w:tcPr>
          <w:p>
            <w:pPr>
              <w:spacing w:after="0"/>
              <w:rPr>
                <w:rFonts w:ascii="Arial" w:cs="Arial" w:eastAsia="Arial" w:hAnsi="Arial"/>
                <w:sz w:val="18"/>
                <w:szCs w:val="18"/>
                <w:color w:val="0000FF"/>
                <w:w w:val="89"/>
              </w:rPr>
            </w:pPr>
            <w:hyperlink r:id="rId88">
              <w:r>
                <w:rPr>
                  <w:rFonts w:ascii="Arial" w:cs="Arial" w:eastAsia="Arial" w:hAnsi="Arial"/>
                  <w:sz w:val="18"/>
                  <w:szCs w:val="18"/>
                  <w:color w:val="0000FF"/>
                  <w:w w:val="89"/>
                </w:rPr>
                <w:t>Supplemental Agreement No. 7 to Purchase Agreement No. 03776, dated December 27, 2016, between The Boeing</w:t>
              </w:r>
            </w:hyperlink>
          </w:p>
        </w:tc>
        <w:tc>
          <w:tcPr>
            <w:tcW w:w="360" w:type="dxa"/>
            <w:vAlign w:val="bottom"/>
            <w:gridSpan w:val="13"/>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8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Company and United Airlines, Inc. (filed as Exhibit 10.183 to UAL's Form 10-K for the year ended December 31, 2016,</w:t>
              </w:r>
            </w:hyperlink>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^10.52</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Commission file number 1-6033, and incorporated herein by reference)</w:t>
              </w:r>
            </w:hyperlink>
          </w:p>
        </w:tc>
        <w:tc>
          <w:tcPr>
            <w:tcW w:w="3540" w:type="dxa"/>
            <w:vAlign w:val="bottom"/>
            <w:gridSpan w:val="25"/>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Supplemental Agreement No. 8, including exhibits and side letters, to Purchase Agreement No. 03776, dated June 7,</w:t>
              </w:r>
            </w:hyperlink>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380" w:type="dxa"/>
            <w:vAlign w:val="bottom"/>
            <w:tcBorders>
              <w:top w:val="single" w:sz="8" w:color="0000FF"/>
            </w:tcBorders>
            <w:gridSpan w:val="19"/>
          </w:tcPr>
          <w:p>
            <w:pPr>
              <w:spacing w:after="0" w:line="196" w:lineRule="exact"/>
              <w:rPr>
                <w:rFonts w:ascii="Arial" w:cs="Arial" w:eastAsia="Arial" w:hAnsi="Arial"/>
                <w:sz w:val="18"/>
                <w:szCs w:val="18"/>
                <w:color w:val="0000FF"/>
                <w:w w:val="95"/>
              </w:rPr>
            </w:pPr>
            <w:hyperlink r:id="rId89">
              <w:r>
                <w:rPr>
                  <w:rFonts w:ascii="Arial" w:cs="Arial" w:eastAsia="Arial" w:hAnsi="Arial"/>
                  <w:sz w:val="18"/>
                  <w:szCs w:val="18"/>
                  <w:color w:val="0000FF"/>
                  <w:w w:val="95"/>
                </w:rPr>
                <w:t>2017, between The Boeing Company and United Airlines, Inc. (filed as Exhibit 10.3 to UAL's Form 10-Q for the</w:t>
              </w:r>
            </w:hyperlink>
          </w:p>
        </w:tc>
        <w:tc>
          <w:tcPr>
            <w:tcW w:w="300" w:type="dxa"/>
            <w:vAlign w:val="bottom"/>
            <w:gridSpan w:val="10"/>
          </w:tcPr>
          <w:p>
            <w:pPr>
              <w:spacing w:after="0"/>
              <w:rPr>
                <w:sz w:val="17"/>
                <w:szCs w:val="17"/>
                <w:color w:val="auto"/>
              </w:rPr>
            </w:pPr>
          </w:p>
        </w:tc>
      </w:tr>
      <w:tr>
        <w:trPr>
          <w:trHeight w:val="196"/>
        </w:trPr>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^10.53</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1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quarter ended June 30, 2017, Commission file number 1-6033, and incorporated herein by reference)</w:t>
              </w:r>
            </w:hyperlink>
          </w:p>
        </w:tc>
        <w:tc>
          <w:tcPr>
            <w:tcW w:w="540" w:type="dxa"/>
            <w:vAlign w:val="bottom"/>
            <w:gridSpan w:val="18"/>
          </w:tcPr>
          <w:p>
            <w:pPr>
              <w:spacing w:after="0"/>
              <w:rPr>
                <w:sz w:val="17"/>
                <w:szCs w:val="17"/>
                <w:color w:val="auto"/>
              </w:rPr>
            </w:pPr>
          </w:p>
        </w:tc>
      </w:tr>
      <w:tr>
        <w:trPr>
          <w:trHeight w:val="601"/>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900" w:type="dxa"/>
            <w:vAlign w:val="bottom"/>
            <w:tcBorders>
              <w:top w:val="single" w:sz="8" w:color="0000FF"/>
            </w:tcBorders>
            <w:gridSpan w:val="3"/>
          </w:tcPr>
          <w:p>
            <w:pPr>
              <w:ind w:left="3220"/>
              <w:spacing w:after="0"/>
              <w:rPr>
                <w:sz w:val="20"/>
                <w:szCs w:val="20"/>
                <w:color w:val="auto"/>
              </w:rPr>
            </w:pPr>
            <w:r>
              <w:rPr>
                <w:rFonts w:ascii="Arial" w:cs="Arial" w:eastAsia="Arial" w:hAnsi="Arial"/>
                <w:sz w:val="18"/>
                <w:szCs w:val="18"/>
                <w:color w:val="auto"/>
              </w:rPr>
              <w:t>99</w:t>
            </w:r>
          </w:p>
        </w:tc>
        <w:tc>
          <w:tcPr>
            <w:tcW w:w="12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240" w:top="184" w:right="57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61"/>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80" w:type="dxa"/>
            <w:vAlign w:val="bottom"/>
            <w:tcBorders>
              <w:bottom w:val="single" w:sz="8" w:color="0000FF"/>
            </w:tcBorders>
            <w:gridSpan w:val="19"/>
          </w:tcPr>
          <w:p>
            <w:pPr>
              <w:spacing w:after="0"/>
              <w:rPr>
                <w:rFonts w:ascii="Arial" w:cs="Arial" w:eastAsia="Arial" w:hAnsi="Arial"/>
                <w:sz w:val="18"/>
                <w:szCs w:val="18"/>
                <w:color w:val="0000FF"/>
                <w:w w:val="89"/>
              </w:rPr>
            </w:pPr>
            <w:hyperlink r:id="rId90">
              <w:r>
                <w:rPr>
                  <w:rFonts w:ascii="Arial" w:cs="Arial" w:eastAsia="Arial" w:hAnsi="Arial"/>
                  <w:sz w:val="18"/>
                  <w:szCs w:val="18"/>
                  <w:color w:val="0000FF"/>
                  <w:w w:val="89"/>
                </w:rPr>
                <w:t>Supplemental Agreement No. 9, including exhibits and side letters, to Purchase Agreement No. 03776, dated June 15,</w:t>
              </w:r>
            </w:hyperlink>
          </w:p>
        </w:tc>
        <w:tc>
          <w:tcPr>
            <w:tcW w:w="1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6"/>
          </w:tcPr>
          <w:p>
            <w:pPr>
              <w:spacing w:after="0" w:line="196" w:lineRule="exact"/>
              <w:rPr>
                <w:rFonts w:ascii="Arial" w:cs="Arial" w:eastAsia="Arial" w:hAnsi="Arial"/>
                <w:sz w:val="18"/>
                <w:szCs w:val="18"/>
                <w:color w:val="0000FF"/>
                <w:w w:val="97"/>
              </w:rPr>
            </w:pPr>
            <w:hyperlink r:id="rId90">
              <w:r>
                <w:rPr>
                  <w:rFonts w:ascii="Arial" w:cs="Arial" w:eastAsia="Arial" w:hAnsi="Arial"/>
                  <w:sz w:val="18"/>
                  <w:szCs w:val="18"/>
                  <w:color w:val="0000FF"/>
                  <w:w w:val="97"/>
                </w:rPr>
                <w:t>2017, between The Boeing Company and United Airlines, Inc. (filed as Exhibit 10.4 to UAL's Form 10-Q for the</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^10.54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72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r:id="rId90">
              <w:r>
                <w:rPr>
                  <w:rFonts w:ascii="Arial" w:cs="Arial" w:eastAsia="Arial" w:hAnsi="Arial"/>
                  <w:sz w:val="18"/>
                  <w:szCs w:val="18"/>
                  <w:color w:val="0000FF"/>
                  <w:w w:val="89"/>
                </w:rPr>
                <w:t>quarter ended June 30, 2017, Commission file number 1-6033, and incorporated herein by reference)</w:t>
              </w:r>
            </w:hyperlink>
          </w:p>
        </w:tc>
        <w:tc>
          <w:tcPr>
            <w:tcW w:w="880" w:type="dxa"/>
            <w:vAlign w:val="bottom"/>
            <w:tcBorders>
              <w:top w:val="single" w:sz="8" w:color="0000FF"/>
            </w:tcBorders>
            <w:gridSpan w:val="3"/>
          </w:tcPr>
          <w:p>
            <w:pPr>
              <w:spacing w:after="0"/>
              <w:rPr>
                <w:sz w:val="17"/>
                <w:szCs w:val="17"/>
                <w:color w:val="auto"/>
              </w:rPr>
            </w:pPr>
          </w:p>
        </w:tc>
        <w:tc>
          <w:tcPr>
            <w:tcW w:w="500" w:type="dxa"/>
            <w:vAlign w:val="bottom"/>
            <w:gridSpan w:val="1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20" w:type="dxa"/>
            <w:vAlign w:val="bottom"/>
            <w:tcBorders>
              <w:bottom w:val="single" w:sz="8" w:color="0000FF"/>
            </w:tcBorders>
            <w:gridSpan w:val="13"/>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Supplemental Agreement No. 10, including exhibits and side letters, to Purchase Agreement No. 03776, dated as of</w:t>
              </w:r>
            </w:hyperlink>
          </w:p>
        </w:tc>
        <w:tc>
          <w:tcPr>
            <w:tcW w:w="32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May 15, 2018, between The Boeing Company and United Airlines, Inc. (filed as Exhibit 10.2 to UAL's Form 10-Q for</w:t>
              </w:r>
            </w:hyperlink>
          </w:p>
        </w:tc>
        <w:tc>
          <w:tcPr>
            <w:tcW w:w="80" w:type="dxa"/>
            <w:vAlign w:val="bottom"/>
            <w:gridSpan w:val="4"/>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^10.55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6"/>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the quarter ended June 30, 2018, Commission file number 1-6033,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FF"/>
                <w:w w:val="93"/>
              </w:rPr>
            </w:pPr>
            <w:hyperlink r:id="rId92">
              <w:r>
                <w:rPr>
                  <w:rFonts w:ascii="Arial" w:cs="Arial" w:eastAsia="Arial" w:hAnsi="Arial"/>
                  <w:sz w:val="18"/>
                  <w:szCs w:val="18"/>
                  <w:color w:val="0000FF"/>
                  <w:w w:val="93"/>
                </w:rPr>
                <w:t>Supplemental Agreement No. 11, including exhibits and side letters, to Purchase Agreement No. 03776, dated as of</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September 25, 2018, between The Boeing Company and United Airlines, Inc. (filed as Exhibit 10.1 to UAL's Form 10-</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^10.56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4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Q for the quarter ended September 30, 2018, Commission file number 1-6033, and incorporated herein by reference)</w:t>
              </w:r>
            </w:hyperlink>
          </w:p>
        </w:tc>
        <w:tc>
          <w:tcPr>
            <w:tcW w:w="240" w:type="dxa"/>
            <w:vAlign w:val="bottom"/>
            <w:gridSpan w:val="10"/>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20" w:type="dxa"/>
            <w:vAlign w:val="bottom"/>
            <w:tcBorders>
              <w:bottom w:val="single" w:sz="8" w:color="0000FF"/>
            </w:tcBorders>
            <w:gridSpan w:val="13"/>
          </w:tcPr>
          <w:p>
            <w:pPr>
              <w:spacing w:after="0"/>
              <w:rPr>
                <w:rFonts w:ascii="Arial" w:cs="Arial" w:eastAsia="Arial" w:hAnsi="Arial"/>
                <w:sz w:val="18"/>
                <w:szCs w:val="18"/>
                <w:color w:val="0000FF"/>
                <w:w w:val="90"/>
              </w:rPr>
            </w:pPr>
            <w:hyperlink r:id="rId93">
              <w:r>
                <w:rPr>
                  <w:rFonts w:ascii="Arial" w:cs="Arial" w:eastAsia="Arial" w:hAnsi="Arial"/>
                  <w:sz w:val="18"/>
                  <w:szCs w:val="18"/>
                  <w:color w:val="0000FF"/>
                  <w:w w:val="90"/>
                </w:rPr>
                <w:t>Supplemental Agreement No. 12, including exhibits and side letters, to Purchase Agreement No. 03776, dated as of</w:t>
              </w:r>
            </w:hyperlink>
          </w:p>
        </w:tc>
        <w:tc>
          <w:tcPr>
            <w:tcW w:w="32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6"/>
          </w:tcPr>
          <w:p>
            <w:pPr>
              <w:spacing w:after="0" w:line="196" w:lineRule="exact"/>
              <w:rPr>
                <w:rFonts w:ascii="Arial" w:cs="Arial" w:eastAsia="Arial" w:hAnsi="Arial"/>
                <w:sz w:val="18"/>
                <w:szCs w:val="18"/>
                <w:color w:val="0000FF"/>
                <w:w w:val="94"/>
              </w:rPr>
            </w:pPr>
            <w:hyperlink r:id="rId93">
              <w:r>
                <w:rPr>
                  <w:rFonts w:ascii="Arial" w:cs="Arial" w:eastAsia="Arial" w:hAnsi="Arial"/>
                  <w:sz w:val="18"/>
                  <w:szCs w:val="18"/>
                  <w:color w:val="0000FF"/>
                  <w:w w:val="94"/>
                </w:rPr>
                <w:t>December 12, 2018, between The Boeing Company and United Airlines, Inc. (filed as Exhibit 10.152 to UAL's Form</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^10.57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4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10-K for the year ended December 31, 2018, Commission file number 1-6033, and incorporated herein by reference)</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26"/>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Letter Agreement No. 6-1162-KKT-080, dated July 12, 2012, among Boeing, United Continental Holdings, Inc., United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9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Air Lines, Inc., and Continental Airlines, Inc. (filed as Exhibit 10.4 to UAL's Form 10-Q for the quarter ended</w:t>
              </w:r>
            </w:hyperlink>
          </w:p>
        </w:tc>
        <w:tc>
          <w:tcPr>
            <w:tcW w:w="700" w:type="dxa"/>
            <w:vAlign w:val="bottom"/>
            <w:gridSpan w:val="16"/>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^10.58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6"/>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September 30, 2012, Commission file number 1-6033,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Purchase Agreement No. 3860, dated September 27, 2012, between Boeing and United Air Lines, Inc. (filed as Exhibit</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w:t>
              </w:r>
              <w:r>
                <w:rPr>
                  <w:rFonts w:ascii="Arial" w:cs="Arial" w:eastAsia="Arial" w:hAnsi="Arial"/>
                  <w:sz w:val="18"/>
                  <w:szCs w:val="18"/>
                  <w:color w:val="0000FF"/>
                  <w:w w:val="90"/>
                </w:rPr>
                <w:t xml:space="preserve"> to UAL's Form 10-Q for the quarter ended September 30, 2012, Commission file number 1-6033, and incorporated</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^10.59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6"/>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40" w:type="dxa"/>
            <w:vAlign w:val="bottom"/>
            <w:gridSpan w:val="26"/>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Supplemental Agreement No. 1 to Purchase Agreement No. 3860, dated June 17, 2013 (filed as Exhibit 10.6 to UAL's</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Form 10-Q for the quarter ended June 30, 2013, Commission file number 1-6033, and incorporated herein by reference)</w:t>
              </w:r>
            </w:hyperlink>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0" w:type="dxa"/>
            <w:vAlign w:val="bottom"/>
            <w:tcBorders>
              <w:bottom w:val="single" w:sz="8" w:color="0000FF"/>
            </w:tcBorders>
            <w:gridSpan w:val="16"/>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Supplemental Agreement No. 2 to Purchase Agreement No. 3860, dated December 16, 2013 (filed as Exhibit 10.1 to</w:t>
              </w:r>
            </w:hyperlink>
          </w:p>
        </w:tc>
        <w:tc>
          <w:tcPr>
            <w:tcW w:w="24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UAL's Form 10-Q for the quarter ended June 30, 2014, Commission file number 1-6033, and incorporated herein by</w:t>
              </w:r>
            </w:hyperlink>
          </w:p>
        </w:tc>
        <w:tc>
          <w:tcPr>
            <w:tcW w:w="260" w:type="dxa"/>
            <w:vAlign w:val="bottom"/>
            <w:gridSpan w:val="11"/>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6"/>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Supplemental Agreement No. 3 to Purchase Agreement No. 3860, dated as of July 22, 2014 (filed as Exhibit 10.3 to</w:t>
              </w:r>
            </w:hyperlink>
          </w:p>
        </w:tc>
        <w:tc>
          <w:tcPr>
            <w:tcW w:w="28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6"/>
          </w:tcPr>
          <w:p>
            <w:pPr>
              <w:spacing w:after="0" w:line="19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UAL's Form 10-Q for the quarter ended September 30, 2014, Commission file number 1-6033, and incorporated herein</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by reference)</w:t>
              </w:r>
            </w:hyperlink>
          </w:p>
        </w:tc>
        <w:tc>
          <w:tcPr>
            <w:tcW w:w="6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Supplemental Agreement No. 4 to Purchase Agreement No. 3860, dated as of January 14, 2015 (filed as Exhibit 10.6 to</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UAL's Form 10-Q for the quarter ended March 31, 2015, Commission file number 1-6033, and incorporated herein by</w:t>
              </w:r>
            </w:hyperlink>
          </w:p>
        </w:tc>
        <w:tc>
          <w:tcPr>
            <w:tcW w:w="8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6"/>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Supplemental Agreement No. 5 to Purchase Agreement No. 3860, dated as of April 30, 2015 (filed as Exhibit 10.8 to</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UAL's Form 10-Q for the quarter ended June 30, 2015, Commission file number 1-6033, and incorporated herein by</w:t>
              </w:r>
            </w:hyperlink>
          </w:p>
        </w:tc>
        <w:tc>
          <w:tcPr>
            <w:tcW w:w="40" w:type="dxa"/>
            <w:vAlign w:val="bottom"/>
            <w:tcBorders>
              <w:top w:val="single" w:sz="8" w:color="0000FF"/>
            </w:tcBorders>
            <w:gridSpan w:val="2"/>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6"/>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FF"/>
                <w:w w:val="94"/>
              </w:rPr>
            </w:pPr>
            <w:hyperlink r:id="rId101">
              <w:r>
                <w:rPr>
                  <w:rFonts w:ascii="Arial" w:cs="Arial" w:eastAsia="Arial" w:hAnsi="Arial"/>
                  <w:sz w:val="18"/>
                  <w:szCs w:val="18"/>
                  <w:color w:val="0000FF"/>
                  <w:w w:val="94"/>
                </w:rPr>
                <w:t>Supplemental Agreement No. 6 to Purchase Agreement No. 3860, dated as of December 31, 2015 (filed as Exhibit</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6"/>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178</w:t>
              </w:r>
              <w:r>
                <w:rPr>
                  <w:rFonts w:ascii="Arial" w:cs="Arial" w:eastAsia="Arial" w:hAnsi="Arial"/>
                  <w:sz w:val="18"/>
                  <w:szCs w:val="18"/>
                  <w:color w:val="0000FF"/>
                  <w:w w:val="91"/>
                </w:rPr>
                <w:t xml:space="preserve"> to UAL's Form 10-K for the year ended December 31, 2015, Commission file number 1-6033, and incorporated</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herein by reference)</w:t>
              </w:r>
            </w:hyperlink>
          </w:p>
        </w:tc>
        <w:tc>
          <w:tcPr>
            <w:tcW w:w="6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20" w:type="dxa"/>
            <w:vAlign w:val="bottom"/>
            <w:tcBorders>
              <w:bottom w:val="single" w:sz="8" w:color="0000FF"/>
            </w:tcBorders>
            <w:gridSpan w:val="25"/>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Supplemental Agreement No. 7 to Purchase Agreement No. 3860, dated March 7, 2016, between The Boeing Company</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and United Airlines, Inc. (filed as Exhibit 10.5 to UAL's Form 10-Q for the quarter ended March 31, 2016, Commission</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41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file number 1-6033, and incorporated herein by reference)</w:t>
              </w:r>
            </w:hyperlink>
          </w:p>
        </w:tc>
        <w:tc>
          <w:tcPr>
            <w:tcW w:w="446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Letter Agreement to Purchase Agreement No. 3860, dated May 5, 2016, between The Boeing Company and United</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tcBorders>
              <w:left w:val="single" w:sz="8" w:color="0000FF"/>
            </w:tcBorders>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Airlines, Inc. (filed as Exhibit 10.5 to UAL's Form 10-Q for the quarter ended June 30, 2016, Commission file number</w:t>
              </w:r>
            </w:hyperlink>
          </w:p>
        </w:tc>
        <w:tc>
          <w:tcPr>
            <w:tcW w:w="80" w:type="dxa"/>
            <w:vAlign w:val="bottom"/>
            <w:gridSpan w:val="4"/>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3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03">
              <w:r>
                <w:rPr>
                  <w:rFonts w:ascii="Arial" w:cs="Arial" w:eastAsia="Arial" w:hAnsi="Arial"/>
                  <w:sz w:val="18"/>
                  <w:szCs w:val="18"/>
                  <w:color w:val="0000FF"/>
                  <w:w w:val="89"/>
                </w:rPr>
                <w:t>1-6033, and incorporated herein by reference)</w:t>
              </w:r>
            </w:hyperlink>
          </w:p>
        </w:tc>
        <w:tc>
          <w:tcPr>
            <w:tcW w:w="5340" w:type="dxa"/>
            <w:vAlign w:val="bottom"/>
            <w:gridSpan w:val="2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Supplemental Agreement No. 8, including exhibits and side letters, to Purchase Agreement No. 3860, Dated June 15,</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20" w:type="dxa"/>
            <w:vAlign w:val="bottom"/>
            <w:tcBorders>
              <w:top w:val="single" w:sz="8" w:color="0000FF"/>
            </w:tcBorders>
            <w:gridSpan w:val="17"/>
          </w:tcPr>
          <w:p>
            <w:pPr>
              <w:spacing w:after="0" w:line="196" w:lineRule="exact"/>
              <w:rPr>
                <w:rFonts w:ascii="Arial" w:cs="Arial" w:eastAsia="Arial" w:hAnsi="Arial"/>
                <w:sz w:val="18"/>
                <w:szCs w:val="18"/>
                <w:color w:val="0000FF"/>
                <w:w w:val="95"/>
              </w:rPr>
            </w:pPr>
            <w:hyperlink r:id="rId104">
              <w:r>
                <w:rPr>
                  <w:rFonts w:ascii="Arial" w:cs="Arial" w:eastAsia="Arial" w:hAnsi="Arial"/>
                  <w:sz w:val="18"/>
                  <w:szCs w:val="18"/>
                  <w:color w:val="0000FF"/>
                  <w:w w:val="95"/>
                </w:rPr>
                <w:t>2017, between The Boeing Company and United Airlines, Inc. (filed as Exhibit 10.5 to UAL's Form 10-Q for the</w:t>
              </w:r>
            </w:hyperlink>
          </w:p>
        </w:tc>
        <w:tc>
          <w:tcPr>
            <w:tcW w:w="220" w:type="dxa"/>
            <w:vAlign w:val="bottom"/>
            <w:gridSpan w:val="9"/>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72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r:id="rId104">
              <w:r>
                <w:rPr>
                  <w:rFonts w:ascii="Arial" w:cs="Arial" w:eastAsia="Arial" w:hAnsi="Arial"/>
                  <w:sz w:val="18"/>
                  <w:szCs w:val="18"/>
                  <w:color w:val="0000FF"/>
                  <w:w w:val="89"/>
                </w:rPr>
                <w:t>quarter ended June 30, 2017, Commission file number 1-6033, and incorporated herein by reference)</w:t>
              </w:r>
            </w:hyperlink>
          </w:p>
        </w:tc>
        <w:tc>
          <w:tcPr>
            <w:tcW w:w="880" w:type="dxa"/>
            <w:vAlign w:val="bottom"/>
            <w:tcBorders>
              <w:top w:val="single" w:sz="8" w:color="0000FF"/>
            </w:tcBorders>
            <w:gridSpan w:val="3"/>
          </w:tcPr>
          <w:p>
            <w:pPr>
              <w:spacing w:after="0"/>
              <w:rPr>
                <w:sz w:val="17"/>
                <w:szCs w:val="17"/>
                <w:color w:val="auto"/>
              </w:rPr>
            </w:pPr>
          </w:p>
        </w:tc>
        <w:tc>
          <w:tcPr>
            <w:tcW w:w="500" w:type="dxa"/>
            <w:vAlign w:val="bottom"/>
            <w:gridSpan w:val="1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26"/>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Letter Agreement No. UAL-LA-1604287 to Purchase Agreement Nos. 3776, 3784 and 3860, dated December 27, 2016,</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6"/>
          </w:tcPr>
          <w:p>
            <w:pPr>
              <w:spacing w:after="0" w:line="196" w:lineRule="exact"/>
              <w:rPr>
                <w:rFonts w:ascii="Arial" w:cs="Arial" w:eastAsia="Arial" w:hAnsi="Arial"/>
                <w:sz w:val="18"/>
                <w:szCs w:val="18"/>
                <w:color w:val="0000FF"/>
                <w:w w:val="97"/>
              </w:rPr>
            </w:pPr>
            <w:hyperlink r:id="rId105">
              <w:r>
                <w:rPr>
                  <w:rFonts w:ascii="Arial" w:cs="Arial" w:eastAsia="Arial" w:hAnsi="Arial"/>
                  <w:sz w:val="18"/>
                  <w:szCs w:val="18"/>
                  <w:color w:val="0000FF"/>
                  <w:w w:val="97"/>
                </w:rPr>
                <w:t>between The Boeing Company and United Airlines, Inc. (filed as Exhibit 10.194 to UAL's Form 10-K for the year</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71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ended December 31, 2016, Commission file number 1-6033, and incorporated herein by reference)</w:t>
              </w:r>
            </w:hyperlink>
          </w:p>
        </w:tc>
        <w:tc>
          <w:tcPr>
            <w:tcW w:w="1120" w:type="dxa"/>
            <w:vAlign w:val="bottom"/>
            <w:tcBorders>
              <w:top w:val="single" w:sz="8" w:color="0000FF"/>
            </w:tcBorders>
            <w:gridSpan w:val="5"/>
          </w:tcPr>
          <w:p>
            <w:pPr>
              <w:spacing w:after="0"/>
              <w:rPr>
                <w:sz w:val="17"/>
                <w:szCs w:val="17"/>
                <w:color w:val="auto"/>
              </w:rPr>
            </w:pPr>
          </w:p>
        </w:tc>
        <w:tc>
          <w:tcPr>
            <w:tcW w:w="400" w:type="dxa"/>
            <w:vAlign w:val="bottom"/>
            <w:gridSpan w:val="1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40"/>
          </w:cols>
          <w:pgMar w:left="240" w:top="172" w:right="619" w:bottom="1440" w:gutter="0" w:footer="0" w:header="0"/>
        </w:sectPr>
      </w:pPr>
    </w:p>
    <w:p>
      <w:pPr>
        <w:spacing w:after="0" w:line="5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040"/>
          </w:cols>
          <w:pgMar w:left="240" w:top="172" w:right="619" w:bottom="1440" w:gutter="0" w:footer="0" w:header="0"/>
          <w:type w:val="continuous"/>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60" w:type="dxa"/>
            <w:vAlign w:val="bottom"/>
            <w:gridSpan w:val="30"/>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Supplemental Agreement No. 9, including exhibits and side letters, to Purchase Agreement No. 3860, dated as of May</w:t>
              </w:r>
            </w:hyperlink>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31, 2018, between The Boeing Company and United Airlines, Inc. (filed as Exhibit 10.3 to UAL's Form 10-Q for the</w:t>
              </w:r>
            </w:hyperlink>
          </w:p>
        </w:tc>
        <w:tc>
          <w:tcPr>
            <w:tcW w:w="100" w:type="dxa"/>
            <w:vAlign w:val="bottom"/>
            <w:tcBorders>
              <w:top w:val="single" w:sz="8" w:color="0000FF"/>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6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3"/>
              </w:rPr>
              <w:t>^10.70</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72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quarter ended June 30, 2018, Commission file number 1-6033, and incorporated herein by reference)</w:t>
              </w:r>
            </w:hyperlink>
          </w:p>
        </w:tc>
        <w:tc>
          <w:tcPr>
            <w:tcW w:w="1400" w:type="dxa"/>
            <w:vAlign w:val="bottom"/>
            <w:gridSpan w:val="17"/>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40" w:type="dxa"/>
            <w:vAlign w:val="bottom"/>
            <w:tcBorders>
              <w:bottom w:val="single" w:sz="8" w:color="0000FF"/>
            </w:tcBorders>
            <w:gridSpan w:val="22"/>
          </w:tcPr>
          <w:p>
            <w:pPr>
              <w:spacing w:after="0"/>
              <w:rPr>
                <w:rFonts w:ascii="Arial" w:cs="Arial" w:eastAsia="Arial" w:hAnsi="Arial"/>
                <w:sz w:val="18"/>
                <w:szCs w:val="18"/>
                <w:color w:val="0000FF"/>
                <w:w w:val="90"/>
              </w:rPr>
            </w:pPr>
            <w:hyperlink r:id="rId107">
              <w:r>
                <w:rPr>
                  <w:rFonts w:ascii="Arial" w:cs="Arial" w:eastAsia="Arial" w:hAnsi="Arial"/>
                  <w:sz w:val="18"/>
                  <w:szCs w:val="18"/>
                  <w:color w:val="0000FF"/>
                  <w:w w:val="90"/>
                </w:rPr>
                <w:t>Supplemental Agreement No. 10, including exhibits and side letters, to Purchase Agreement No. 3860, dated as of</w:t>
              </w:r>
            </w:hyperlink>
          </w:p>
        </w:tc>
        <w:tc>
          <w:tcPr>
            <w:tcW w:w="420" w:type="dxa"/>
            <w:vAlign w:val="bottom"/>
            <w:gridSpan w:val="8"/>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November 1, 2018, between The Boeing Company and United Airlines, Inc. (filed as Exhibit 10.166 to UAL's Form 10-</w:t>
              </w:r>
            </w:hyperlink>
          </w:p>
        </w:tc>
      </w:tr>
      <w:tr>
        <w:trPr>
          <w:trHeight w:val="196"/>
        </w:trPr>
        <w:tc>
          <w:tcPr>
            <w:tcW w:w="6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3"/>
              </w:rPr>
              <w:t>^10.71</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30"/>
          </w:tcPr>
          <w:p>
            <w:pPr>
              <w:spacing w:after="0" w:line="196" w:lineRule="exact"/>
              <w:rPr>
                <w:rFonts w:ascii="Arial" w:cs="Arial" w:eastAsia="Arial" w:hAnsi="Arial"/>
                <w:sz w:val="18"/>
                <w:szCs w:val="18"/>
                <w:color w:val="0000FF"/>
                <w:w w:val="95"/>
              </w:rPr>
            </w:pPr>
            <w:hyperlink r:id="rId107">
              <w:r>
                <w:rPr>
                  <w:rFonts w:ascii="Arial" w:cs="Arial" w:eastAsia="Arial" w:hAnsi="Arial"/>
                  <w:sz w:val="18"/>
                  <w:szCs w:val="18"/>
                  <w:color w:val="0000FF"/>
                  <w:w w:val="95"/>
                </w:rPr>
                <w:t>K for the year ended December 31, 2018, Commission file number 1-6033, and incorporated herein by reference)</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40" w:type="dxa"/>
            <w:vAlign w:val="bottom"/>
            <w:tcBorders>
              <w:bottom w:val="single" w:sz="8" w:color="0000FF"/>
            </w:tcBorders>
            <w:gridSpan w:val="22"/>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Supplemental Agreement No. 11, including exhibits and side letters, to Purchase Agreement No. 3860, dated as of</w:t>
              </w:r>
            </w:hyperlink>
          </w:p>
        </w:tc>
        <w:tc>
          <w:tcPr>
            <w:tcW w:w="420" w:type="dxa"/>
            <w:vAlign w:val="bottom"/>
            <w:gridSpan w:val="8"/>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0"/>
          </w:tcPr>
          <w:p>
            <w:pPr>
              <w:spacing w:after="0" w:line="196"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December 12, 2018, between The Boeing Company and United Airlines, Inc. (filed as Exhibit 10.167 to UAL's Form</w:t>
              </w:r>
            </w:hyperlink>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^10.72</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440" w:type="dxa"/>
            <w:vAlign w:val="bottom"/>
            <w:tcBorders>
              <w:top w:val="single" w:sz="8" w:color="0000FF"/>
            </w:tcBorders>
            <w:gridSpan w:val="24"/>
          </w:tcPr>
          <w:p>
            <w:pPr>
              <w:spacing w:after="0" w:line="19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10-K for the year ended December 31, 2018, Commission file number 1-6033, and incorporated herein by reference)</w:t>
              </w:r>
            </w:hyperlink>
          </w:p>
        </w:tc>
        <w:tc>
          <w:tcPr>
            <w:tcW w:w="220" w:type="dxa"/>
            <w:vAlign w:val="bottom"/>
            <w:gridSpan w:val="6"/>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60" w:type="dxa"/>
            <w:vAlign w:val="bottom"/>
            <w:gridSpan w:val="30"/>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Amended and Restated Credit and Guaranty Agreement, dated as of March 29, 2017, among United Airlines, Inc., as</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60" w:type="dxa"/>
            <w:vAlign w:val="bottom"/>
            <w:gridSpan w:val="30"/>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borrower, United Continental Holdings, Inc., as parent and a guarantor, the subsidiaries of United Continental Holdings,</w:t>
              </w:r>
            </w:hyperlink>
          </w:p>
        </w:tc>
      </w:tr>
      <w:tr>
        <w:trPr>
          <w:trHeight w:val="196"/>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40" w:type="dxa"/>
            <w:vAlign w:val="bottom"/>
            <w:tcBorders>
              <w:top w:val="single" w:sz="8" w:color="0000FF"/>
            </w:tcBorders>
            <w:gridSpan w:val="29"/>
          </w:tcPr>
          <w:p>
            <w:pPr>
              <w:spacing w:after="0" w:line="19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Inc. from time to time party thereto other than the borrower party thereto from time to time, as guarantors, the lenders</w:t>
              </w:r>
            </w:hyperlink>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from time to time party thereto and JPMorgan Chase Bank, N.A., as administrative agent (filed as Exhibit 10.1 to UAL's</w:t>
              </w:r>
            </w:hyperlink>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10.73</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30"/>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Form 8-K filed April 3, 2017, Commission file number 1-6033, and incorporated herein by reference)</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40" w:type="dxa"/>
            <w:vAlign w:val="bottom"/>
            <w:tcBorders>
              <w:bottom w:val="single" w:sz="8" w:color="0000FF"/>
            </w:tcBorders>
            <w:gridSpan w:val="22"/>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First Amendment, dated as of November 15, 2017, to Amended and Restated Credit Guaranty Agreement (filed as</w:t>
              </w:r>
            </w:hyperlink>
          </w:p>
        </w:tc>
        <w:tc>
          <w:tcPr>
            <w:tcW w:w="420" w:type="dxa"/>
            <w:vAlign w:val="bottom"/>
            <w:gridSpan w:val="8"/>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Exhibit 10.219 to UAL's Form 10-K for the year ended December 31, 2017, Commission file number 1-6033, and</w:t>
              </w:r>
            </w:hyperlink>
          </w:p>
        </w:tc>
        <w:tc>
          <w:tcPr>
            <w:tcW w:w="440" w:type="dxa"/>
            <w:vAlign w:val="bottom"/>
            <w:gridSpan w:val="9"/>
          </w:tcPr>
          <w:p>
            <w:pPr>
              <w:spacing w:after="0"/>
              <w:rPr>
                <w:sz w:val="17"/>
                <w:szCs w:val="17"/>
                <w:color w:val="auto"/>
              </w:rPr>
            </w:pPr>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10.74</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incorporated herein by reference)</w:t>
              </w:r>
            </w:hyperlink>
          </w:p>
        </w:tc>
        <w:tc>
          <w:tcPr>
            <w:tcW w:w="6260" w:type="dxa"/>
            <w:vAlign w:val="bottom"/>
            <w:gridSpan w:val="26"/>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520" w:type="dxa"/>
            <w:vAlign w:val="bottom"/>
            <w:tcBorders>
              <w:bottom w:val="single" w:sz="8" w:color="0000FF"/>
            </w:tcBorders>
            <w:gridSpan w:val="28"/>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Second Amendment, dated as of May 16, 2018, to Amended and Restated Credit Guaranty Agreement filed as Exhibit</w:t>
              </w:r>
            </w:hyperlink>
          </w:p>
        </w:tc>
        <w:tc>
          <w:tcPr>
            <w:tcW w:w="140" w:type="dxa"/>
            <w:vAlign w:val="bottom"/>
            <w:gridSpan w:val="2"/>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2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UAL's Form 10-Q for the quarter ended June 30, 2018, Commission file number 1-6033, and incorporated</w:t>
              </w:r>
            </w:hyperlink>
          </w:p>
        </w:tc>
        <w:tc>
          <w:tcPr>
            <w:tcW w:w="460" w:type="dxa"/>
            <w:vAlign w:val="bottom"/>
            <w:gridSpan w:val="10"/>
          </w:tcPr>
          <w:p>
            <w:pPr>
              <w:spacing w:after="0"/>
              <w:rPr>
                <w:sz w:val="17"/>
                <w:szCs w:val="17"/>
                <w:color w:val="auto"/>
              </w:rPr>
            </w:pPr>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10.75</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30"/>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herein by reference)</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60" w:type="dxa"/>
            <w:vAlign w:val="bottom"/>
            <w:gridSpan w:val="30"/>
          </w:tcPr>
          <w:p>
            <w:pPr>
              <w:spacing w:after="0"/>
              <w:rPr>
                <w:sz w:val="20"/>
                <w:szCs w:val="20"/>
                <w:color w:val="auto"/>
              </w:rPr>
            </w:pPr>
            <w:r>
              <w:rPr>
                <w:rFonts w:ascii="Arial" w:cs="Arial" w:eastAsia="Arial" w:hAnsi="Arial"/>
                <w:sz w:val="18"/>
                <w:szCs w:val="18"/>
                <w:b w:val="1"/>
                <w:bCs w:val="1"/>
                <w:color w:val="auto"/>
              </w:rPr>
              <w:t>List of Subsidiaries</w:t>
            </w:r>
          </w:p>
        </w:tc>
      </w:tr>
      <w:tr>
        <w:trPr>
          <w:trHeight w:val="398"/>
        </w:trPr>
        <w:tc>
          <w:tcPr>
            <w:tcW w:w="6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UAL</w:t>
            </w:r>
          </w:p>
        </w:tc>
        <w:tc>
          <w:tcPr>
            <w:tcW w:w="1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66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89"/>
              </w:rPr>
              <w:t>21</w:t>
            </w:r>
          </w:p>
        </w:tc>
        <w:tc>
          <w:tcPr>
            <w:tcW w:w="1140" w:type="dxa"/>
            <w:vAlign w:val="bottom"/>
          </w:tcPr>
          <w:p>
            <w:pPr>
              <w:ind w:left="160"/>
              <w:spacing w:after="0" w:line="190" w:lineRule="exact"/>
              <w:rPr>
                <w:sz w:val="20"/>
                <w:szCs w:val="20"/>
                <w:color w:val="auto"/>
              </w:rPr>
            </w:pPr>
            <w:r>
              <w:rPr>
                <w:rFonts w:ascii="Arial" w:cs="Arial" w:eastAsia="Arial" w:hAnsi="Arial"/>
                <w:sz w:val="18"/>
                <w:szCs w:val="18"/>
                <w:color w:val="auto"/>
              </w:rPr>
              <w:t>United</w:t>
            </w:r>
          </w:p>
        </w:tc>
        <w:tc>
          <w:tcPr>
            <w:tcW w:w="5460" w:type="dxa"/>
            <w:vAlign w:val="bottom"/>
            <w:tcBorders>
              <w:bottom w:val="single" w:sz="8" w:color="0000FF"/>
            </w:tcBorders>
            <w:gridSpan w:val="12"/>
          </w:tcPr>
          <w:p>
            <w:pPr>
              <w:spacing w:after="0" w:line="190" w:lineRule="exact"/>
              <w:rPr>
                <w:rFonts w:ascii="Arial" w:cs="Arial" w:eastAsia="Arial" w:hAnsi="Arial"/>
                <w:sz w:val="18"/>
                <w:szCs w:val="18"/>
                <w:color w:val="0000FF"/>
                <w:w w:val="93"/>
              </w:rPr>
            </w:pPr>
            <w:hyperlink w:anchor="page148">
              <w:r>
                <w:rPr>
                  <w:rFonts w:ascii="Arial" w:cs="Arial" w:eastAsia="Arial" w:hAnsi="Arial"/>
                  <w:sz w:val="18"/>
                  <w:szCs w:val="18"/>
                  <w:color w:val="0000FF"/>
                  <w:w w:val="93"/>
                </w:rPr>
                <w:t>List of United Airlines Holdings, Inc. and United Airlines, Inc. Subsidiaries</w:t>
              </w:r>
            </w:hyperlink>
          </w:p>
        </w:tc>
        <w:tc>
          <w:tcPr>
            <w:tcW w:w="3200" w:type="dxa"/>
            <w:vAlign w:val="bottom"/>
            <w:gridSpan w:val="18"/>
          </w:tcPr>
          <w:p>
            <w:pPr>
              <w:spacing w:after="0"/>
              <w:rPr>
                <w:sz w:val="16"/>
                <w:szCs w:val="16"/>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Consents of Experts and Counsel</w:t>
            </w:r>
          </w:p>
        </w:tc>
        <w:tc>
          <w:tcPr>
            <w:tcW w:w="6120" w:type="dxa"/>
            <w:vAlign w:val="bottom"/>
            <w:gridSpan w:val="25"/>
          </w:tcPr>
          <w:p>
            <w:pPr>
              <w:spacing w:after="0"/>
              <w:rPr>
                <w:sz w:val="24"/>
                <w:szCs w:val="24"/>
                <w:color w:val="auto"/>
              </w:rPr>
            </w:pPr>
          </w:p>
        </w:tc>
      </w:tr>
      <w:tr>
        <w:trPr>
          <w:trHeight w:val="372"/>
        </w:trPr>
        <w:tc>
          <w:tcPr>
            <w:tcW w:w="660" w:type="dxa"/>
            <w:vAlign w:val="bottom"/>
          </w:tcPr>
          <w:p>
            <w:pPr>
              <w:jc w:val="center"/>
              <w:ind w:right="70"/>
              <w:spacing w:after="0"/>
              <w:rPr>
                <w:sz w:val="20"/>
                <w:szCs w:val="20"/>
                <w:color w:val="auto"/>
              </w:rPr>
            </w:pPr>
            <w:r>
              <w:rPr>
                <w:rFonts w:ascii="Arial" w:cs="Arial" w:eastAsia="Arial" w:hAnsi="Arial"/>
                <w:sz w:val="18"/>
                <w:szCs w:val="18"/>
                <w:color w:val="auto"/>
                <w:w w:val="85"/>
              </w:rPr>
              <w:t>23.1</w:t>
            </w:r>
          </w:p>
        </w:tc>
        <w:tc>
          <w:tcPr>
            <w:tcW w:w="1140" w:type="dxa"/>
            <w:vAlign w:val="bottom"/>
          </w:tcPr>
          <w:p>
            <w:pPr>
              <w:ind w:left="160"/>
              <w:spacing w:after="0"/>
              <w:rPr>
                <w:sz w:val="20"/>
                <w:szCs w:val="20"/>
                <w:color w:val="auto"/>
              </w:rPr>
            </w:pPr>
            <w:r>
              <w:rPr>
                <w:rFonts w:ascii="Arial" w:cs="Arial" w:eastAsia="Arial" w:hAnsi="Arial"/>
                <w:sz w:val="18"/>
                <w:szCs w:val="18"/>
                <w:color w:val="auto"/>
              </w:rPr>
              <w:t>UAL</w:t>
            </w:r>
          </w:p>
        </w:tc>
        <w:tc>
          <w:tcPr>
            <w:tcW w:w="8660" w:type="dxa"/>
            <w:vAlign w:val="bottom"/>
            <w:gridSpan w:val="30"/>
          </w:tcPr>
          <w:p>
            <w:pPr>
              <w:spacing w:after="0"/>
              <w:rPr>
                <w:rFonts w:ascii="Arial" w:cs="Arial" w:eastAsia="Arial" w:hAnsi="Arial"/>
                <w:sz w:val="18"/>
                <w:szCs w:val="18"/>
                <w:color w:val="0000FF"/>
                <w:w w:val="95"/>
              </w:rPr>
            </w:pPr>
            <w:hyperlink w:anchor="page150">
              <w:r>
                <w:rPr>
                  <w:rFonts w:ascii="Arial" w:cs="Arial" w:eastAsia="Arial" w:hAnsi="Arial"/>
                  <w:sz w:val="18"/>
                  <w:szCs w:val="18"/>
                  <w:color w:val="0000FF"/>
                  <w:w w:val="95"/>
                </w:rPr>
                <w:t>Consent of Independent Registered Public Accounting Firm (Ernst &amp; Young LLP) for United Airlines Holdings, Inc.</w:t>
              </w:r>
            </w:hyperlink>
          </w:p>
        </w:tc>
      </w:tr>
      <w:tr>
        <w:trPr>
          <w:trHeight w:val="372"/>
        </w:trPr>
        <w:tc>
          <w:tcPr>
            <w:tcW w:w="660" w:type="dxa"/>
            <w:vAlign w:val="bottom"/>
          </w:tcPr>
          <w:p>
            <w:pPr>
              <w:jc w:val="center"/>
              <w:ind w:right="70"/>
              <w:spacing w:after="0"/>
              <w:rPr>
                <w:sz w:val="20"/>
                <w:szCs w:val="20"/>
                <w:color w:val="auto"/>
              </w:rPr>
            </w:pPr>
            <w:r>
              <w:rPr>
                <w:rFonts w:ascii="Arial" w:cs="Arial" w:eastAsia="Arial" w:hAnsi="Arial"/>
                <w:sz w:val="18"/>
                <w:szCs w:val="18"/>
                <w:color w:val="auto"/>
                <w:w w:val="85"/>
              </w:rPr>
              <w:t>23.2</w:t>
            </w:r>
          </w:p>
        </w:tc>
        <w:tc>
          <w:tcPr>
            <w:tcW w:w="1140" w:type="dxa"/>
            <w:vAlign w:val="bottom"/>
          </w:tcPr>
          <w:p>
            <w:pPr>
              <w:ind w:left="160"/>
              <w:spacing w:after="0"/>
              <w:rPr>
                <w:sz w:val="20"/>
                <w:szCs w:val="20"/>
                <w:color w:val="auto"/>
              </w:rPr>
            </w:pPr>
            <w:r>
              <w:rPr>
                <w:rFonts w:ascii="Arial" w:cs="Arial" w:eastAsia="Arial" w:hAnsi="Arial"/>
                <w:sz w:val="18"/>
                <w:szCs w:val="18"/>
                <w:color w:val="auto"/>
              </w:rPr>
              <w:t>United</w:t>
            </w:r>
          </w:p>
        </w:tc>
        <w:tc>
          <w:tcPr>
            <w:tcW w:w="8400" w:type="dxa"/>
            <w:vAlign w:val="bottom"/>
            <w:tcBorders>
              <w:top w:val="single" w:sz="8" w:color="0000FF"/>
            </w:tcBorders>
            <w:gridSpan w:val="23"/>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Consent of Independent Registered Public Accounting Firm (Ernst &amp; Young LLP) for United Airlines, Inc.</w:t>
              </w:r>
            </w:hyperlink>
          </w:p>
        </w:tc>
        <w:tc>
          <w:tcPr>
            <w:tcW w:w="260" w:type="dxa"/>
            <w:vAlign w:val="bottom"/>
            <w:gridSpan w:val="7"/>
          </w:tcPr>
          <w:p>
            <w:pPr>
              <w:spacing w:after="0"/>
              <w:rPr>
                <w:sz w:val="24"/>
                <w:szCs w:val="24"/>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0" w:type="dxa"/>
            <w:vAlign w:val="bottom"/>
            <w:tcBorders>
              <w:top w:val="single" w:sz="8" w:color="0000FF"/>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1"/>
              </w:rPr>
              <w:t>Rule 13a-14(a)/15d-14(a) Certifications</w:t>
            </w:r>
          </w:p>
        </w:tc>
        <w:tc>
          <w:tcPr>
            <w:tcW w:w="4700" w:type="dxa"/>
            <w:vAlign w:val="bottom"/>
            <w:tcBorders>
              <w:top w:val="single" w:sz="8" w:color="0000FF"/>
            </w:tcBorders>
            <w:gridSpan w:val="9"/>
          </w:tcPr>
          <w:p>
            <w:pPr>
              <w:spacing w:after="0"/>
              <w:rPr>
                <w:sz w:val="24"/>
                <w:szCs w:val="24"/>
                <w:color w:val="auto"/>
              </w:rPr>
            </w:pPr>
          </w:p>
        </w:tc>
        <w:tc>
          <w:tcPr>
            <w:tcW w:w="960" w:type="dxa"/>
            <w:vAlign w:val="bottom"/>
            <w:gridSpan w:val="15"/>
          </w:tcPr>
          <w:p>
            <w:pPr>
              <w:spacing w:after="0"/>
              <w:rPr>
                <w:sz w:val="24"/>
                <w:szCs w:val="24"/>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180" w:type="dxa"/>
            <w:vAlign w:val="bottom"/>
            <w:tcBorders>
              <w:bottom w:val="single" w:sz="8" w:color="0000FF"/>
            </w:tcBorders>
            <w:gridSpan w:val="19"/>
          </w:tcPr>
          <w:p>
            <w:pPr>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Certification of the Principal Executive Officer of United Airlines Holdings, Inc. pursuant to 15 U.S.C. 78m(a) or</w:t>
              </w:r>
            </w:hyperlink>
          </w:p>
        </w:tc>
        <w:tc>
          <w:tcPr>
            <w:tcW w:w="480" w:type="dxa"/>
            <w:vAlign w:val="bottom"/>
            <w:gridSpan w:val="11"/>
          </w:tcPr>
          <w:p>
            <w:pPr>
              <w:spacing w:after="0"/>
              <w:rPr>
                <w:sz w:val="24"/>
                <w:szCs w:val="24"/>
                <w:color w:val="auto"/>
              </w:rPr>
            </w:pPr>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5"/>
              </w:rPr>
              <w:t>31.1</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40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152">
              <w:r>
                <w:rPr>
                  <w:rFonts w:ascii="Arial" w:cs="Arial" w:eastAsia="Arial" w:hAnsi="Arial"/>
                  <w:sz w:val="18"/>
                  <w:szCs w:val="18"/>
                  <w:color w:val="0000FF"/>
                  <w:w w:val="90"/>
                </w:rPr>
                <w:t>78o(d) (Section 302 of the Sarbanes-Oxley Act of 2002)</w:t>
              </w:r>
            </w:hyperlink>
          </w:p>
        </w:tc>
        <w:tc>
          <w:tcPr>
            <w:tcW w:w="4600" w:type="dxa"/>
            <w:vAlign w:val="bottom"/>
            <w:gridSpan w:val="20"/>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60" w:type="dxa"/>
            <w:vAlign w:val="bottom"/>
            <w:gridSpan w:val="30"/>
          </w:tcPr>
          <w:p>
            <w:pPr>
              <w:spacing w:after="0"/>
              <w:rPr>
                <w:rFonts w:ascii="Arial" w:cs="Arial" w:eastAsia="Arial" w:hAnsi="Arial"/>
                <w:sz w:val="18"/>
                <w:szCs w:val="18"/>
                <w:color w:val="0000FF"/>
                <w:w w:val="93"/>
              </w:rPr>
            </w:pPr>
            <w:hyperlink w:anchor="page153">
              <w:r>
                <w:rPr>
                  <w:rFonts w:ascii="Arial" w:cs="Arial" w:eastAsia="Arial" w:hAnsi="Arial"/>
                  <w:sz w:val="18"/>
                  <w:szCs w:val="18"/>
                  <w:color w:val="0000FF"/>
                  <w:w w:val="93"/>
                </w:rPr>
                <w:t>Certification of the Principal Financial Officer of United Airlines Holdings, Inc. pursuant to 15 U.S.C. 78m(a) or 78o(d)</w:t>
              </w:r>
            </w:hyperlink>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5"/>
              </w:rPr>
              <w:t>31.2</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35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w:anchor="page153">
              <w:r>
                <w:rPr>
                  <w:rFonts w:ascii="Arial" w:cs="Arial" w:eastAsia="Arial" w:hAnsi="Arial"/>
                  <w:sz w:val="18"/>
                  <w:szCs w:val="18"/>
                  <w:color w:val="0000FF"/>
                  <w:w w:val="90"/>
                </w:rPr>
                <w:t>(Section 302 of the Sarbanes-Oxley Act of 2002)</w:t>
              </w:r>
            </w:hyperlink>
          </w:p>
        </w:tc>
        <w:tc>
          <w:tcPr>
            <w:tcW w:w="5100" w:type="dxa"/>
            <w:vAlign w:val="bottom"/>
            <w:tcBorders>
              <w:top w:val="single" w:sz="8" w:color="0000FF"/>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154">
              <w:r>
                <w:rPr>
                  <w:rFonts w:ascii="Arial" w:cs="Arial" w:eastAsia="Arial" w:hAnsi="Arial"/>
                  <w:sz w:val="18"/>
                  <w:szCs w:val="18"/>
                  <w:color w:val="0000FF"/>
                  <w:w w:val="92"/>
                </w:rPr>
                <w:t>Certification of the Principal Executive Officer of United Airlines, Inc. pursuant to 15 U.S.C. 78m(a) or 78o(d)</w:t>
              </w:r>
            </w:hyperlink>
          </w:p>
        </w:tc>
        <w:tc>
          <w:tcPr>
            <w:tcW w:w="660" w:type="dxa"/>
            <w:vAlign w:val="bottom"/>
            <w:gridSpan w:val="13"/>
          </w:tcPr>
          <w:p>
            <w:pPr>
              <w:spacing w:after="0"/>
              <w:rPr>
                <w:sz w:val="24"/>
                <w:szCs w:val="24"/>
                <w:color w:val="auto"/>
              </w:rPr>
            </w:pPr>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5"/>
              </w:rPr>
              <w:t>31.3</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35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154">
              <w:r>
                <w:rPr>
                  <w:rFonts w:ascii="Arial" w:cs="Arial" w:eastAsia="Arial" w:hAnsi="Arial"/>
                  <w:sz w:val="18"/>
                  <w:szCs w:val="18"/>
                  <w:color w:val="0000FF"/>
                  <w:w w:val="90"/>
                </w:rPr>
                <w:t>(Section 302 of the Sarbanes-Oxley Act of 2002)</w:t>
              </w:r>
            </w:hyperlink>
          </w:p>
        </w:tc>
        <w:tc>
          <w:tcPr>
            <w:tcW w:w="5120" w:type="dxa"/>
            <w:vAlign w:val="bottom"/>
            <w:gridSpan w:val="22"/>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60" w:type="dxa"/>
            <w:vAlign w:val="bottom"/>
            <w:gridSpan w:val="30"/>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Certification of the Principal Financial Officer of United Airlines, Inc. pursuant to 15 U.S.C. 78m(a) or 78o(d)</w:t>
              </w:r>
            </w:hyperlink>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5"/>
              </w:rPr>
              <w:t>31.4</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79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(Section 302 of the Sarbanes-Oxley Act of 2002)</w:t>
              </w:r>
            </w:hyperlink>
          </w:p>
        </w:tc>
        <w:tc>
          <w:tcPr>
            <w:tcW w:w="720" w:type="dxa"/>
            <w:vAlign w:val="bottom"/>
            <w:gridSpan w:val="14"/>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Borders>
              <w:top w:val="single" w:sz="8" w:color="0000FF"/>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Section 1350 Certifications</w:t>
            </w:r>
          </w:p>
        </w:tc>
        <w:tc>
          <w:tcPr>
            <w:tcW w:w="1460" w:type="dxa"/>
            <w:vAlign w:val="bottom"/>
            <w:tcBorders>
              <w:top w:val="single" w:sz="8" w:color="0000FF"/>
            </w:tcBorders>
            <w:gridSpan w:val="4"/>
          </w:tcPr>
          <w:p>
            <w:pPr>
              <w:spacing w:after="0"/>
              <w:rPr>
                <w:sz w:val="24"/>
                <w:szCs w:val="24"/>
                <w:color w:val="auto"/>
              </w:rPr>
            </w:pPr>
          </w:p>
        </w:tc>
        <w:tc>
          <w:tcPr>
            <w:tcW w:w="5140" w:type="dxa"/>
            <w:vAlign w:val="bottom"/>
            <w:gridSpan w:val="23"/>
          </w:tcPr>
          <w:p>
            <w:pPr>
              <w:spacing w:after="0"/>
              <w:rPr>
                <w:sz w:val="24"/>
                <w:szCs w:val="24"/>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60" w:type="dxa"/>
            <w:vAlign w:val="bottom"/>
            <w:tcBorders>
              <w:bottom w:val="single" w:sz="8" w:color="0000FF"/>
            </w:tcBorders>
            <w:gridSpan w:val="30"/>
          </w:tcPr>
          <w:p>
            <w:pPr>
              <w:spacing w:after="0"/>
              <w:rPr>
                <w:rFonts w:ascii="Arial" w:cs="Arial" w:eastAsia="Arial" w:hAnsi="Arial"/>
                <w:sz w:val="18"/>
                <w:szCs w:val="18"/>
                <w:color w:val="0000FF"/>
                <w:w w:val="93"/>
              </w:rPr>
            </w:pPr>
            <w:hyperlink w:anchor="page156">
              <w:r>
                <w:rPr>
                  <w:rFonts w:ascii="Arial" w:cs="Arial" w:eastAsia="Arial" w:hAnsi="Arial"/>
                  <w:sz w:val="18"/>
                  <w:szCs w:val="18"/>
                  <w:color w:val="0000FF"/>
                  <w:w w:val="93"/>
                </w:rPr>
                <w:t>Certification of the Chief Executive Officer and Chief Financial Officer of United Airlines Holdings, Inc. pursuant to 18</w:t>
              </w:r>
            </w:hyperlink>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5"/>
              </w:rPr>
              <w:t>32.1</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30"/>
          </w:tcPr>
          <w:p>
            <w:pPr>
              <w:spacing w:after="0" w:line="196" w:lineRule="exact"/>
              <w:rPr>
                <w:rFonts w:ascii="Arial" w:cs="Arial" w:eastAsia="Arial" w:hAnsi="Arial"/>
                <w:sz w:val="18"/>
                <w:szCs w:val="18"/>
                <w:color w:val="0000FF"/>
              </w:rPr>
            </w:pPr>
            <w:hyperlink w:anchor="page156">
              <w:r>
                <w:rPr>
                  <w:rFonts w:ascii="Arial" w:cs="Arial" w:eastAsia="Arial" w:hAnsi="Arial"/>
                  <w:sz w:val="18"/>
                  <w:szCs w:val="18"/>
                  <w:color w:val="0000FF"/>
                </w:rPr>
                <w:t>U.S.C. 1350 (Section 906 of the Sarbanes-Oxley Act of 2002)</w:t>
              </w:r>
            </w:hyperlink>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40" w:type="dxa"/>
            <w:vAlign w:val="bottom"/>
            <w:gridSpan w:val="9"/>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20" w:type="dxa"/>
            <w:vAlign w:val="bottom"/>
            <w:gridSpan w:val="1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60" w:type="dxa"/>
            <w:vAlign w:val="bottom"/>
            <w:gridSpan w:val="30"/>
          </w:tcPr>
          <w:p>
            <w:pPr>
              <w:spacing w:after="0"/>
              <w:rPr>
                <w:rFonts w:ascii="Arial" w:cs="Arial" w:eastAsia="Arial" w:hAnsi="Arial"/>
                <w:sz w:val="18"/>
                <w:szCs w:val="18"/>
                <w:color w:val="0000FF"/>
                <w:w w:val="95"/>
              </w:rPr>
            </w:pPr>
            <w:hyperlink w:anchor="page157">
              <w:r>
                <w:rPr>
                  <w:rFonts w:ascii="Arial" w:cs="Arial" w:eastAsia="Arial" w:hAnsi="Arial"/>
                  <w:sz w:val="18"/>
                  <w:szCs w:val="18"/>
                  <w:color w:val="0000FF"/>
                  <w:w w:val="95"/>
                </w:rPr>
                <w:t>Certification of the Chief Executive Officer and Chief Financial Officer of United Airlines, Inc. pursuant to 18 U.S.C.</w:t>
              </w:r>
            </w:hyperlink>
          </w:p>
        </w:tc>
      </w:tr>
      <w:tr>
        <w:trPr>
          <w:trHeight w:val="196"/>
        </w:trPr>
        <w:tc>
          <w:tcPr>
            <w:tcW w:w="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5"/>
              </w:rPr>
              <w:t>32.2</w:t>
            </w:r>
          </w:p>
        </w:tc>
        <w:tc>
          <w:tcPr>
            <w:tcW w:w="1140" w:type="dxa"/>
            <w:vAlign w:val="bottom"/>
          </w:tcPr>
          <w:p>
            <w:pPr>
              <w:ind w:left="160"/>
              <w:spacing w:after="0" w:line="196" w:lineRule="exact"/>
              <w:rPr>
                <w:sz w:val="20"/>
                <w:szCs w:val="20"/>
                <w:color w:val="auto"/>
              </w:rPr>
            </w:pPr>
            <w:r>
              <w:rPr>
                <w:rFonts w:ascii="Arial" w:cs="Arial" w:eastAsia="Arial" w:hAnsi="Arial"/>
                <w:sz w:val="18"/>
                <w:szCs w:val="18"/>
                <w:color w:val="auto"/>
              </w:rPr>
              <w:t>United</w:t>
            </w:r>
          </w:p>
        </w:tc>
        <w:tc>
          <w:tcPr>
            <w:tcW w:w="39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w:anchor="page157">
              <w:r>
                <w:rPr>
                  <w:rFonts w:ascii="Arial" w:cs="Arial" w:eastAsia="Arial" w:hAnsi="Arial"/>
                  <w:sz w:val="18"/>
                  <w:szCs w:val="18"/>
                  <w:color w:val="0000FF"/>
                  <w:w w:val="90"/>
                </w:rPr>
                <w:t>1350 (Section 906 of the Sarbanes-Oxley Act of 2002)</w:t>
              </w:r>
            </w:hyperlink>
          </w:p>
        </w:tc>
        <w:tc>
          <w:tcPr>
            <w:tcW w:w="4540" w:type="dxa"/>
            <w:vAlign w:val="bottom"/>
            <w:tcBorders>
              <w:top w:val="single" w:sz="8" w:color="0000FF"/>
            </w:tcBorders>
            <w:gridSpan w:val="17"/>
          </w:tcPr>
          <w:p>
            <w:pPr>
              <w:spacing w:after="0"/>
              <w:rPr>
                <w:sz w:val="17"/>
                <w:szCs w:val="17"/>
                <w:color w:val="auto"/>
              </w:rPr>
            </w:pPr>
          </w:p>
        </w:tc>
        <w:tc>
          <w:tcPr>
            <w:tcW w:w="180" w:type="dxa"/>
            <w:vAlign w:val="bottom"/>
            <w:gridSpan w:val="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60"/>
          </w:cols>
          <w:pgMar w:left="240" w:top="18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060"/>
          </w:cols>
          <w:pgMar w:left="240" w:top="184" w:right="59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020" w:type="dxa"/>
            <w:vAlign w:val="bottom"/>
          </w:tcPr>
          <w:p>
            <w:pPr>
              <w:spacing w:after="0"/>
              <w:rPr>
                <w:sz w:val="16"/>
                <w:szCs w:val="16"/>
                <w:color w:val="auto"/>
              </w:rPr>
            </w:pPr>
          </w:p>
        </w:tc>
      </w:tr>
      <w:tr>
        <w:trPr>
          <w:trHeight w:val="561"/>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Interactive Data File</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212529"/>
                <w:w w:val="94"/>
              </w:rPr>
              <w:t>The following financial statements from the combined Annual Report of UAL and United on Form 10-K for the year</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212529"/>
                <w:w w:val="90"/>
              </w:rPr>
              <w:t>ended December, 2019, formatted in Inline XBRL: (i) the Statements of Consolidated Operations, (ii) the Statements of</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212529"/>
                <w:w w:val="90"/>
              </w:rPr>
              <w:t>Consolidated Comprehensive Income (Loss), (iii) the Consolidated Balance Sheets, (iv) the Statements of Consolidated</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00" w:type="dxa"/>
            <w:vAlign w:val="bottom"/>
            <w:gridSpan w:val="2"/>
          </w:tcPr>
          <w:p>
            <w:pPr>
              <w:spacing w:after="0"/>
              <w:rPr>
                <w:sz w:val="20"/>
                <w:szCs w:val="20"/>
                <w:color w:val="auto"/>
              </w:rPr>
            </w:pPr>
            <w:r>
              <w:rPr>
                <w:rFonts w:ascii="Arial" w:cs="Arial" w:eastAsia="Arial" w:hAnsi="Arial"/>
                <w:sz w:val="18"/>
                <w:szCs w:val="18"/>
                <w:color w:val="212529"/>
                <w:w w:val="98"/>
              </w:rPr>
              <w:t>Cash Flows, (v) the Statements of Consolidated Stockholders' Equity (Deficit) and (vi) the Combined Notes to</w:t>
            </w:r>
          </w:p>
        </w:tc>
      </w:tr>
      <w:tr>
        <w:trPr>
          <w:trHeight w:val="230"/>
        </w:trPr>
        <w:tc>
          <w:tcPr>
            <w:tcW w:w="1160" w:type="dxa"/>
            <w:vAlign w:val="bottom"/>
          </w:tcPr>
          <w:p>
            <w:pPr>
              <w:jc w:val="right"/>
              <w:ind w:right="9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United</w:t>
            </w:r>
          </w:p>
        </w:tc>
        <w:tc>
          <w:tcPr>
            <w:tcW w:w="8600" w:type="dxa"/>
            <w:vAlign w:val="bottom"/>
            <w:gridSpan w:val="2"/>
          </w:tcPr>
          <w:p>
            <w:pPr>
              <w:spacing w:after="0"/>
              <w:rPr>
                <w:sz w:val="20"/>
                <w:szCs w:val="20"/>
                <w:color w:val="auto"/>
              </w:rPr>
            </w:pPr>
            <w:r>
              <w:rPr>
                <w:rFonts w:ascii="Arial" w:cs="Arial" w:eastAsia="Arial" w:hAnsi="Arial"/>
                <w:sz w:val="18"/>
                <w:szCs w:val="18"/>
                <w:color w:val="212529"/>
              </w:rPr>
              <w:t>Condensed Consolidated Financial Statements, tagged as blocks of text and including detailed tags.</w:t>
            </w:r>
          </w:p>
        </w:tc>
      </w:tr>
      <w:tr>
        <w:trPr>
          <w:trHeight w:val="391"/>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158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230"/>
        </w:trPr>
        <w:tc>
          <w:tcPr>
            <w:tcW w:w="1160" w:type="dxa"/>
            <w:vAlign w:val="bottom"/>
          </w:tcPr>
          <w:p>
            <w:pPr>
              <w:jc w:val="right"/>
              <w:ind w:right="9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United</w:t>
            </w:r>
          </w:p>
        </w:tc>
        <w:tc>
          <w:tcPr>
            <w:tcW w:w="8600" w:type="dxa"/>
            <w:vAlign w:val="bottom"/>
            <w:gridSpan w:val="2"/>
          </w:tcPr>
          <w:p>
            <w:pPr>
              <w:spacing w:after="0"/>
              <w:rPr>
                <w:sz w:val="20"/>
                <w:szCs w:val="20"/>
                <w:color w:val="auto"/>
              </w:rPr>
            </w:pPr>
            <w:r>
              <w:rPr>
                <w:rFonts w:ascii="Arial" w:cs="Arial" w:eastAsia="Arial" w:hAnsi="Arial"/>
                <w:sz w:val="18"/>
                <w:szCs w:val="18"/>
                <w:color w:val="auto"/>
                <w:w w:val="98"/>
              </w:rPr>
              <w:t>Cover Page Interactive Data File - the cover page XBRL tags are embedded within the Inline XBRL document</w:t>
            </w:r>
          </w:p>
        </w:tc>
      </w:tr>
    </w:tbl>
    <w:p>
      <w:pPr>
        <w:spacing w:after="0" w:line="13" w:lineRule="exact"/>
        <w:rPr>
          <w:sz w:val="20"/>
          <w:szCs w:val="20"/>
          <w:color w:val="auto"/>
        </w:rPr>
      </w:pPr>
    </w:p>
    <w:p>
      <w:pPr>
        <w:ind w:left="460" w:hanging="438"/>
        <w:spacing w:after="0" w:line="25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spacing w:after="0" w:line="1" w:lineRule="exact"/>
        <w:rPr>
          <w:sz w:val="20"/>
          <w:szCs w:val="20"/>
          <w:color w:val="auto"/>
        </w:rPr>
      </w:pPr>
    </w:p>
    <w:p>
      <w:pPr>
        <w:ind w:left="460" w:hanging="438"/>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Portions of the referenced exhibit have been omitted pursuant to Item 601(b)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102</w:t>
      </w:r>
    </w:p>
    <w:p>
      <w:pPr>
        <w:sectPr>
          <w:pgSz w:w="11900" w:h="16838" w:orient="portrait"/>
          <w:cols w:equalWidth="0" w:num="1">
            <w:col w:w="11220"/>
          </w:cols>
          <w:pgMar w:left="240" w:top="172" w:right="4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UNITED AIRLINES HOLDINGS, INC.</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UNITED AIRLINES, INC.</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(Registrants)</w:t>
      </w:r>
    </w:p>
    <w:p>
      <w:pPr>
        <w:spacing w:after="0" w:line="373"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447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60"/>
        <w:spacing w:after="0"/>
        <w:tabs>
          <w:tab w:leader="none" w:pos="5900" w:val="left"/>
        </w:tabs>
        <w:rPr>
          <w:sz w:val="20"/>
          <w:szCs w:val="20"/>
          <w:color w:val="auto"/>
        </w:rPr>
      </w:pPr>
      <w:r>
        <w:rPr>
          <w:rFonts w:ascii="Arial" w:cs="Arial" w:eastAsia="Arial" w:hAnsi="Arial"/>
          <w:sz w:val="18"/>
          <w:szCs w:val="18"/>
          <w:color w:val="auto"/>
        </w:rPr>
        <w:t>Date:</w:t>
        <w:tab/>
        <w:t>February 24,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Airlines Holdings, Inc. and in the capacities and on the date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w:t>
            </w:r>
          </w:p>
        </w:tc>
        <w:tc>
          <w:tcPr>
            <w:tcW w:w="800" w:type="dxa"/>
            <w:vAlign w:val="bottom"/>
          </w:tcPr>
          <w:p>
            <w:pPr>
              <w:spacing w:after="0"/>
              <w:rPr>
                <w:sz w:val="17"/>
                <w:szCs w:val="17"/>
                <w:color w:val="auto"/>
              </w:rPr>
            </w:pPr>
          </w:p>
        </w:tc>
      </w:tr>
      <w:tr>
        <w:trPr>
          <w:trHeight w:val="561"/>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Oscar Munoz</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9"/>
              </w:rPr>
              <w:t>Chief Executive Officer, 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Oscar Munoz</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52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0"/>
              </w:rPr>
              <w:t>Executive Vice President and Chief</w:t>
            </w:r>
          </w:p>
        </w:tc>
      </w:tr>
      <w:tr>
        <w:trPr>
          <w:trHeight w:val="230"/>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Gerald Laderman</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Financial Officer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Gerald Laderman</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(Principal Financial Officer)</w:t>
            </w:r>
          </w:p>
        </w:tc>
      </w:tr>
      <w:tr>
        <w:trPr>
          <w:trHeight w:val="540"/>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Chris Kenny</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Vice President and Controller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Chris Kenny</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(Principal Accounting Officer)</w:t>
            </w:r>
          </w:p>
        </w:tc>
      </w:tr>
      <w:tr>
        <w:trPr>
          <w:trHeight w:val="540"/>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Carolyn Corvi</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Carolyn Corvi</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Jane C. Garvey</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Jane C. Garvey</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Barney Harford</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Barney Harford</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5"/>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Michele J. Hooper</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Michele J. Hooper</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 Todd M. Insler</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Todd M. Insler</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40"/>
          </w:cols>
          <w:pgMar w:left="240" w:top="184" w:right="319" w:bottom="1440" w:gutter="0" w:footer="0" w:header="0"/>
        </w:sectPr>
      </w:pP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340"/>
          </w:cols>
          <w:pgMar w:left="240" w:top="184" w:right="31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601"/>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 Walter Isaacson</w:t>
            </w:r>
          </w:p>
        </w:tc>
        <w:tc>
          <w:tcPr>
            <w:tcW w:w="800" w:type="dxa"/>
            <w:vAlign w:val="bottom"/>
          </w:tcPr>
          <w:p>
            <w:pPr>
              <w:ind w:left="20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Walter Isaacson</w:t>
            </w:r>
          </w:p>
        </w:tc>
        <w:tc>
          <w:tcPr>
            <w:tcW w:w="800" w:type="dxa"/>
            <w:vAlign w:val="bottom"/>
          </w:tcPr>
          <w:p>
            <w:pPr>
              <w:spacing w:after="0"/>
              <w:rPr>
                <w:sz w:val="20"/>
                <w:szCs w:val="20"/>
                <w:color w:val="auto"/>
              </w:rPr>
            </w:pPr>
          </w:p>
        </w:tc>
      </w:tr>
      <w:tr>
        <w:trPr>
          <w:trHeight w:val="594"/>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 James A.C. Kennedy</w:t>
            </w:r>
          </w:p>
        </w:tc>
        <w:tc>
          <w:tcPr>
            <w:tcW w:w="800" w:type="dxa"/>
            <w:vAlign w:val="bottom"/>
          </w:tcPr>
          <w:p>
            <w:pPr>
              <w:ind w:left="20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James A.C. Kennedy</w:t>
            </w:r>
          </w:p>
        </w:tc>
        <w:tc>
          <w:tcPr>
            <w:tcW w:w="800" w:type="dxa"/>
            <w:vAlign w:val="bottom"/>
          </w:tcPr>
          <w:p>
            <w:pPr>
              <w:spacing w:after="0"/>
              <w:rPr>
                <w:sz w:val="20"/>
                <w:szCs w:val="20"/>
                <w:color w:val="auto"/>
              </w:rPr>
            </w:pPr>
          </w:p>
        </w:tc>
      </w:tr>
      <w:tr>
        <w:trPr>
          <w:trHeight w:val="594"/>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 Sito Pantoja</w:t>
            </w:r>
          </w:p>
        </w:tc>
        <w:tc>
          <w:tcPr>
            <w:tcW w:w="800" w:type="dxa"/>
            <w:vAlign w:val="bottom"/>
          </w:tcPr>
          <w:p>
            <w:pPr>
              <w:ind w:left="20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Sito Pantoja</w:t>
            </w:r>
          </w:p>
        </w:tc>
        <w:tc>
          <w:tcPr>
            <w:tcW w:w="800" w:type="dxa"/>
            <w:vAlign w:val="bottom"/>
          </w:tcPr>
          <w:p>
            <w:pPr>
              <w:spacing w:after="0"/>
              <w:rPr>
                <w:sz w:val="20"/>
                <w:szCs w:val="20"/>
                <w:color w:val="auto"/>
              </w:rPr>
            </w:pPr>
          </w:p>
        </w:tc>
      </w:tr>
      <w:tr>
        <w:trPr>
          <w:trHeight w:val="594"/>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 Edward M. Philip</w:t>
            </w:r>
          </w:p>
        </w:tc>
        <w:tc>
          <w:tcPr>
            <w:tcW w:w="800" w:type="dxa"/>
            <w:vAlign w:val="bottom"/>
          </w:tcPr>
          <w:p>
            <w:pPr>
              <w:ind w:left="20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Edward M. Philip</w:t>
            </w:r>
          </w:p>
        </w:tc>
        <w:tc>
          <w:tcPr>
            <w:tcW w:w="800" w:type="dxa"/>
            <w:vAlign w:val="bottom"/>
          </w:tcPr>
          <w:p>
            <w:pPr>
              <w:spacing w:after="0"/>
              <w:rPr>
                <w:sz w:val="20"/>
                <w:szCs w:val="20"/>
                <w:color w:val="auto"/>
              </w:rPr>
            </w:pPr>
          </w:p>
        </w:tc>
      </w:tr>
      <w:tr>
        <w:trPr>
          <w:trHeight w:val="594"/>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 Edward L. Shapiro</w:t>
            </w:r>
          </w:p>
        </w:tc>
        <w:tc>
          <w:tcPr>
            <w:tcW w:w="800" w:type="dxa"/>
            <w:vAlign w:val="bottom"/>
          </w:tcPr>
          <w:p>
            <w:pPr>
              <w:ind w:left="20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Edward L. Shapiro</w:t>
            </w:r>
          </w:p>
        </w:tc>
        <w:tc>
          <w:tcPr>
            <w:tcW w:w="800" w:type="dxa"/>
            <w:vAlign w:val="bottom"/>
          </w:tcPr>
          <w:p>
            <w:pPr>
              <w:spacing w:after="0"/>
              <w:rPr>
                <w:sz w:val="20"/>
                <w:szCs w:val="20"/>
                <w:color w:val="auto"/>
              </w:rPr>
            </w:pPr>
          </w:p>
        </w:tc>
      </w:tr>
      <w:tr>
        <w:trPr>
          <w:trHeight w:val="594"/>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 David J. Vitale</w:t>
            </w:r>
          </w:p>
        </w:tc>
        <w:tc>
          <w:tcPr>
            <w:tcW w:w="800" w:type="dxa"/>
            <w:vAlign w:val="bottom"/>
          </w:tcPr>
          <w:p>
            <w:pPr>
              <w:ind w:left="20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David J. Vitale</w:t>
            </w:r>
          </w:p>
        </w:tc>
        <w:tc>
          <w:tcPr>
            <w:tcW w:w="800" w:type="dxa"/>
            <w:vAlign w:val="bottom"/>
          </w:tcPr>
          <w:p>
            <w:pPr>
              <w:spacing w:after="0"/>
              <w:rPr>
                <w:sz w:val="20"/>
                <w:szCs w:val="20"/>
                <w:color w:val="auto"/>
              </w:rPr>
            </w:pPr>
          </w:p>
        </w:tc>
      </w:tr>
      <w:tr>
        <w:trPr>
          <w:trHeight w:val="594"/>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/s/ James M. Whitehurst</w:t>
            </w:r>
          </w:p>
        </w:tc>
        <w:tc>
          <w:tcPr>
            <w:tcW w:w="800" w:type="dxa"/>
            <w:vAlign w:val="bottom"/>
          </w:tcPr>
          <w:p>
            <w:pPr>
              <w:ind w:left="20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James M. Whitehurst</w:t>
            </w:r>
          </w:p>
        </w:tc>
        <w:tc>
          <w:tcPr>
            <w:tcW w:w="800" w:type="dxa"/>
            <w:vAlign w:val="bottom"/>
          </w:tcPr>
          <w:p>
            <w:pPr>
              <w:spacing w:after="0"/>
              <w:rPr>
                <w:sz w:val="20"/>
                <w:szCs w:val="20"/>
                <w:color w:val="auto"/>
              </w:rPr>
            </w:pPr>
          </w:p>
        </w:tc>
      </w:tr>
      <w:tr>
        <w:trPr>
          <w:trHeight w:val="621"/>
        </w:trPr>
        <w:tc>
          <w:tcPr>
            <w:tcW w:w="620" w:type="dxa"/>
            <w:vAlign w:val="bottom"/>
          </w:tcPr>
          <w:p>
            <w:pPr>
              <w:ind w:left="40"/>
              <w:spacing w:after="0"/>
              <w:rPr>
                <w:sz w:val="20"/>
                <w:szCs w:val="20"/>
                <w:color w:val="auto"/>
              </w:rPr>
            </w:pPr>
            <w:r>
              <w:rPr>
                <w:rFonts w:ascii="Arial" w:cs="Arial" w:eastAsia="Arial" w:hAnsi="Arial"/>
                <w:sz w:val="18"/>
                <w:szCs w:val="18"/>
                <w:color w:val="auto"/>
              </w:rPr>
              <w:t>Date:</w:t>
            </w:r>
          </w:p>
        </w:tc>
        <w:tc>
          <w:tcPr>
            <w:tcW w:w="2440" w:type="dxa"/>
            <w:vAlign w:val="bottom"/>
            <w:gridSpan w:val="2"/>
          </w:tcPr>
          <w:p>
            <w:pPr>
              <w:ind w:left="200"/>
              <w:spacing w:after="0"/>
              <w:rPr>
                <w:sz w:val="20"/>
                <w:szCs w:val="20"/>
                <w:color w:val="auto"/>
              </w:rPr>
            </w:pPr>
            <w:r>
              <w:rPr>
                <w:rFonts w:ascii="Arial" w:cs="Arial" w:eastAsia="Arial" w:hAnsi="Arial"/>
                <w:sz w:val="18"/>
                <w:szCs w:val="18"/>
                <w:color w:val="auto"/>
              </w:rPr>
              <w:t>February 24, 2020</w:t>
            </w: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219"/>
          </w:cols>
          <w:pgMar w:left="240" w:top="172" w:right="1440"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Airlines, Inc. and in the capacities and on the date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Signature</w:t>
            </w:r>
          </w:p>
        </w:tc>
        <w:tc>
          <w:tcPr>
            <w:tcW w:w="88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w:t>
            </w:r>
          </w:p>
        </w:tc>
        <w:tc>
          <w:tcPr>
            <w:tcW w:w="820" w:type="dxa"/>
            <w:vAlign w:val="bottom"/>
          </w:tcPr>
          <w:p>
            <w:pPr>
              <w:spacing w:after="0"/>
              <w:rPr>
                <w:sz w:val="17"/>
                <w:szCs w:val="17"/>
                <w:color w:val="auto"/>
              </w:rPr>
            </w:pPr>
          </w:p>
        </w:tc>
      </w:tr>
      <w:tr>
        <w:trPr>
          <w:trHeight w:val="561"/>
        </w:trPr>
        <w:tc>
          <w:tcPr>
            <w:tcW w:w="4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/s/ Oscar Munoz</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w w:val="99"/>
              </w:rPr>
              <w:t>Chief Executive Officer, 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Oscar Munoz</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52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w w:val="91"/>
              </w:rPr>
              <w:t>Executive Vice President and Chief</w:t>
            </w:r>
          </w:p>
        </w:tc>
      </w:tr>
      <w:tr>
        <w:trPr>
          <w:trHeight w:val="230"/>
        </w:trPr>
        <w:tc>
          <w:tcPr>
            <w:tcW w:w="4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/s/ Gerald Laderman</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Financial Officer, 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Gerald Laderman</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(Principal Financial Officer)</w:t>
            </w:r>
          </w:p>
        </w:tc>
      </w:tr>
      <w:tr>
        <w:trPr>
          <w:trHeight w:val="540"/>
        </w:trPr>
        <w:tc>
          <w:tcPr>
            <w:tcW w:w="4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/s/ Chris Kenny</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Vice President and Controller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Chris Kenny</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(Principal Accounting Officer)</w:t>
            </w:r>
          </w:p>
        </w:tc>
      </w:tr>
      <w:tr>
        <w:trPr>
          <w:trHeight w:val="540"/>
        </w:trPr>
        <w:tc>
          <w:tcPr>
            <w:tcW w:w="4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/s/ Gregory L. Hart</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Gregory L. Hart</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/s/ J. Scott Kirby</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J. Scott Kirby</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945"/>
        </w:trPr>
        <w:tc>
          <w:tcPr>
            <w:tcW w:w="4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February 24, 2020</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07"/>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0720"/>
          </w:cols>
          <w:pgMar w:left="240" w:top="184" w:right="9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Description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doubtful accounts: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2019</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Obsolescence allowance—spare parts: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2019</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Valuation allowance for deferred tax assets: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2019</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6"/>
          <w:szCs w:val="16"/>
          <w:b w:val="1"/>
          <w:bCs w:val="1"/>
          <w:color w:val="auto"/>
        </w:rPr>
        <w:t>For the Years Ended December 31, 2019, 2018 and 2017</w:t>
      </w:r>
    </w:p>
    <w:p>
      <w:pPr>
        <w:spacing w:after="0" w:line="180" w:lineRule="exact"/>
        <w:rPr>
          <w:sz w:val="20"/>
          <w:szCs w:val="20"/>
          <w:color w:val="auto"/>
        </w:rPr>
      </w:pPr>
    </w:p>
    <w:tbl>
      <w:tblPr>
        <w:tblLayout w:type="fixed"/>
        <w:tblInd w:w="194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Beginning of</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Costs and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End of</w:t>
            </w:r>
          </w:p>
        </w:tc>
      </w:tr>
      <w:tr>
        <w:trPr>
          <w:trHeight w:val="210"/>
        </w:trPr>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Period</w:t>
            </w:r>
          </w:p>
        </w:tc>
      </w:tr>
      <w:tr>
        <w:trPr>
          <w:trHeight w:val="33"/>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1"/>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540"/>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w:t>
            </w:r>
          </w:p>
        </w:tc>
      </w:tr>
      <w:tr>
        <w:trPr>
          <w:trHeight w:val="540"/>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-1864995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-1522095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-1179195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-835660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-492760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-149860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106</w:t>
      </w:r>
    </w:p>
    <w:p>
      <w:pPr>
        <w:sectPr>
          <w:pgSz w:w="11900" w:h="16838" w:orient="portrait"/>
          <w:cols w:equalWidth="0" w:num="2">
            <w:col w:w="3060" w:space="500"/>
            <w:col w:w="7860"/>
          </w:cols>
          <w:pgMar w:left="240" w:top="18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00" w:lineRule="exact"/>
        <w:rPr>
          <w:sz w:val="20"/>
          <w:szCs w:val="20"/>
          <w:color w:val="auto"/>
        </w:rPr>
      </w:pPr>
    </w:p>
    <w:p>
      <w:pPr>
        <w:spacing w:after="0" w:line="22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United Airlines Holdings, Inc., (“UAL,” “we,” “us” or “our”) has one class of securities registered under Section 12 of the Securities Exchange Act of 1934, as amended (the “Exchange Act”): our common stock, par value $0.01 per share (“Common Stock”).</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UAL is authorized to issue up to 1,000,000,000 shares of Common Stock and 250,000,000 shares of Preferred Stock, without par value (“Serial Preferred Stock”). UAL is also authorized to issue and has issued one share of Class Pilot MEC Junior Preferred Stock, par value $0.01 per share, and one share of Class IAM Junior Preferred Stock, par value $0.01 per share.</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general terms and provisions of our Common Stock are summarized below. It may not contain all the information that is important to you. For additional information, you should refer to the provisions of our Amended and Restated Certificate of Incorporation (the “Certificate of Incorporation”) and our Amended and Restated Bylaws (the “Bylaws”), each of which is an exhibit to the Annual Report on Form 10-K to which this description is an exhibit and are incorporated herein by reference. Please also refer to the applicable provisions of the Delaware General Corporation Law (“DGCL”) for additional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Stock Market LLC under the symbol “UAL.”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holders of shares of Common Stock will be entitled to receive dividends, if and when declared payable, from time to time by the UAL board of directors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any liquidation, dissolution or winding up of UAL, after all securities ranking prior to the Common Stock, including any shares of UAL’s Serial Preferred Stock, Class Pilot MEC Junior Preferred Stock and Class IAM Junior Preferred Stock, have been paid in full that to which they are entitled, the holders of the then outstanding shares of Common Stock will be entitled to receive, pro rata, the remaining assets of UAL available for distribution to its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Each outstanding share of Common Stock will entitle the holder thereof to one vote on each matter submitted to a vote at a meeting of stockholders. At meetings of stockholders, holders of Common Stock vote together as a single class with holders of UAL’s Class Pilot MEC Junior Preferred Stock and Class IAM Junior Preferred Stock on all matters except the election of directors to the Board. Except as otherwise required by the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Other Rights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Shares of Common Stock are not convertible into, or exchangeable for, any other class or series of capital stock. Holders of Common Stock have no preemptive or other rights to subscribe for or purchase additional securities of UAL. The Certificate of Incorporation contains no sinking fund provisions or redemption provisions with respect to the Common Stock. Shares of Common Stock are not subject to calls or assessments. No personal liability will attach to holders under the laws of</w:t>
      </w:r>
    </w:p>
    <w:p>
      <w:pPr>
        <w:sectPr>
          <w:pgSz w:w="11900" w:h="16838" w:orient="portrait"/>
          <w:cols w:equalWidth="0" w:num="1">
            <w:col w:w="11420"/>
          </w:cols>
          <w:pgMar w:left="240" w:top="337" w:right="239" w:bottom="1440" w:gutter="0" w:footer="0" w:header="0"/>
        </w:sectPr>
      </w:pPr>
    </w:p>
    <w:bookmarkStart w:id="108" w:name="page109"/>
    <w:bookmarkEnd w:id="108"/>
    <w:p>
      <w:pPr>
        <w:ind w:right="260"/>
        <w:spacing w:after="0" w:line="277" w:lineRule="auto"/>
        <w:rPr>
          <w:sz w:val="20"/>
          <w:szCs w:val="20"/>
          <w:color w:val="auto"/>
        </w:rPr>
      </w:pPr>
      <w:r>
        <w:rPr>
          <w:rFonts w:ascii="Arial" w:cs="Arial" w:eastAsia="Arial" w:hAnsi="Arial"/>
          <w:sz w:val="18"/>
          <w:szCs w:val="18"/>
          <w:color w:val="auto"/>
        </w:rPr>
        <w:t>the State of Delaware (UAL’s state of incorporation) or of the State of Illinois (the state in which UAL’s principal place of business is located). There is no classification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Ownership Limitation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Certificate of Incorporation limits the total number of shares of equity securities held by all persons who fail to qualify as citizens of the United States to having no more than 24.9% of the voting power of all outstanding equity securities of UAL.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Certain provisions of our Certificate of Incorporation, Bylaws and the DGCL could make it more difficult to consummate an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us by means of a tender offer, a proxy fight, open market purchases or otherwise in a transaction not approved by our Board. The summary of the provisions set forth below does not purport to be complete and is qualified in its entirety by reference to our Certificate of Incorporation, Bylaws and the DGCL.</w:t>
      </w:r>
    </w:p>
    <w:p>
      <w:pPr>
        <w:spacing w:after="0" w:line="18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Our ability to issue undesignated Preferred Stock makes it possible for the Board to issue Preferred Stock with super</w:t>
      </w:r>
      <w:r>
        <w:rPr>
          <w:rFonts w:ascii="Arial" w:cs="Arial" w:eastAsia="Arial" w:hAnsi="Arial"/>
          <w:sz w:val="17"/>
          <w:szCs w:val="17"/>
          <w:i w:val="1"/>
          <w:iCs w:val="1"/>
          <w:color w:val="auto"/>
        </w:rPr>
        <w:t xml:space="preserve"> </w:t>
      </w:r>
      <w:r>
        <w:rPr>
          <w:rFonts w:ascii="Arial" w:cs="Arial" w:eastAsia="Arial" w:hAnsi="Arial"/>
          <w:sz w:val="17"/>
          <w:szCs w:val="17"/>
          <w:color w:val="auto"/>
        </w:rPr>
        <w:t>voting, dividend or other special rights or preferences on a discriminatory basis that could impede the success of any attempt to acquire UAL. This may have the effect of deferring, delaying or discouraging hostile takeovers, or changes in control or management of UAL.</w:t>
      </w:r>
    </w:p>
    <w:p>
      <w:pPr>
        <w:spacing w:after="0" w:line="16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No Stockholder Action by Written Consent</w:t>
      </w:r>
      <w:r>
        <w:rPr>
          <w:rFonts w:ascii="Arial" w:cs="Arial" w:eastAsia="Arial" w:hAnsi="Arial"/>
          <w:sz w:val="16"/>
          <w:szCs w:val="16"/>
          <w:color w:val="auto"/>
        </w:rPr>
        <w:t>. The Certificate of Incorporation provides that any action required or permitted to be taken by UAL</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must be effected at a duly called annual or special meeting of stockholders and may not be effected by consent in writing by such stockholders.</w:t>
      </w:r>
    </w:p>
    <w:p>
      <w:pPr>
        <w:spacing w:after="0" w:line="12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Requirements for Advance Notification of Stockholder Meetings, Nominations and Proposals</w:t>
      </w:r>
      <w:r>
        <w:rPr>
          <w:rFonts w:ascii="Arial" w:cs="Arial" w:eastAsia="Arial" w:hAnsi="Arial"/>
          <w:sz w:val="18"/>
          <w:szCs w:val="18"/>
          <w:color w:val="auto"/>
        </w:rPr>
        <w:t>. The Bylaws provide that special meetings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be called only (i) by both the Chief Executive Officer and the Chairman of the Board, (ii) by the Board or (iii) subject to certain requirements set forth in the Bylaws, upon the written request of one or more stockholders of record of UAL that together have continuously held, for their own account or on behalf of others, beneficial ownership of at least a 25% aggregate “net long position” (as defined in the Bylaws) of the outstanding shares of Common Stock for at least one year prior to the date such request is delivered to UAL.</w:t>
      </w:r>
    </w:p>
    <w:p>
      <w:pPr>
        <w:spacing w:after="0" w:line="188" w:lineRule="exact"/>
        <w:rPr>
          <w:sz w:val="20"/>
          <w:szCs w:val="20"/>
          <w:color w:val="auto"/>
        </w:rPr>
      </w:pPr>
    </w:p>
    <w:p>
      <w:pPr>
        <w:ind w:firstLine="716"/>
        <w:spacing w:after="0" w:line="253" w:lineRule="auto"/>
        <w:rPr>
          <w:sz w:val="20"/>
          <w:szCs w:val="20"/>
          <w:color w:val="auto"/>
        </w:rPr>
      </w:pPr>
      <w:r>
        <w:rPr>
          <w:rFonts w:ascii="Arial" w:cs="Arial" w:eastAsia="Arial" w:hAnsi="Arial"/>
          <w:sz w:val="18"/>
          <w:szCs w:val="18"/>
          <w:color w:val="auto"/>
        </w:rPr>
        <w:t>The Bylaws establish advance notice procedures with respect to stockholder proposals for annual meetings and the nomination of candidates for election as directors to the Board (other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Additionally, vacancies and newly created directorships may be filled by a vote of a majority of the directors then in office, even though less than a quorum. The Bylaws allow the Chief Executive Officer or Chairman, or his or her designee, to preside at a meeting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UAL.</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Proxy Access. </w:t>
      </w:r>
      <w:r>
        <w:rPr>
          <w:rFonts w:ascii="Arial" w:cs="Arial" w:eastAsia="Arial" w:hAnsi="Arial"/>
          <w:sz w:val="18"/>
          <w:szCs w:val="18"/>
          <w:color w:val="auto"/>
        </w:rPr>
        <w:t>The Bylaws contain a proxy access right provision to permit a stockholder or group of up to 20 stockholders satisfying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eligibility requirements to include director nominees in UAL’s proxy materials for annual meetings of stockholders. The maximum number of stockholder nominees permitted under these proxy access provisions is the greater of two or 20% of the Board elected by the holders of Common Stock. To be eligible to use these proxy access provisions, such stockholder (or group) must, among other requirements:</w:t>
      </w:r>
    </w:p>
    <w:p>
      <w:pPr>
        <w:spacing w:after="0" w:line="187" w:lineRule="exact"/>
        <w:rPr>
          <w:sz w:val="20"/>
          <w:szCs w:val="20"/>
          <w:color w:val="auto"/>
        </w:rPr>
      </w:pPr>
    </w:p>
    <w:p>
      <w:pPr>
        <w:ind w:left="980" w:right="4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have continuously owned 3% or more of the outstanding shares of Common Stock throughout the three-year period preceding the date of the nomination notice, and continue to own at least 3% or more of the outstanding shares of Common Stock through the date of the annual meeting;</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 that such stockholder (or group) did not acquire, and is not holding, such shares of Common Stock for the purpose, or with the effect, of influencing or changing control of UAL; and</w:t>
      </w:r>
    </w:p>
    <w:p>
      <w:pPr>
        <w:sectPr>
          <w:pgSz w:w="11900" w:h="16838" w:orient="portrait"/>
          <w:cols w:equalWidth="0" w:num="1">
            <w:col w:w="11400"/>
          </w:cols>
          <w:pgMar w:left="240" w:top="341" w:right="259" w:bottom="1440" w:gutter="0" w:footer="0" w:header="0"/>
        </w:sectPr>
      </w:pPr>
    </w:p>
    <w:bookmarkStart w:id="109" w:name="page110"/>
    <w:bookmarkEnd w:id="109"/>
    <w:p>
      <w:pPr>
        <w:ind w:left="980" w:hanging="324"/>
        <w:spacing w:after="0" w:line="268"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a written notice requesting the inclusion of director nominees in UAL’s proxy materials and provide other required information to UAL not earlier than the close of business on the 150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and not later than the close of business on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the anniversary of the mailing date of UAL’s proxy statement for the prior year’s annual meeting of stockholders (with adjustments if the date for the upcoming annual meeting of stockholders is more than 30 days before or after the anniversary date of the prior year’s annual meeting).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proxy access right is subject to additional eligibility, procedural and disclosure requirements set forth in the Bylaws.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are subject to the provisions of Section 203 of the DGCL regulating corporate takeovers. Section 203 prevents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corporations from engaging, under certain circumstances, in a “business combination” (as defined therein), which includes, among other things, a merger or sale of more than 10% of the corporation’s assets, with any interested stockholder for three years following the date that the stockholder became an interested stockholder. An interested stockholder is a stockholder who acquired 15% or more of the corporation’s outstanding voting stock or an affiliate or associate of such person.</w:t>
      </w:r>
    </w:p>
    <w:p>
      <w:pPr>
        <w:sectPr>
          <w:pgSz w:w="11900" w:h="16838" w:orient="portrait"/>
          <w:cols w:equalWidth="0" w:num="1">
            <w:col w:w="11380"/>
          </w:cols>
          <w:pgMar w:left="240" w:top="341" w:right="2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AIRLINES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PROFIT SHARING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January 1, 2019,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Except As Otherwise Provided Herein)</w:t>
      </w:r>
    </w:p>
    <w:p>
      <w:pPr>
        <w:spacing w:after="0" w:line="169"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22"/>
          <w:szCs w:val="22"/>
          <w:b w:val="1"/>
          <w:bCs w:val="1"/>
          <w:u w:val="single" w:color="auto"/>
          <w:color w:val="auto"/>
        </w:rPr>
        <w:t>General.</w:t>
      </w:r>
    </w:p>
    <w:p>
      <w:pPr>
        <w:spacing w:after="0" w:line="253" w:lineRule="exact"/>
        <w:rPr>
          <w:sz w:val="20"/>
          <w:szCs w:val="20"/>
          <w:color w:val="auto"/>
        </w:rPr>
      </w:pPr>
    </w:p>
    <w:p>
      <w:pPr>
        <w:ind w:left="660" w:right="20" w:hanging="652"/>
        <w:spacing w:after="0" w:line="287" w:lineRule="auto"/>
        <w:tabs>
          <w:tab w:leader="none" w:pos="660" w:val="left"/>
        </w:tabs>
        <w:numPr>
          <w:ilvl w:val="0"/>
          <w:numId w:val="42"/>
        </w:numPr>
        <w:rPr>
          <w:rFonts w:ascii="Arial" w:cs="Arial" w:eastAsia="Arial" w:hAnsi="Arial"/>
          <w:sz w:val="21"/>
          <w:szCs w:val="21"/>
          <w:color w:val="auto"/>
        </w:rPr>
      </w:pPr>
      <w:r>
        <w:rPr>
          <w:rFonts w:ascii="Arial" w:cs="Arial" w:eastAsia="Arial" w:hAnsi="Arial"/>
          <w:sz w:val="21"/>
          <w:szCs w:val="21"/>
          <w:i w:val="1"/>
          <w:iCs w:val="1"/>
          <w:color w:val="auto"/>
        </w:rPr>
        <w:t xml:space="preserve">Purpose. </w:t>
      </w:r>
      <w:r>
        <w:rPr>
          <w:rFonts w:ascii="Arial" w:cs="Arial" w:eastAsia="Arial" w:hAnsi="Arial"/>
          <w:sz w:val="21"/>
          <w:szCs w:val="21"/>
          <w:color w:val="auto"/>
        </w:rPr>
        <w:t>United Airlines Holdings, Inc. (the “Company”) sponsors this United Airlines Holdings, Inc. Profit Sharing Plan</w:t>
      </w:r>
      <w:r>
        <w:rPr>
          <w:rFonts w:ascii="Arial" w:cs="Arial" w:eastAsia="Arial" w:hAnsi="Arial"/>
          <w:sz w:val="21"/>
          <w:szCs w:val="21"/>
          <w:i w:val="1"/>
          <w:iCs w:val="1"/>
          <w:color w:val="auto"/>
        </w:rPr>
        <w:t xml:space="preserve"> </w:t>
      </w:r>
      <w:r>
        <w:rPr>
          <w:rFonts w:ascii="Arial" w:cs="Arial" w:eastAsia="Arial" w:hAnsi="Arial"/>
          <w:sz w:val="21"/>
          <w:szCs w:val="21"/>
          <w:color w:val="auto"/>
        </w:rPr>
        <w:t>(the “Plan”) for the benefit of certain employees of United Airlines, Inc. and other participating Affiliates.</w:t>
      </w:r>
    </w:p>
    <w:p>
      <w:pPr>
        <w:spacing w:after="0" w:line="192" w:lineRule="exact"/>
        <w:rPr>
          <w:rFonts w:ascii="Arial" w:cs="Arial" w:eastAsia="Arial" w:hAnsi="Arial"/>
          <w:sz w:val="21"/>
          <w:szCs w:val="21"/>
          <w:color w:val="auto"/>
        </w:rPr>
      </w:pPr>
    </w:p>
    <w:p>
      <w:pPr>
        <w:jc w:val="both"/>
        <w:ind w:left="660" w:hanging="652"/>
        <w:spacing w:after="0" w:line="312"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Collective Bargaining. </w:t>
      </w:r>
      <w:r>
        <w:rPr>
          <w:rFonts w:ascii="Arial" w:cs="Arial" w:eastAsia="Arial" w:hAnsi="Arial"/>
          <w:sz w:val="19"/>
          <w:szCs w:val="19"/>
          <w:color w:val="auto"/>
        </w:rPr>
        <w:t>As it relates to Qualified Employees who are in the class or craft of employees covered by a</w:t>
      </w:r>
      <w:r>
        <w:rPr>
          <w:rFonts w:ascii="Arial" w:cs="Arial" w:eastAsia="Arial" w:hAnsi="Arial"/>
          <w:sz w:val="19"/>
          <w:szCs w:val="19"/>
          <w:i w:val="1"/>
          <w:iCs w:val="1"/>
          <w:color w:val="auto"/>
        </w:rPr>
        <w:t xml:space="preserve"> </w:t>
      </w:r>
      <w:r>
        <w:rPr>
          <w:rFonts w:ascii="Arial" w:cs="Arial" w:eastAsia="Arial" w:hAnsi="Arial"/>
          <w:sz w:val="19"/>
          <w:szCs w:val="19"/>
          <w:color w:val="auto"/>
        </w:rPr>
        <w:t>collective bargaining agreement with the Employer pursuant to which the Employer has agreed to provide such Qualified Employees with participation in a profit sharing bonus plan, this Plan is maintained pursuant to such agreement.</w:t>
      </w:r>
    </w:p>
    <w:p>
      <w:pPr>
        <w:spacing w:after="0" w:line="174" w:lineRule="exact"/>
        <w:rPr>
          <w:rFonts w:ascii="Arial" w:cs="Arial" w:eastAsia="Arial" w:hAnsi="Arial"/>
          <w:sz w:val="19"/>
          <w:szCs w:val="19"/>
          <w:color w:val="auto"/>
        </w:rPr>
      </w:pPr>
    </w:p>
    <w:p>
      <w:pPr>
        <w:jc w:val="both"/>
        <w:ind w:left="660" w:hanging="652"/>
        <w:spacing w:after="0" w:line="259" w:lineRule="auto"/>
        <w:tabs>
          <w:tab w:leader="none" w:pos="660" w:val="left"/>
        </w:tabs>
        <w:numPr>
          <w:ilvl w:val="0"/>
          <w:numId w:val="42"/>
        </w:numPr>
        <w:rPr>
          <w:rFonts w:ascii="Arial" w:cs="Arial" w:eastAsia="Arial" w:hAnsi="Arial"/>
          <w:sz w:val="21"/>
          <w:szCs w:val="21"/>
          <w:color w:val="auto"/>
        </w:rPr>
      </w:pPr>
      <w:r>
        <w:rPr>
          <w:rFonts w:ascii="Arial" w:cs="Arial" w:eastAsia="Arial" w:hAnsi="Arial"/>
          <w:sz w:val="21"/>
          <w:szCs w:val="21"/>
          <w:i w:val="1"/>
          <w:iCs w:val="1"/>
          <w:color w:val="auto"/>
        </w:rPr>
        <w:t xml:space="preserve">Cash Bonus Plan. </w:t>
      </w:r>
      <w:r>
        <w:rPr>
          <w:rFonts w:ascii="Arial" w:cs="Arial" w:eastAsia="Arial" w:hAnsi="Arial"/>
          <w:sz w:val="21"/>
          <w:szCs w:val="21"/>
          <w:color w:val="auto"/>
        </w:rPr>
        <w:t>The Plan is a cash bonus plan and is not intended to be (and will not be construed or administered as) an</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 benefit plan within the meaning of ERISA. The Plan is intended to be a discretionary cash bonus plan and payments under the Plan will not constitute a part of an employee’s regular rate of pay for any purpose; provided, however, all Awards will be paid to Qualified Employees in accordance with the terms of the Plan and the applicable collective bargaining agreements. Except to the extent specifically provided under a particular pension, insurance, profit sharing, retirement, welfare or other employee benefit plan or arrangement maintained or contributed to by the Company or an Affiliate, the payments to an employee under the Plan will not be treated as “salary,” “wages,” or “cash compensation” to the employee for the purpose of computing benefits to which the employee may be entitled under any such plan or arrangement.</w:t>
      </w:r>
    </w:p>
    <w:p>
      <w:pPr>
        <w:spacing w:after="0" w:line="220" w:lineRule="exact"/>
        <w:rPr>
          <w:rFonts w:ascii="Arial" w:cs="Arial" w:eastAsia="Arial" w:hAnsi="Arial"/>
          <w:sz w:val="21"/>
          <w:szCs w:val="21"/>
          <w:color w:val="auto"/>
        </w:rPr>
      </w:pPr>
    </w:p>
    <w:p>
      <w:pPr>
        <w:jc w:val="both"/>
        <w:ind w:left="660" w:hanging="652"/>
        <w:spacing w:after="0" w:line="294"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Effective Date</w:t>
      </w:r>
      <w:r>
        <w:rPr>
          <w:rFonts w:ascii="Arial" w:cs="Arial" w:eastAsia="Arial" w:hAnsi="Arial"/>
          <w:sz w:val="19"/>
          <w:szCs w:val="19"/>
          <w:color w:val="auto"/>
        </w:rPr>
        <w:t>. The Plan commenced on January 1, 2006 as the UAL Corporation Success Sharing Program – Profit Sharing</w:t>
      </w:r>
      <w:r>
        <w:rPr>
          <w:rFonts w:ascii="Arial" w:cs="Arial" w:eastAsia="Arial" w:hAnsi="Arial"/>
          <w:sz w:val="19"/>
          <w:szCs w:val="19"/>
          <w:i w:val="1"/>
          <w:iCs w:val="1"/>
          <w:color w:val="auto"/>
        </w:rPr>
        <w:t xml:space="preserve"> </w:t>
      </w:r>
      <w:r>
        <w:rPr>
          <w:rFonts w:ascii="Arial" w:cs="Arial" w:eastAsia="Arial" w:hAnsi="Arial"/>
          <w:sz w:val="19"/>
          <w:szCs w:val="19"/>
          <w:color w:val="auto"/>
        </w:rPr>
        <w:t>Plan, was previously amended and restated effective January 1, 2011, again effective January 1, 2014, again effective January 1, 2016, and is hereby amended and restated effective January 1, 2019, to reflect the name change of the Company from United Continental Holdings, Inc. to United Airlines Holdings, Inc., effective June 27, 2019, and certain other changes. This amendment and restatement is effective for the 2019 Plan Year and future Plan Years, except as otherwise stated herein, and does not apply to 2018 Plan Year profit sharing payments made in 2019.</w:t>
      </w:r>
    </w:p>
    <w:p>
      <w:pPr>
        <w:spacing w:after="0" w:line="190" w:lineRule="exact"/>
        <w:rPr>
          <w:rFonts w:ascii="Arial" w:cs="Arial" w:eastAsia="Arial" w:hAnsi="Arial"/>
          <w:sz w:val="19"/>
          <w:szCs w:val="19"/>
          <w:color w:val="auto"/>
        </w:rPr>
      </w:pPr>
    </w:p>
    <w:p>
      <w:pPr>
        <w:jc w:val="both"/>
        <w:ind w:left="660" w:hanging="652"/>
        <w:spacing w:after="0" w:line="302"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Term. </w:t>
      </w:r>
      <w:r>
        <w:rPr>
          <w:rFonts w:ascii="Arial" w:cs="Arial" w:eastAsia="Arial" w:hAnsi="Arial"/>
          <w:sz w:val="19"/>
          <w:szCs w:val="19"/>
          <w:color w:val="auto"/>
        </w:rPr>
        <w:t>The provisions of the Plan shall continue indefinitely subject to termination by the Company, or, as it relates to any</w:t>
      </w:r>
      <w:r>
        <w:rPr>
          <w:rFonts w:ascii="Arial" w:cs="Arial" w:eastAsia="Arial" w:hAnsi="Arial"/>
          <w:sz w:val="19"/>
          <w:szCs w:val="19"/>
          <w:i w:val="1"/>
          <w:iCs w:val="1"/>
          <w:color w:val="auto"/>
        </w:rPr>
        <w:t xml:space="preserve"> </w:t>
      </w:r>
      <w:r>
        <w:rPr>
          <w:rFonts w:ascii="Arial" w:cs="Arial" w:eastAsia="Arial" w:hAnsi="Arial"/>
          <w:sz w:val="19"/>
          <w:szCs w:val="19"/>
          <w:color w:val="auto"/>
        </w:rPr>
        <w:t>Qualified Employees who are in the class or craft of employees covered by a collective bargaining agreement with the Employer pursuant to which the Employer has agreed to provide such Qualified Employees with participation in a profit sharing bonus plan, subject to termination pursuant to the terms of such collective bargaining agreement.</w:t>
      </w: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16"/>
          <w:szCs w:val="16"/>
          <w:color w:val="auto"/>
        </w:rPr>
        <w:t>January 1, 2019</w:t>
      </w:r>
    </w:p>
    <w:p>
      <w:pPr>
        <w:sectPr>
          <w:pgSz w:w="11900" w:h="16838" w:orient="portrait"/>
          <w:cols w:equalWidth="0" w:num="1">
            <w:col w:w="11420"/>
          </w:cols>
          <w:pgMar w:left="240" w:top="337" w:right="239" w:bottom="1440" w:gutter="0" w:footer="0" w:header="0"/>
        </w:sectPr>
      </w:pPr>
    </w:p>
    <w:bookmarkStart w:id="111" w:name="page112"/>
    <w:bookmarkEnd w:id="111"/>
    <w:p>
      <w:pPr>
        <w:ind w:left="652" w:hanging="652"/>
        <w:spacing w:after="0"/>
        <w:tabs>
          <w:tab w:leader="none" w:pos="652"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 xml:space="preserve">Definitions. </w:t>
      </w:r>
      <w:r>
        <w:rPr>
          <w:rFonts w:ascii="Arial" w:cs="Arial" w:eastAsia="Arial" w:hAnsi="Arial"/>
          <w:sz w:val="22"/>
          <w:szCs w:val="22"/>
          <w:color w:val="auto"/>
        </w:rPr>
        <w:t>Unless otherwise specified, the capitalized terms under the Plan have the meanings given below:</w:t>
      </w:r>
    </w:p>
    <w:p>
      <w:pPr>
        <w:spacing w:after="0" w:line="260" w:lineRule="exact"/>
        <w:rPr>
          <w:sz w:val="20"/>
          <w:szCs w:val="20"/>
          <w:color w:val="auto"/>
        </w:rPr>
      </w:pPr>
    </w:p>
    <w:p>
      <w:pPr>
        <w:jc w:val="both"/>
        <w:ind w:left="652" w:firstLine="648"/>
        <w:spacing w:after="0" w:line="263" w:lineRule="auto"/>
        <w:rPr>
          <w:sz w:val="20"/>
          <w:szCs w:val="20"/>
          <w:color w:val="auto"/>
        </w:rPr>
      </w:pPr>
      <w:r>
        <w:rPr>
          <w:rFonts w:ascii="Arial" w:cs="Arial" w:eastAsia="Arial" w:hAnsi="Arial"/>
          <w:sz w:val="22"/>
          <w:szCs w:val="22"/>
          <w:i w:val="1"/>
          <w:iCs w:val="1"/>
          <w:color w:val="auto"/>
        </w:rPr>
        <w:t>Affiliate</w:t>
      </w:r>
      <w:r>
        <w:rPr>
          <w:rFonts w:ascii="Arial" w:cs="Arial" w:eastAsia="Arial" w:hAnsi="Arial"/>
          <w:sz w:val="22"/>
          <w:szCs w:val="22"/>
          <w:color w:val="auto"/>
        </w:rPr>
        <w:t>. “Affiliate” means any entity, corporate or otherwise, in which the Company, directly or indirectly, owns or</w:t>
      </w:r>
      <w:r>
        <w:rPr>
          <w:rFonts w:ascii="Arial" w:cs="Arial" w:eastAsia="Arial" w:hAnsi="Arial"/>
          <w:sz w:val="22"/>
          <w:szCs w:val="22"/>
          <w:i w:val="1"/>
          <w:iCs w:val="1"/>
          <w:color w:val="auto"/>
        </w:rPr>
        <w:t xml:space="preserve"> </w:t>
      </w:r>
      <w:r>
        <w:rPr>
          <w:rFonts w:ascii="Arial" w:cs="Arial" w:eastAsia="Arial" w:hAnsi="Arial"/>
          <w:sz w:val="22"/>
          <w:szCs w:val="22"/>
          <w:color w:val="auto"/>
        </w:rPr>
        <w:t>controls a greater than 80% interest.</w:t>
      </w:r>
    </w:p>
    <w:p>
      <w:pPr>
        <w:spacing w:after="0" w:line="175" w:lineRule="exact"/>
        <w:rPr>
          <w:sz w:val="20"/>
          <w:szCs w:val="20"/>
          <w:color w:val="auto"/>
        </w:rPr>
      </w:pPr>
    </w:p>
    <w:p>
      <w:pPr>
        <w:jc w:val="both"/>
        <w:ind w:left="652" w:right="20" w:firstLine="648"/>
        <w:spacing w:after="0" w:line="263" w:lineRule="auto"/>
        <w:rPr>
          <w:sz w:val="20"/>
          <w:szCs w:val="20"/>
          <w:color w:val="auto"/>
        </w:rPr>
      </w:pPr>
      <w:r>
        <w:rPr>
          <w:rFonts w:ascii="Arial" w:cs="Arial" w:eastAsia="Arial" w:hAnsi="Arial"/>
          <w:sz w:val="22"/>
          <w:szCs w:val="22"/>
          <w:i w:val="1"/>
          <w:iCs w:val="1"/>
          <w:color w:val="auto"/>
        </w:rPr>
        <w:t xml:space="preserve">Award. </w:t>
      </w:r>
      <w:r>
        <w:rPr>
          <w:rFonts w:ascii="Arial" w:cs="Arial" w:eastAsia="Arial" w:hAnsi="Arial"/>
          <w:sz w:val="22"/>
          <w:szCs w:val="22"/>
          <w:color w:val="auto"/>
        </w:rPr>
        <w:t>“Award” means the dollar value of the award payable to a Qualified Employee for an Award Year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under the Plan.</w:t>
      </w:r>
    </w:p>
    <w:p>
      <w:pPr>
        <w:spacing w:after="0" w:line="175" w:lineRule="exact"/>
        <w:rPr>
          <w:sz w:val="20"/>
          <w:szCs w:val="20"/>
          <w:color w:val="auto"/>
        </w:rPr>
      </w:pPr>
    </w:p>
    <w:p>
      <w:pPr>
        <w:ind w:left="1292"/>
        <w:spacing w:after="0"/>
        <w:rPr>
          <w:sz w:val="20"/>
          <w:szCs w:val="20"/>
          <w:color w:val="auto"/>
        </w:rPr>
      </w:pPr>
      <w:r>
        <w:rPr>
          <w:rFonts w:ascii="Arial" w:cs="Arial" w:eastAsia="Arial" w:hAnsi="Arial"/>
          <w:sz w:val="19"/>
          <w:szCs w:val="19"/>
          <w:i w:val="1"/>
          <w:iCs w:val="1"/>
          <w:color w:val="auto"/>
        </w:rPr>
        <w:t>Award Year</w:t>
      </w:r>
      <w:r>
        <w:rPr>
          <w:rFonts w:ascii="Arial" w:cs="Arial" w:eastAsia="Arial" w:hAnsi="Arial"/>
          <w:sz w:val="19"/>
          <w:szCs w:val="19"/>
          <w:color w:val="auto"/>
        </w:rPr>
        <w:t>. “Award Year” means the Plan Year for which a profit sharing Award, if any, is determined under the</w:t>
      </w:r>
    </w:p>
    <w:p>
      <w:pPr>
        <w:spacing w:after="0" w:line="5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ind w:left="1292"/>
        <w:spacing w:after="0"/>
        <w:rPr>
          <w:sz w:val="20"/>
          <w:szCs w:val="20"/>
          <w:color w:val="auto"/>
        </w:rPr>
      </w:pPr>
      <w:r>
        <w:rPr>
          <w:rFonts w:ascii="Arial" w:cs="Arial" w:eastAsia="Arial" w:hAnsi="Arial"/>
          <w:sz w:val="19"/>
          <w:szCs w:val="19"/>
          <w:i w:val="1"/>
          <w:iCs w:val="1"/>
          <w:color w:val="auto"/>
        </w:rPr>
        <w:t xml:space="preserve">Base Percentage A. </w:t>
      </w:r>
      <w:r>
        <w:rPr>
          <w:rFonts w:ascii="Arial" w:cs="Arial" w:eastAsia="Arial" w:hAnsi="Arial"/>
          <w:sz w:val="19"/>
          <w:szCs w:val="19"/>
          <w:color w:val="auto"/>
        </w:rPr>
        <w:t>“Base Percentage A” means the percentage determined in accordance with Section III.B.1.</w:t>
      </w:r>
    </w:p>
    <w:p>
      <w:pPr>
        <w:spacing w:after="0" w:line="254" w:lineRule="exact"/>
        <w:rPr>
          <w:sz w:val="20"/>
          <w:szCs w:val="20"/>
          <w:color w:val="auto"/>
        </w:rPr>
      </w:pPr>
    </w:p>
    <w:p>
      <w:pPr>
        <w:ind w:left="1292"/>
        <w:spacing w:after="0"/>
        <w:rPr>
          <w:sz w:val="20"/>
          <w:szCs w:val="20"/>
          <w:color w:val="auto"/>
        </w:rPr>
      </w:pPr>
      <w:r>
        <w:rPr>
          <w:rFonts w:ascii="Arial" w:cs="Arial" w:eastAsia="Arial" w:hAnsi="Arial"/>
          <w:sz w:val="19"/>
          <w:szCs w:val="19"/>
          <w:i w:val="1"/>
          <w:iCs w:val="1"/>
          <w:color w:val="auto"/>
        </w:rPr>
        <w:t xml:space="preserve">Base Percentage B. </w:t>
      </w:r>
      <w:r>
        <w:rPr>
          <w:rFonts w:ascii="Arial" w:cs="Arial" w:eastAsia="Arial" w:hAnsi="Arial"/>
          <w:sz w:val="19"/>
          <w:szCs w:val="19"/>
          <w:color w:val="auto"/>
        </w:rPr>
        <w:t>“Base Percentage B” means the percentage determined in accordance with Section III.B.2.</w:t>
      </w:r>
    </w:p>
    <w:p>
      <w:pPr>
        <w:spacing w:after="0" w:line="254" w:lineRule="exact"/>
        <w:rPr>
          <w:sz w:val="20"/>
          <w:szCs w:val="20"/>
          <w:color w:val="auto"/>
        </w:rPr>
      </w:pPr>
    </w:p>
    <w:p>
      <w:pPr>
        <w:ind w:left="1292"/>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“Board” means the Board of Directors of the Company.</w:t>
      </w:r>
    </w:p>
    <w:p>
      <w:pPr>
        <w:spacing w:after="0" w:line="220" w:lineRule="exact"/>
        <w:rPr>
          <w:sz w:val="20"/>
          <w:szCs w:val="20"/>
          <w:color w:val="auto"/>
        </w:rPr>
      </w:pPr>
    </w:p>
    <w:p>
      <w:pPr>
        <w:jc w:val="both"/>
        <w:ind w:left="652" w:firstLine="648"/>
        <w:spacing w:after="0" w:line="263"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“Code” means the Internal Revenue Code of 1986, as amended (including, when the context requires, all</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interpretations and rulings issued thereunder).</w:t>
      </w:r>
    </w:p>
    <w:p>
      <w:pPr>
        <w:spacing w:after="0" w:line="175" w:lineRule="exact"/>
        <w:rPr>
          <w:sz w:val="20"/>
          <w:szCs w:val="20"/>
          <w:color w:val="auto"/>
        </w:rPr>
      </w:pPr>
    </w:p>
    <w:p>
      <w:pPr>
        <w:jc w:val="both"/>
        <w:ind w:left="652" w:firstLine="648"/>
        <w:spacing w:after="0" w:line="343" w:lineRule="auto"/>
        <w:rPr>
          <w:sz w:val="20"/>
          <w:szCs w:val="20"/>
          <w:color w:val="auto"/>
        </w:rPr>
      </w:pPr>
      <w:r>
        <w:rPr>
          <w:rFonts w:ascii="Arial" w:cs="Arial" w:eastAsia="Arial" w:hAnsi="Arial"/>
          <w:sz w:val="19"/>
          <w:szCs w:val="19"/>
          <w:i w:val="1"/>
          <w:iCs w:val="1"/>
          <w:color w:val="auto"/>
        </w:rPr>
        <w:t xml:space="preserve">Committee. </w:t>
      </w:r>
      <w:r>
        <w:rPr>
          <w:rFonts w:ascii="Arial" w:cs="Arial" w:eastAsia="Arial" w:hAnsi="Arial"/>
          <w:sz w:val="19"/>
          <w:szCs w:val="19"/>
          <w:color w:val="auto"/>
        </w:rPr>
        <w:t>“Committee” means the Compensation Committee of the Board or such other committee appointed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Board to exercise the powers and perform the duties assigned to the Compensation Committee under this Plan.</w:t>
      </w:r>
    </w:p>
    <w:p>
      <w:pPr>
        <w:spacing w:after="0" w:line="105" w:lineRule="exact"/>
        <w:rPr>
          <w:sz w:val="20"/>
          <w:szCs w:val="20"/>
          <w:color w:val="auto"/>
        </w:rPr>
      </w:pPr>
    </w:p>
    <w:p>
      <w:pPr>
        <w:jc w:val="both"/>
        <w:ind w:left="652" w:firstLine="648"/>
        <w:spacing w:after="0" w:line="263"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“Company” means United Airlines Holdings, Inc., which, prior to June 27, 2019, was named United</w:t>
      </w:r>
      <w:r>
        <w:rPr>
          <w:rFonts w:ascii="Arial" w:cs="Arial" w:eastAsia="Arial" w:hAnsi="Arial"/>
          <w:sz w:val="22"/>
          <w:szCs w:val="22"/>
          <w:i w:val="1"/>
          <w:iCs w:val="1"/>
          <w:color w:val="auto"/>
        </w:rPr>
        <w:t xml:space="preserve"> </w:t>
      </w:r>
      <w:r>
        <w:rPr>
          <w:rFonts w:ascii="Arial" w:cs="Arial" w:eastAsia="Arial" w:hAnsi="Arial"/>
          <w:sz w:val="22"/>
          <w:szCs w:val="22"/>
          <w:color w:val="auto"/>
        </w:rPr>
        <w:t>Continental Holdings, Inc.</w:t>
      </w:r>
    </w:p>
    <w:p>
      <w:pPr>
        <w:spacing w:after="0" w:line="175" w:lineRule="exact"/>
        <w:rPr>
          <w:sz w:val="20"/>
          <w:szCs w:val="20"/>
          <w:color w:val="auto"/>
        </w:rPr>
      </w:pPr>
    </w:p>
    <w:p>
      <w:pPr>
        <w:jc w:val="both"/>
        <w:ind w:left="652" w:firstLine="648"/>
        <w:spacing w:after="0" w:line="271" w:lineRule="auto"/>
        <w:rPr>
          <w:sz w:val="20"/>
          <w:szCs w:val="20"/>
          <w:color w:val="auto"/>
        </w:rPr>
      </w:pPr>
      <w:r>
        <w:rPr>
          <w:rFonts w:ascii="Arial" w:cs="Arial" w:eastAsia="Arial" w:hAnsi="Arial"/>
          <w:sz w:val="21"/>
          <w:szCs w:val="21"/>
          <w:i w:val="1"/>
          <w:iCs w:val="1"/>
          <w:color w:val="auto"/>
        </w:rPr>
        <w:t xml:space="preserve">Disability. </w:t>
      </w:r>
      <w:r>
        <w:rPr>
          <w:rFonts w:ascii="Arial" w:cs="Arial" w:eastAsia="Arial" w:hAnsi="Arial"/>
          <w:sz w:val="21"/>
          <w:szCs w:val="21"/>
          <w:color w:val="auto"/>
        </w:rPr>
        <w:t>“Disability” means the Qualified Employee has been determined to be disabled under the Employer’s</w:t>
      </w:r>
      <w:r>
        <w:rPr>
          <w:rFonts w:ascii="Arial" w:cs="Arial" w:eastAsia="Arial" w:hAnsi="Arial"/>
          <w:sz w:val="21"/>
          <w:szCs w:val="21"/>
          <w:i w:val="1"/>
          <w:iCs w:val="1"/>
          <w:color w:val="auto"/>
        </w:rPr>
        <w:t xml:space="preserve"> </w:t>
      </w:r>
      <w:r>
        <w:rPr>
          <w:rFonts w:ascii="Arial" w:cs="Arial" w:eastAsia="Arial" w:hAnsi="Arial"/>
          <w:sz w:val="21"/>
          <w:szCs w:val="21"/>
          <w:color w:val="auto"/>
        </w:rPr>
        <w:t>long-term disability plan in which such Qualified Employee participates, under the union-sponsored long-term disability plan in which such Qualified Employee participates, or by the Company pursuant to Plan Rules.</w:t>
      </w:r>
    </w:p>
    <w:p>
      <w:pPr>
        <w:spacing w:after="0" w:line="168" w:lineRule="exact"/>
        <w:rPr>
          <w:sz w:val="20"/>
          <w:szCs w:val="20"/>
          <w:color w:val="auto"/>
        </w:rPr>
      </w:pPr>
    </w:p>
    <w:p>
      <w:pPr>
        <w:jc w:val="both"/>
        <w:ind w:left="652" w:firstLine="648"/>
        <w:spacing w:after="0" w:line="250" w:lineRule="auto"/>
        <w:rPr>
          <w:sz w:val="20"/>
          <w:szCs w:val="20"/>
          <w:color w:val="auto"/>
        </w:rPr>
      </w:pPr>
      <w:r>
        <w:rPr>
          <w:rFonts w:ascii="Arial" w:cs="Arial" w:eastAsia="Arial" w:hAnsi="Arial"/>
          <w:sz w:val="22"/>
          <w:szCs w:val="22"/>
          <w:i w:val="1"/>
          <w:iCs w:val="1"/>
          <w:color w:val="auto"/>
        </w:rPr>
        <w:t xml:space="preserve">Domestic Employee. </w:t>
      </w:r>
      <w:r>
        <w:rPr>
          <w:rFonts w:ascii="Arial" w:cs="Arial" w:eastAsia="Arial" w:hAnsi="Arial"/>
          <w:sz w:val="22"/>
          <w:szCs w:val="22"/>
          <w:color w:val="auto"/>
        </w:rPr>
        <w:t>“Domestic Employee” means any regular full-time or regular part-time employee of an</w:t>
      </w:r>
      <w:r>
        <w:rPr>
          <w:rFonts w:ascii="Arial" w:cs="Arial" w:eastAsia="Arial" w:hAnsi="Arial"/>
          <w:sz w:val="22"/>
          <w:szCs w:val="22"/>
          <w:i w:val="1"/>
          <w:iCs w:val="1"/>
          <w:color w:val="auto"/>
        </w:rPr>
        <w:t xml:space="preserve"> </w:t>
      </w:r>
      <w:r>
        <w:rPr>
          <w:rFonts w:ascii="Arial" w:cs="Arial" w:eastAsia="Arial" w:hAnsi="Arial"/>
          <w:sz w:val="22"/>
          <w:szCs w:val="22"/>
          <w:color w:val="auto"/>
        </w:rPr>
        <w:t>Employer on the U.S. payroll, including any internationally based flight attendant covered by the collective bargaining agreement between United Airlines, Inc. and the Association of Flight Attendants. In all cases, general sales agents and other third-party independent contractors are not considered employees.</w:t>
      </w:r>
    </w:p>
    <w:p>
      <w:pPr>
        <w:spacing w:after="0" w:line="188" w:lineRule="exact"/>
        <w:rPr>
          <w:sz w:val="20"/>
          <w:szCs w:val="20"/>
          <w:color w:val="auto"/>
        </w:rPr>
      </w:pPr>
    </w:p>
    <w:p>
      <w:pPr>
        <w:jc w:val="both"/>
        <w:ind w:left="652" w:right="20" w:firstLine="648"/>
        <w:spacing w:after="0" w:line="263" w:lineRule="auto"/>
        <w:rPr>
          <w:sz w:val="20"/>
          <w:szCs w:val="20"/>
          <w:color w:val="auto"/>
        </w:rPr>
      </w:pPr>
      <w:r>
        <w:rPr>
          <w:rFonts w:ascii="Arial" w:cs="Arial" w:eastAsia="Arial" w:hAnsi="Arial"/>
          <w:sz w:val="22"/>
          <w:szCs w:val="22"/>
          <w:i w:val="1"/>
          <w:iCs w:val="1"/>
          <w:color w:val="auto"/>
        </w:rPr>
        <w:t xml:space="preserve">Employer. </w:t>
      </w:r>
      <w:r>
        <w:rPr>
          <w:rFonts w:ascii="Arial" w:cs="Arial" w:eastAsia="Arial" w:hAnsi="Arial"/>
          <w:sz w:val="22"/>
          <w:szCs w:val="22"/>
          <w:color w:val="auto"/>
        </w:rPr>
        <w:t>“Employer” means United Airlines, Inc. and any other Affiliate which is designated by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from time to time as participating in the Plan.</w:t>
      </w:r>
    </w:p>
    <w:p>
      <w:pPr>
        <w:spacing w:after="0" w:line="175" w:lineRule="exact"/>
        <w:rPr>
          <w:sz w:val="20"/>
          <w:szCs w:val="20"/>
          <w:color w:val="auto"/>
        </w:rPr>
      </w:pPr>
    </w:p>
    <w:p>
      <w:pPr>
        <w:jc w:val="both"/>
        <w:ind w:left="652" w:firstLine="648"/>
        <w:spacing w:after="0" w:line="263" w:lineRule="auto"/>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“ERISA” means the Employee Retirement Income Security Act of 1974, as from time to time amended,</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any related regulations.</w:t>
      </w:r>
    </w:p>
    <w:p>
      <w:pPr>
        <w:spacing w:after="0" w:line="391" w:lineRule="exact"/>
        <w:rPr>
          <w:sz w:val="20"/>
          <w:szCs w:val="20"/>
          <w:color w:val="auto"/>
        </w:rPr>
      </w:pPr>
    </w:p>
    <w:p>
      <w:pPr>
        <w:jc w:val="center"/>
        <w:ind w:right="8"/>
        <w:spacing w:after="0"/>
        <w:tabs>
          <w:tab w:leader="none" w:pos="140" w:val="left"/>
          <w:tab w:leader="none" w:pos="1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2</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12"/>
          </w:cols>
          <w:pgMar w:left="248" w:top="348" w:right="239" w:bottom="1440" w:gutter="0" w:footer="0" w:header="0"/>
        </w:sectPr>
      </w:pPr>
    </w:p>
    <w:bookmarkStart w:id="112" w:name="page113"/>
    <w:bookmarkEnd w:id="112"/>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Furlough. </w:t>
      </w:r>
      <w:r>
        <w:rPr>
          <w:rFonts w:ascii="Arial" w:cs="Arial" w:eastAsia="Arial" w:hAnsi="Arial"/>
          <w:sz w:val="19"/>
          <w:szCs w:val="19"/>
          <w:color w:val="auto"/>
        </w:rPr>
        <w:t>“Furlough” means a Qualified Employee’s termination of employment with the Employer in connection</w:t>
      </w:r>
      <w:r>
        <w:rPr>
          <w:rFonts w:ascii="Arial" w:cs="Arial" w:eastAsia="Arial" w:hAnsi="Arial"/>
          <w:sz w:val="19"/>
          <w:szCs w:val="19"/>
          <w:i w:val="1"/>
          <w:iCs w:val="1"/>
          <w:color w:val="auto"/>
        </w:rPr>
        <w:t xml:space="preserve"> </w:t>
      </w:r>
      <w:r>
        <w:rPr>
          <w:rFonts w:ascii="Arial" w:cs="Arial" w:eastAsia="Arial" w:hAnsi="Arial"/>
          <w:sz w:val="19"/>
          <w:szCs w:val="19"/>
          <w:color w:val="auto"/>
        </w:rPr>
        <w:t>with which such Qualified Employee has reemployment rights, or, in the case of a Qualified Employee who is in a class or craft of employees covered by a collective bargaining agreement with the Employer pursuant to which the Employer has agreed to provide such Qualified Employees with participation in a profit sharing bonus plan, such other employment action as may be defined as a “furlough” in the applicable collective bargaining agreement.</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i w:val="1"/>
          <w:iCs w:val="1"/>
          <w:color w:val="auto"/>
        </w:rPr>
        <w:t xml:space="preserve">International Employee. </w:t>
      </w:r>
      <w:r>
        <w:rPr>
          <w:rFonts w:ascii="Arial" w:cs="Arial" w:eastAsia="Arial" w:hAnsi="Arial"/>
          <w:sz w:val="21"/>
          <w:szCs w:val="21"/>
          <w:color w:val="auto"/>
        </w:rPr>
        <w:t>“International Employee” means any regular full-time or regular part-time employee of an</w:t>
      </w:r>
      <w:r>
        <w:rPr>
          <w:rFonts w:ascii="Arial" w:cs="Arial" w:eastAsia="Arial" w:hAnsi="Arial"/>
          <w:sz w:val="21"/>
          <w:szCs w:val="21"/>
          <w:i w:val="1"/>
          <w:iCs w:val="1"/>
          <w:color w:val="auto"/>
        </w:rPr>
        <w:t xml:space="preserve"> </w:t>
      </w:r>
      <w:r>
        <w:rPr>
          <w:rFonts w:ascii="Arial" w:cs="Arial" w:eastAsia="Arial" w:hAnsi="Arial"/>
          <w:sz w:val="21"/>
          <w:szCs w:val="21"/>
          <w:color w:val="auto"/>
        </w:rPr>
        <w:t>Employer not on the U.S. payroll who is employed at an Employer branch location outside of the United States, and expressly excludes (1) any internationally based flight attendant covered by the collective bargaining agreement between United Airlines, Inc. and AFA and (2) any employee who qualifies as a Domestic Employee. In all cases, general sales agents and other third-party independent contractors are not considered employees.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i w:val="1"/>
          <w:iCs w:val="1"/>
          <w:color w:val="auto"/>
        </w:rPr>
        <w:t xml:space="preserve">Management and Administrative Employee Group. </w:t>
      </w:r>
      <w:r>
        <w:rPr>
          <w:rFonts w:ascii="Arial" w:cs="Arial" w:eastAsia="Arial" w:hAnsi="Arial"/>
          <w:sz w:val="21"/>
          <w:szCs w:val="21"/>
          <w:color w:val="auto"/>
        </w:rPr>
        <w:t>“Management and Administrative Employee Group” means</w:t>
      </w:r>
      <w:r>
        <w:rPr>
          <w:rFonts w:ascii="Arial" w:cs="Arial" w:eastAsia="Arial" w:hAnsi="Arial"/>
          <w:sz w:val="21"/>
          <w:szCs w:val="21"/>
          <w:i w:val="1"/>
          <w:iCs w:val="1"/>
          <w:color w:val="auto"/>
        </w:rPr>
        <w:t xml:space="preserve"> </w:t>
      </w:r>
      <w:r>
        <w:rPr>
          <w:rFonts w:ascii="Arial" w:cs="Arial" w:eastAsia="Arial" w:hAnsi="Arial"/>
          <w:sz w:val="21"/>
          <w:szCs w:val="21"/>
          <w:color w:val="auto"/>
        </w:rPr>
        <w:t>those Domestic Employees of the Employer (i) who are classified by the Employer as management and administrative employees (on other than a temporary reclassification basis), (ii) whose employment is for an indefinite period, and (iii) who are employed in an Employer established job classification not covered by a collective bargaining agreement. In addition, the term “Management and Administrative Employee Group includes any class or craft of U.S. employees who are not covered by a collective bargaining agreement between an Employer and a union and who are not classified by the Employer as management and administrative employees but who nevertheless generally receive the same benefits as the Management and Administrative Employee Group.</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Officer. </w:t>
      </w:r>
      <w:r>
        <w:rPr>
          <w:rFonts w:ascii="Arial" w:cs="Arial" w:eastAsia="Arial" w:hAnsi="Arial"/>
          <w:sz w:val="22"/>
          <w:szCs w:val="22"/>
          <w:color w:val="auto"/>
        </w:rPr>
        <w:t>“Officer” means (i) an “officer” of the Company as such term is defined in Rule 16a-1(f)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Exchange Act of 1934, as amended (“Rule 16a-1(f)”), or (ii) a designated senior officer of the subsidiaries of the Company, including any officer of United Airlines, Inc. who is an “officer” of the Company under Rule 16a-1(f) or who reports directly to the Chairman or the CEO.</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Participating Employee Group. </w:t>
      </w:r>
      <w:r>
        <w:rPr>
          <w:rFonts w:ascii="Arial" w:cs="Arial" w:eastAsia="Arial" w:hAnsi="Arial"/>
          <w:sz w:val="19"/>
          <w:szCs w:val="19"/>
          <w:color w:val="auto"/>
        </w:rPr>
        <w:t>Each employee group set forth in Appendix B is a Participating Employee Group.</w:t>
      </w:r>
      <w:r>
        <w:rPr>
          <w:rFonts w:ascii="Arial" w:cs="Arial" w:eastAsia="Arial" w:hAnsi="Arial"/>
          <w:sz w:val="19"/>
          <w:szCs w:val="19"/>
          <w:i w:val="1"/>
          <w:iCs w:val="1"/>
          <w:color w:val="auto"/>
        </w:rPr>
        <w:t xml:space="preserve"> </w:t>
      </w:r>
      <w:r>
        <w:rPr>
          <w:rFonts w:ascii="Arial" w:cs="Arial" w:eastAsia="Arial" w:hAnsi="Arial"/>
          <w:sz w:val="19"/>
          <w:szCs w:val="19"/>
          <w:color w:val="auto"/>
        </w:rPr>
        <w:t>Expressly excluded from the definition are: (i) any class or craft of employees represented by a union but not covered by an agreement between an Employer and such union expressly providing for coverage under a Company-sponsored (or Employer-sponsored) profit sharing plan; and (ii) International Employees. In the event of any conflict between Appendix B and a collective bargaining agreement, the collective bargaining agreement shall govern.</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i w:val="1"/>
          <w:iCs w:val="1"/>
          <w:color w:val="auto"/>
        </w:rPr>
        <w:t xml:space="preserve">Plan. </w:t>
      </w:r>
      <w:r>
        <w:rPr>
          <w:rFonts w:ascii="Arial" w:cs="Arial" w:eastAsia="Arial" w:hAnsi="Arial"/>
          <w:sz w:val="21"/>
          <w:szCs w:val="21"/>
          <w:color w:val="auto"/>
        </w:rPr>
        <w:t>“Plan” means the United Airlines Holdings, Inc. Profit Sharing Plan as set forth herein. The Plan is an</w:t>
      </w:r>
      <w:r>
        <w:rPr>
          <w:rFonts w:ascii="Arial" w:cs="Arial" w:eastAsia="Arial" w:hAnsi="Arial"/>
          <w:sz w:val="21"/>
          <w:szCs w:val="21"/>
          <w:i w:val="1"/>
          <w:iCs w:val="1"/>
          <w:color w:val="auto"/>
        </w:rPr>
        <w:t xml:space="preserve"> </w:t>
      </w:r>
      <w:r>
        <w:rPr>
          <w:rFonts w:ascii="Arial" w:cs="Arial" w:eastAsia="Arial" w:hAnsi="Arial"/>
          <w:sz w:val="21"/>
          <w:szCs w:val="21"/>
          <w:color w:val="auto"/>
        </w:rPr>
        <w:t>amendment and restatement of the 2016 United Continental Holdings, Inc. Profit Sharing Plan as amended.</w:t>
      </w:r>
    </w:p>
    <w:p>
      <w:pPr>
        <w:spacing w:after="0" w:line="368" w:lineRule="exact"/>
        <w:rPr>
          <w:sz w:val="20"/>
          <w:szCs w:val="20"/>
          <w:color w:val="auto"/>
        </w:rPr>
      </w:pPr>
    </w:p>
    <w:p>
      <w:pPr>
        <w:ind w:left="3880"/>
        <w:spacing w:after="0"/>
        <w:tabs>
          <w:tab w:leader="none" w:pos="4760" w:val="left"/>
          <w:tab w:leader="none" w:pos="50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3</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0760"/>
          </w:cols>
          <w:pgMar w:left="900" w:top="348" w:right="239" w:bottom="1440" w:gutter="0" w:footer="0" w:header="0"/>
        </w:sectPr>
      </w:pPr>
    </w:p>
    <w:bookmarkStart w:id="113" w:name="page114"/>
    <w:bookmarkEnd w:id="113"/>
    <w:p>
      <w:pPr>
        <w:jc w:val="both"/>
        <w:ind w:left="652" w:firstLine="648"/>
        <w:spacing w:after="0" w:line="253" w:lineRule="auto"/>
        <w:rPr>
          <w:sz w:val="20"/>
          <w:szCs w:val="20"/>
          <w:color w:val="auto"/>
        </w:rPr>
      </w:pPr>
      <w:r>
        <w:rPr>
          <w:rFonts w:ascii="Arial" w:cs="Arial" w:eastAsia="Arial" w:hAnsi="Arial"/>
          <w:sz w:val="22"/>
          <w:szCs w:val="22"/>
          <w:i w:val="1"/>
          <w:iCs w:val="1"/>
          <w:color w:val="auto"/>
        </w:rPr>
        <w:t xml:space="preserve">Plan Rules. </w:t>
      </w:r>
      <w:r>
        <w:rPr>
          <w:rFonts w:ascii="Arial" w:cs="Arial" w:eastAsia="Arial" w:hAnsi="Arial"/>
          <w:sz w:val="22"/>
          <w:szCs w:val="22"/>
          <w:color w:val="auto"/>
        </w:rPr>
        <w:t>“Plan Rules” means rules, procedures, policies or practices established by the Company (or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with respect to the administration of the Plan, which need not be reflected in a written instrument and may be changed at any time without notice.</w:t>
      </w:r>
    </w:p>
    <w:p>
      <w:pPr>
        <w:spacing w:after="0" w:line="186" w:lineRule="exact"/>
        <w:rPr>
          <w:sz w:val="20"/>
          <w:szCs w:val="20"/>
          <w:color w:val="auto"/>
        </w:rPr>
      </w:pPr>
    </w:p>
    <w:p>
      <w:pPr>
        <w:ind w:left="1292"/>
        <w:spacing w:after="0"/>
        <w:rPr>
          <w:sz w:val="20"/>
          <w:szCs w:val="20"/>
          <w:color w:val="auto"/>
        </w:rPr>
      </w:pPr>
      <w:r>
        <w:rPr>
          <w:rFonts w:ascii="Arial" w:cs="Arial" w:eastAsia="Arial" w:hAnsi="Arial"/>
          <w:sz w:val="22"/>
          <w:szCs w:val="22"/>
          <w:i w:val="1"/>
          <w:iCs w:val="1"/>
          <w:color w:val="auto"/>
        </w:rPr>
        <w:t xml:space="preserve">Plan Year. </w:t>
      </w:r>
      <w:r>
        <w:rPr>
          <w:rFonts w:ascii="Arial" w:cs="Arial" w:eastAsia="Arial" w:hAnsi="Arial"/>
          <w:sz w:val="22"/>
          <w:szCs w:val="22"/>
          <w:color w:val="auto"/>
        </w:rPr>
        <w:t>“Plan Year” means the 12-month period that corresponds to the Company’s fiscal year.</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1"/>
          <w:szCs w:val="21"/>
          <w:i w:val="1"/>
          <w:iCs w:val="1"/>
          <w:color w:val="auto"/>
        </w:rPr>
        <w:t xml:space="preserve">Pre-Tax Margin. </w:t>
      </w:r>
      <w:r>
        <w:rPr>
          <w:rFonts w:ascii="Arial" w:cs="Arial" w:eastAsia="Arial" w:hAnsi="Arial"/>
          <w:sz w:val="21"/>
          <w:szCs w:val="21"/>
          <w:color w:val="auto"/>
        </w:rPr>
        <w:t>“Pre-Tax Margin” means Pre-Tax Profit divided by Total Revenue as determined under U.S.</w:t>
      </w:r>
    </w:p>
    <w:p>
      <w:pPr>
        <w:spacing w:after="0" w:line="3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generally accepted accounting principles.</w:t>
      </w:r>
    </w:p>
    <w:p>
      <w:pPr>
        <w:spacing w:after="0" w:line="202" w:lineRule="exact"/>
        <w:rPr>
          <w:sz w:val="20"/>
          <w:szCs w:val="20"/>
          <w:color w:val="auto"/>
        </w:rPr>
      </w:pPr>
    </w:p>
    <w:p>
      <w:pPr>
        <w:jc w:val="both"/>
        <w:ind w:left="652" w:firstLine="648"/>
        <w:spacing w:after="0" w:line="248" w:lineRule="auto"/>
        <w:rPr>
          <w:sz w:val="20"/>
          <w:szCs w:val="20"/>
          <w:color w:val="auto"/>
        </w:rPr>
      </w:pPr>
      <w:r>
        <w:rPr>
          <w:rFonts w:ascii="Arial" w:cs="Arial" w:eastAsia="Arial" w:hAnsi="Arial"/>
          <w:sz w:val="22"/>
          <w:szCs w:val="22"/>
          <w:i w:val="1"/>
          <w:iCs w:val="1"/>
          <w:color w:val="auto"/>
        </w:rPr>
        <w:t xml:space="preserve">Pre-Tax Profit. </w:t>
      </w:r>
      <w:r>
        <w:rPr>
          <w:rFonts w:ascii="Arial" w:cs="Arial" w:eastAsia="Arial" w:hAnsi="Arial"/>
          <w:sz w:val="22"/>
          <w:szCs w:val="22"/>
          <w:color w:val="auto"/>
        </w:rPr>
        <w:t>“Pre-Tax Profit” means the Company’s consolidated net income as determined under U.S. generally</w:t>
      </w:r>
      <w:r>
        <w:rPr>
          <w:rFonts w:ascii="Arial" w:cs="Arial" w:eastAsia="Arial" w:hAnsi="Arial"/>
          <w:sz w:val="22"/>
          <w:szCs w:val="22"/>
          <w:i w:val="1"/>
          <w:iCs w:val="1"/>
          <w:color w:val="auto"/>
        </w:rPr>
        <w:t xml:space="preserve"> </w:t>
      </w:r>
      <w:r>
        <w:rPr>
          <w:rFonts w:ascii="Arial" w:cs="Arial" w:eastAsia="Arial" w:hAnsi="Arial"/>
          <w:sz w:val="22"/>
          <w:szCs w:val="22"/>
          <w:color w:val="auto"/>
        </w:rPr>
        <w:t>accepted accounting principles, but excluding as determined by the Committee: (i) consolidated federal, state and local income tax expense (or credit); (ii) unusual, special, or non-recurring charges, (iii) charges with respect to the grant, exercise or vesting of equity, securities or options granted to employees of the Company or any Affiliate, and (iv) expense associated with the profit sharing contributions.</w:t>
      </w:r>
    </w:p>
    <w:p>
      <w:pPr>
        <w:spacing w:after="0" w:line="192" w:lineRule="exact"/>
        <w:rPr>
          <w:sz w:val="20"/>
          <w:szCs w:val="20"/>
          <w:color w:val="auto"/>
        </w:rPr>
      </w:pPr>
    </w:p>
    <w:p>
      <w:pPr>
        <w:jc w:val="both"/>
        <w:ind w:left="652" w:right="20" w:firstLine="648"/>
        <w:spacing w:after="0" w:line="253" w:lineRule="auto"/>
        <w:rPr>
          <w:sz w:val="20"/>
          <w:szCs w:val="20"/>
          <w:color w:val="auto"/>
        </w:rPr>
      </w:pPr>
      <w:r>
        <w:rPr>
          <w:rFonts w:ascii="Arial" w:cs="Arial" w:eastAsia="Arial" w:hAnsi="Arial"/>
          <w:sz w:val="22"/>
          <w:szCs w:val="22"/>
          <w:i w:val="1"/>
          <w:iCs w:val="1"/>
          <w:color w:val="auto"/>
        </w:rPr>
        <w:t xml:space="preserve">Qualified Employee. </w:t>
      </w:r>
      <w:r>
        <w:rPr>
          <w:rFonts w:ascii="Arial" w:cs="Arial" w:eastAsia="Arial" w:hAnsi="Arial"/>
          <w:sz w:val="22"/>
          <w:szCs w:val="22"/>
          <w:color w:val="auto"/>
        </w:rPr>
        <w:t>“Qualified Employee” means a Domestic Employee of an Employer who,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Employer’s personnel policies, has completed a year of service as of December 31 of the Award Year and satisfies the eligibility requirements of Section II.A.</w:t>
      </w:r>
    </w:p>
    <w:p>
      <w:pPr>
        <w:spacing w:after="0" w:line="186" w:lineRule="exact"/>
        <w:rPr>
          <w:sz w:val="20"/>
          <w:szCs w:val="20"/>
          <w:color w:val="auto"/>
        </w:rPr>
      </w:pPr>
    </w:p>
    <w:p>
      <w:pPr>
        <w:jc w:val="both"/>
        <w:ind w:left="652" w:firstLine="648"/>
        <w:spacing w:after="0" w:line="271" w:lineRule="auto"/>
        <w:rPr>
          <w:sz w:val="20"/>
          <w:szCs w:val="20"/>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“Retirement” means the Employee has retired in accordance with the Employer’s employment policies</w:t>
      </w:r>
      <w:r>
        <w:rPr>
          <w:rFonts w:ascii="Arial" w:cs="Arial" w:eastAsia="Arial" w:hAnsi="Arial"/>
          <w:sz w:val="21"/>
          <w:szCs w:val="21"/>
          <w:i w:val="1"/>
          <w:iCs w:val="1"/>
          <w:color w:val="auto"/>
        </w:rPr>
        <w:t xml:space="preserve"> </w:t>
      </w:r>
      <w:r>
        <w:rPr>
          <w:rFonts w:ascii="Arial" w:cs="Arial" w:eastAsia="Arial" w:hAnsi="Arial"/>
          <w:sz w:val="21"/>
          <w:szCs w:val="21"/>
          <w:color w:val="auto"/>
        </w:rPr>
        <w:t>and regulations, including under an “early out” program in which the Company specifies (or otherwise determines in its sole discretion) that the Employee is to be considered retired for purposes of this Plan.</w:t>
      </w:r>
    </w:p>
    <w:p>
      <w:pPr>
        <w:spacing w:after="0" w:line="168" w:lineRule="exact"/>
        <w:rPr>
          <w:sz w:val="20"/>
          <w:szCs w:val="20"/>
          <w:color w:val="auto"/>
        </w:rPr>
      </w:pPr>
    </w:p>
    <w:p>
      <w:pPr>
        <w:jc w:val="both"/>
        <w:ind w:left="652" w:firstLine="648"/>
        <w:spacing w:after="0" w:line="253" w:lineRule="auto"/>
        <w:rPr>
          <w:sz w:val="20"/>
          <w:szCs w:val="20"/>
          <w:color w:val="auto"/>
        </w:rPr>
      </w:pPr>
      <w:r>
        <w:rPr>
          <w:rFonts w:ascii="Arial" w:cs="Arial" w:eastAsia="Arial" w:hAnsi="Arial"/>
          <w:sz w:val="22"/>
          <w:szCs w:val="22"/>
          <w:i w:val="1"/>
          <w:iCs w:val="1"/>
          <w:color w:val="auto"/>
        </w:rPr>
        <w:t xml:space="preserve">Total Revenue. </w:t>
      </w:r>
      <w:r>
        <w:rPr>
          <w:rFonts w:ascii="Arial" w:cs="Arial" w:eastAsia="Arial" w:hAnsi="Arial"/>
          <w:sz w:val="22"/>
          <w:szCs w:val="22"/>
          <w:color w:val="auto"/>
        </w:rPr>
        <w:t>“Total Revenue” means the Company’s consolidated total revenue as determined under U.S.</w:t>
      </w:r>
      <w:r>
        <w:rPr>
          <w:rFonts w:ascii="Arial" w:cs="Arial" w:eastAsia="Arial" w:hAnsi="Arial"/>
          <w:sz w:val="22"/>
          <w:szCs w:val="22"/>
          <w:i w:val="1"/>
          <w:iCs w:val="1"/>
          <w:color w:val="auto"/>
        </w:rPr>
        <w:t xml:space="preserve"> </w:t>
      </w:r>
      <w:r>
        <w:rPr>
          <w:rFonts w:ascii="Arial" w:cs="Arial" w:eastAsia="Arial" w:hAnsi="Arial"/>
          <w:sz w:val="22"/>
          <w:szCs w:val="22"/>
          <w:color w:val="auto"/>
        </w:rPr>
        <w:t>generally accepted accounting principles, but excluding, as determined by the Committee, any unusual, special or non-recurring revenue item.</w:t>
      </w:r>
    </w:p>
    <w:p>
      <w:pPr>
        <w:spacing w:after="0" w:line="186" w:lineRule="exact"/>
        <w:rPr>
          <w:sz w:val="20"/>
          <w:szCs w:val="20"/>
          <w:color w:val="auto"/>
        </w:rPr>
      </w:pPr>
    </w:p>
    <w:p>
      <w:pPr>
        <w:ind w:left="1292"/>
        <w:spacing w:after="0"/>
        <w:rPr>
          <w:sz w:val="20"/>
          <w:szCs w:val="20"/>
          <w:color w:val="auto"/>
        </w:rPr>
      </w:pPr>
      <w:r>
        <w:rPr>
          <w:rFonts w:ascii="Arial" w:cs="Arial" w:eastAsia="Arial" w:hAnsi="Arial"/>
          <w:sz w:val="22"/>
          <w:szCs w:val="22"/>
          <w:i w:val="1"/>
          <w:iCs w:val="1"/>
          <w:color w:val="auto"/>
        </w:rPr>
        <w:t xml:space="preserve">Wages. </w:t>
      </w:r>
      <w:r>
        <w:rPr>
          <w:rFonts w:ascii="Arial" w:cs="Arial" w:eastAsia="Arial" w:hAnsi="Arial"/>
          <w:sz w:val="22"/>
          <w:szCs w:val="22"/>
          <w:color w:val="auto"/>
        </w:rPr>
        <w:t>“Wages” has the meaning provided in Section III.C.</w:t>
      </w:r>
    </w:p>
    <w:p>
      <w:pPr>
        <w:spacing w:after="0" w:line="214" w:lineRule="exact"/>
        <w:rPr>
          <w:sz w:val="20"/>
          <w:szCs w:val="20"/>
          <w:color w:val="auto"/>
        </w:rPr>
      </w:pPr>
    </w:p>
    <w:p>
      <w:pPr>
        <w:ind w:left="6412"/>
        <w:spacing w:after="0"/>
        <w:tabs>
          <w:tab w:leader="none" w:pos="6792"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19"/>
          <w:szCs w:val="19"/>
          <w:b w:val="1"/>
          <w:bCs w:val="1"/>
          <w:u w:val="single" w:color="auto"/>
          <w:color w:val="auto"/>
        </w:rPr>
        <w:t>Participation.</w:t>
      </w:r>
    </w:p>
    <w:p>
      <w:pPr>
        <w:spacing w:after="0" w:line="280" w:lineRule="exact"/>
        <w:rPr>
          <w:sz w:val="20"/>
          <w:szCs w:val="20"/>
          <w:color w:val="auto"/>
        </w:rPr>
      </w:pPr>
    </w:p>
    <w:p>
      <w:pPr>
        <w:jc w:val="both"/>
        <w:ind w:left="652" w:right="20" w:hanging="652"/>
        <w:spacing w:after="0" w:line="291" w:lineRule="auto"/>
        <w:tabs>
          <w:tab w:leader="none" w:pos="652"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 xml:space="preserve">Eligibility. </w:t>
      </w:r>
      <w:r>
        <w:rPr>
          <w:rFonts w:ascii="Arial" w:cs="Arial" w:eastAsia="Arial" w:hAnsi="Arial"/>
          <w:sz w:val="19"/>
          <w:szCs w:val="19"/>
          <w:color w:val="auto"/>
        </w:rPr>
        <w:t>A Qualified Employee who is employed for any portion of an Award Year is eligible to receive payment of an</w:t>
      </w:r>
      <w:r>
        <w:rPr>
          <w:rFonts w:ascii="Arial" w:cs="Arial" w:eastAsia="Arial" w:hAnsi="Arial"/>
          <w:sz w:val="19"/>
          <w:szCs w:val="19"/>
          <w:i w:val="1"/>
          <w:iCs w:val="1"/>
          <w:color w:val="auto"/>
        </w:rPr>
        <w:t xml:space="preserve"> </w:t>
      </w:r>
      <w:r>
        <w:rPr>
          <w:rFonts w:ascii="Arial" w:cs="Arial" w:eastAsia="Arial" w:hAnsi="Arial"/>
          <w:sz w:val="19"/>
          <w:szCs w:val="19"/>
          <w:color w:val="auto"/>
        </w:rPr>
        <w:t>Award for such Award Year, unless (1) prior to the end of the Award Year he or she voluntarily terminates employment or</w:t>
      </w:r>
    </w:p>
    <w:p>
      <w:pPr>
        <w:spacing w:after="0" w:line="1" w:lineRule="exact"/>
        <w:rPr>
          <w:rFonts w:ascii="Arial" w:cs="Arial" w:eastAsia="Arial" w:hAnsi="Arial"/>
          <w:sz w:val="19"/>
          <w:szCs w:val="19"/>
          <w:color w:val="auto"/>
        </w:rPr>
      </w:pPr>
    </w:p>
    <w:p>
      <w:pPr>
        <w:jc w:val="both"/>
        <w:ind w:left="652" w:hanging="4"/>
        <w:spacing w:after="0" w:line="244" w:lineRule="auto"/>
        <w:tabs>
          <w:tab w:leader="none" w:pos="1017" w:val="left"/>
        </w:tabs>
        <w:numPr>
          <w:ilvl w:val="1"/>
          <w:numId w:val="44"/>
        </w:numPr>
        <w:rPr>
          <w:rFonts w:ascii="Arial" w:cs="Arial" w:eastAsia="Arial" w:hAnsi="Arial"/>
          <w:sz w:val="22"/>
          <w:szCs w:val="22"/>
          <w:color w:val="auto"/>
        </w:rPr>
      </w:pPr>
      <w:r>
        <w:rPr>
          <w:rFonts w:ascii="Arial" w:cs="Arial" w:eastAsia="Arial" w:hAnsi="Arial"/>
          <w:sz w:val="22"/>
          <w:szCs w:val="22"/>
          <w:color w:val="auto"/>
        </w:rPr>
        <w:t>prior to the payment date he or she is terminated “for cause” as determined by the Company. Termination of employment due to other reasons, such as involuntary termination (not “for cause”), voluntary termination after the end of the Award Year, death, Disability, Retirement, or Furlough do not disqualify a Qualified Employee from receiving payment of an Award for an Award Year.</w:t>
      </w:r>
    </w:p>
    <w:p>
      <w:pPr>
        <w:spacing w:after="0" w:line="236"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Employee Classifications. </w:t>
      </w:r>
      <w:r>
        <w:rPr>
          <w:rFonts w:ascii="Arial" w:cs="Arial" w:eastAsia="Arial" w:hAnsi="Arial"/>
          <w:sz w:val="22"/>
          <w:szCs w:val="22"/>
          <w:color w:val="auto"/>
        </w:rPr>
        <w:t>The classification by an Employer of an individual as an employee of an Employer within the</w:t>
      </w:r>
      <w:r>
        <w:rPr>
          <w:rFonts w:ascii="Arial" w:cs="Arial" w:eastAsia="Arial" w:hAnsi="Arial"/>
          <w:sz w:val="22"/>
          <w:szCs w:val="22"/>
          <w:i w:val="1"/>
          <w:iCs w:val="1"/>
          <w:color w:val="auto"/>
        </w:rPr>
        <w:t xml:space="preserve"> </w:t>
      </w:r>
      <w:r>
        <w:rPr>
          <w:rFonts w:ascii="Arial" w:cs="Arial" w:eastAsia="Arial" w:hAnsi="Arial"/>
          <w:sz w:val="22"/>
          <w:szCs w:val="22"/>
          <w:color w:val="auto"/>
        </w:rPr>
        <w:t>meaning of the Plan, or as a person who is not an employee of</w:t>
      </w:r>
    </w:p>
    <w:p>
      <w:pPr>
        <w:spacing w:after="0" w:line="175" w:lineRule="exact"/>
        <w:rPr>
          <w:sz w:val="20"/>
          <w:szCs w:val="20"/>
          <w:color w:val="auto"/>
        </w:rPr>
      </w:pPr>
    </w:p>
    <w:p>
      <w:pPr>
        <w:jc w:val="center"/>
        <w:ind w:right="8"/>
        <w:spacing w:after="0"/>
        <w:tabs>
          <w:tab w:leader="none" w:pos="140" w:val="left"/>
          <w:tab w:leader="none" w:pos="1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4</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12"/>
          </w:cols>
          <w:pgMar w:left="248" w:top="348" w:right="239" w:bottom="1440" w:gutter="0" w:footer="0" w:header="0"/>
        </w:sectPr>
      </w:pPr>
    </w:p>
    <w:bookmarkStart w:id="114" w:name="page115"/>
    <w:bookmarkEnd w:id="114"/>
    <w:p>
      <w:pPr>
        <w:jc w:val="both"/>
        <w:ind w:left="652"/>
        <w:spacing w:after="0" w:line="252" w:lineRule="auto"/>
        <w:rPr>
          <w:sz w:val="20"/>
          <w:szCs w:val="20"/>
          <w:color w:val="auto"/>
        </w:rPr>
      </w:pPr>
      <w:r>
        <w:rPr>
          <w:rFonts w:ascii="Arial" w:cs="Arial" w:eastAsia="Arial" w:hAnsi="Arial"/>
          <w:sz w:val="19"/>
          <w:szCs w:val="19"/>
          <w:color w:val="auto"/>
        </w:rPr>
        <w:t>an Employer or as being within a particular employee classification will be conclusive for all purposes of this Plan. For purposes of this Plan, a temporary reclassification or special assignment will be disregarded for purposes of determining a Qualified Employee’s classification. No reclassification of an individual as an employee of an Employer, whether by judicial or administrative action or otherwise, will be effective to qualify the individual as a Qualified Employee under this Plan except as the Company agrees, and no reclassification will be given retroactive effect, except as the Company agrees.</w:t>
      </w:r>
    </w:p>
    <w:p>
      <w:pPr>
        <w:spacing w:after="0" w:line="211" w:lineRule="exact"/>
        <w:rPr>
          <w:sz w:val="20"/>
          <w:szCs w:val="20"/>
          <w:color w:val="auto"/>
        </w:rPr>
      </w:pPr>
    </w:p>
    <w:p>
      <w:pPr>
        <w:ind w:left="5912"/>
        <w:spacing w:after="0"/>
        <w:tabs>
          <w:tab w:leader="none" w:pos="6412" w:val="left"/>
        </w:tabs>
        <w:rPr>
          <w:sz w:val="20"/>
          <w:szCs w:val="20"/>
          <w:color w:val="auto"/>
        </w:rPr>
      </w:pPr>
      <w:r>
        <w:rPr>
          <w:rFonts w:ascii="Arial" w:cs="Arial" w:eastAsia="Arial" w:hAnsi="Arial"/>
          <w:sz w:val="22"/>
          <w:szCs w:val="22"/>
          <w:b w:val="1"/>
          <w:bCs w:val="1"/>
          <w:color w:val="auto"/>
        </w:rPr>
        <w:t>III.</w:t>
      </w:r>
      <w:r>
        <w:rPr>
          <w:sz w:val="20"/>
          <w:szCs w:val="20"/>
          <w:color w:val="auto"/>
        </w:rPr>
        <w:tab/>
      </w:r>
      <w:r>
        <w:rPr>
          <w:rFonts w:ascii="Arial" w:cs="Arial" w:eastAsia="Arial" w:hAnsi="Arial"/>
          <w:sz w:val="19"/>
          <w:szCs w:val="19"/>
          <w:b w:val="1"/>
          <w:bCs w:val="1"/>
          <w:u w:val="single" w:color="auto"/>
          <w:color w:val="auto"/>
        </w:rPr>
        <w:t>Profit Sharing Awards.</w:t>
      </w:r>
    </w:p>
    <w:p>
      <w:pPr>
        <w:spacing w:after="0" w:line="266" w:lineRule="exact"/>
        <w:rPr>
          <w:sz w:val="20"/>
          <w:szCs w:val="20"/>
          <w:color w:val="auto"/>
        </w:rPr>
      </w:pPr>
    </w:p>
    <w:p>
      <w:pPr>
        <w:jc w:val="both"/>
        <w:ind w:left="652" w:hanging="652"/>
        <w:spacing w:after="0" w:line="253" w:lineRule="auto"/>
        <w:tabs>
          <w:tab w:leader="none" w:pos="652"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Annual Threshold</w:t>
      </w:r>
      <w:r>
        <w:rPr>
          <w:rFonts w:ascii="Arial" w:cs="Arial" w:eastAsia="Arial" w:hAnsi="Arial"/>
          <w:sz w:val="22"/>
          <w:szCs w:val="22"/>
          <w:color w:val="auto"/>
        </w:rPr>
        <w:t>. After the end of each Award Year, if the Company’s Pre-Tax Profit for that year exceeds ten million</w:t>
      </w:r>
      <w:r>
        <w:rPr>
          <w:rFonts w:ascii="Arial" w:cs="Arial" w:eastAsia="Arial" w:hAnsi="Arial"/>
          <w:sz w:val="22"/>
          <w:szCs w:val="22"/>
          <w:i w:val="1"/>
          <w:iCs w:val="1"/>
          <w:color w:val="auto"/>
        </w:rPr>
        <w:t xml:space="preserve"> </w:t>
      </w:r>
      <w:r>
        <w:rPr>
          <w:rFonts w:ascii="Arial" w:cs="Arial" w:eastAsia="Arial" w:hAnsi="Arial"/>
          <w:sz w:val="22"/>
          <w:szCs w:val="22"/>
          <w:color w:val="auto"/>
        </w:rPr>
        <w:t>dollars ($10,000,000), Awards will be determined in accordance with Section III.B. If this threshold is not met, no Awards will be payable under the Plan for the Award Year.</w:t>
      </w:r>
    </w:p>
    <w:p>
      <w:pPr>
        <w:spacing w:after="0" w:line="226" w:lineRule="exact"/>
        <w:rPr>
          <w:rFonts w:ascii="Arial" w:cs="Arial" w:eastAsia="Arial" w:hAnsi="Arial"/>
          <w:sz w:val="22"/>
          <w:szCs w:val="22"/>
          <w:color w:val="auto"/>
        </w:rPr>
      </w:pPr>
    </w:p>
    <w:p>
      <w:pPr>
        <w:ind w:left="652" w:hanging="652"/>
        <w:spacing w:after="0"/>
        <w:tabs>
          <w:tab w:leader="none" w:pos="652"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Determination of Awards. </w:t>
      </w:r>
      <w:r>
        <w:rPr>
          <w:rFonts w:ascii="Arial" w:cs="Arial" w:eastAsia="Arial" w:hAnsi="Arial"/>
          <w:sz w:val="22"/>
          <w:szCs w:val="22"/>
          <w:color w:val="auto"/>
        </w:rPr>
        <w:t>Awards will be determined as follows:</w:t>
      </w:r>
    </w:p>
    <w:p>
      <w:pPr>
        <w:spacing w:after="0" w:line="260" w:lineRule="exact"/>
        <w:rPr>
          <w:rFonts w:ascii="Arial" w:cs="Arial" w:eastAsia="Arial" w:hAnsi="Arial"/>
          <w:sz w:val="22"/>
          <w:szCs w:val="22"/>
          <w:color w:val="auto"/>
        </w:rPr>
      </w:pPr>
    </w:p>
    <w:p>
      <w:pPr>
        <w:jc w:val="both"/>
        <w:ind w:left="1212" w:hanging="564"/>
        <w:spacing w:after="0" w:line="297" w:lineRule="auto"/>
        <w:tabs>
          <w:tab w:leader="none" w:pos="121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Determination of Base Percentage A</w:t>
      </w:r>
      <w:r>
        <w:rPr>
          <w:rFonts w:ascii="Arial" w:cs="Arial" w:eastAsia="Arial" w:hAnsi="Arial"/>
          <w:sz w:val="19"/>
          <w:szCs w:val="19"/>
          <w:color w:val="auto"/>
        </w:rPr>
        <w:t>: Base Percentage A is equal to one percent (1%) of Pre-Tax Profit up to and including a Pre-Tax Margin of 6.9%, divided by the total Wages of all Qualified Employees of the Employers for the Award Year. Notwithstanding the foregoing, for the group of Qualified Employees covered by the collective bargaining agreement between the Company and the Association of Flight Attendants – CWA, Base Percentage A is equal to one percent (1%) of Pre-Tax Profit up to and including Pre-Tax Profit for the previous Plan Year.</w:t>
      </w:r>
    </w:p>
    <w:p>
      <w:pPr>
        <w:spacing w:after="0" w:line="187" w:lineRule="exact"/>
        <w:rPr>
          <w:rFonts w:ascii="Arial" w:cs="Arial" w:eastAsia="Arial" w:hAnsi="Arial"/>
          <w:sz w:val="19"/>
          <w:szCs w:val="19"/>
          <w:color w:val="auto"/>
        </w:rPr>
      </w:pPr>
    </w:p>
    <w:p>
      <w:pPr>
        <w:jc w:val="both"/>
        <w:ind w:left="1212" w:hanging="564"/>
        <w:spacing w:after="0" w:line="297" w:lineRule="auto"/>
        <w:tabs>
          <w:tab w:leader="none" w:pos="121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Determination of Base Percentage B</w:t>
      </w:r>
      <w:r>
        <w:rPr>
          <w:rFonts w:ascii="Arial" w:cs="Arial" w:eastAsia="Arial" w:hAnsi="Arial"/>
          <w:sz w:val="19"/>
          <w:szCs w:val="19"/>
          <w:color w:val="auto"/>
        </w:rPr>
        <w:t>: Base Percentage B is equal to one percent (1%) of Pre-Tax Profit in excess of a Pre-Tax Margin of 6.9%, divided by the total Wages of all Qualified Employees of the Employers for the Award Year. Notwithstanding the foregoing, for the group of Qualified Employees covered by the collective bargaining agreement between the Company and the Association of Flight Attendants – CWA, Base Percentage A is equal to one percent (1%) of Pre-Tax Profit in excess of Pre-Tax Profit for the previous Plan Year.</w:t>
      </w:r>
    </w:p>
    <w:p>
      <w:pPr>
        <w:spacing w:after="0" w:line="187" w:lineRule="exact"/>
        <w:rPr>
          <w:rFonts w:ascii="Arial" w:cs="Arial" w:eastAsia="Arial" w:hAnsi="Arial"/>
          <w:sz w:val="19"/>
          <w:szCs w:val="19"/>
          <w:color w:val="auto"/>
        </w:rPr>
      </w:pPr>
    </w:p>
    <w:p>
      <w:pPr>
        <w:ind w:left="1212" w:hanging="564"/>
        <w:spacing w:after="0"/>
        <w:tabs>
          <w:tab w:leader="none" w:pos="121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Calculation</w:t>
      </w:r>
      <w:r>
        <w:rPr>
          <w:rFonts w:ascii="Arial" w:cs="Arial" w:eastAsia="Arial" w:hAnsi="Arial"/>
          <w:sz w:val="19"/>
          <w:szCs w:val="19"/>
          <w:color w:val="auto"/>
        </w:rPr>
        <w:t>. Each Qualified Employee eligible under Section II shall be entitled to an Award equal to the following:</w:t>
      </w:r>
    </w:p>
    <w:p>
      <w:pPr>
        <w:spacing w:after="0" w:line="294" w:lineRule="exact"/>
        <w:rPr>
          <w:rFonts w:ascii="Arial" w:cs="Arial" w:eastAsia="Arial" w:hAnsi="Arial"/>
          <w:sz w:val="19"/>
          <w:szCs w:val="19"/>
          <w:color w:val="auto"/>
        </w:rPr>
      </w:pPr>
    </w:p>
    <w:p>
      <w:pPr>
        <w:ind w:left="1952"/>
        <w:spacing w:after="0" w:line="263" w:lineRule="auto"/>
        <w:rPr>
          <w:rFonts w:ascii="Arial" w:cs="Arial" w:eastAsia="Arial" w:hAnsi="Arial"/>
          <w:sz w:val="19"/>
          <w:szCs w:val="19"/>
          <w:color w:val="auto"/>
        </w:rPr>
      </w:pPr>
      <w:r>
        <w:rPr>
          <w:rFonts w:ascii="Arial" w:cs="Arial" w:eastAsia="Arial" w:hAnsi="Arial"/>
          <w:sz w:val="22"/>
          <w:szCs w:val="22"/>
          <w:color w:val="auto"/>
        </w:rPr>
        <w:t>a. The Qualified Employee’s Wages x Base Percentage A x the Factor for Base Percentage A set forth in Appendix B applicable to such Qualified Employee’s Participating Employee Group;</w:t>
      </w:r>
    </w:p>
    <w:p>
      <w:pPr>
        <w:spacing w:after="0" w:line="215" w:lineRule="exact"/>
        <w:rPr>
          <w:sz w:val="20"/>
          <w:szCs w:val="20"/>
          <w:color w:val="auto"/>
        </w:rPr>
      </w:pPr>
    </w:p>
    <w:p>
      <w:pPr>
        <w:ind w:left="2592"/>
        <w:spacing w:after="0"/>
        <w:rPr>
          <w:sz w:val="20"/>
          <w:szCs w:val="20"/>
          <w:color w:val="auto"/>
        </w:rPr>
      </w:pPr>
      <w:r>
        <w:rPr>
          <w:rFonts w:ascii="Arial" w:cs="Arial" w:eastAsia="Arial" w:hAnsi="Arial"/>
          <w:sz w:val="22"/>
          <w:szCs w:val="22"/>
          <w:u w:val="single" w:color="auto"/>
          <w:color w:val="auto"/>
        </w:rPr>
        <w:t>Plus</w:t>
      </w:r>
    </w:p>
    <w:p>
      <w:pPr>
        <w:spacing w:after="0" w:line="260" w:lineRule="exact"/>
        <w:rPr>
          <w:sz w:val="20"/>
          <w:szCs w:val="20"/>
          <w:color w:val="auto"/>
        </w:rPr>
      </w:pPr>
    </w:p>
    <w:p>
      <w:pPr>
        <w:ind w:left="1952" w:right="20" w:hanging="7"/>
        <w:spacing w:after="0" w:line="263" w:lineRule="auto"/>
        <w:tabs>
          <w:tab w:leader="none" w:pos="243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Qualified Employee’s Wages x Base Percentage B x the Factor for Base Percentage B set forth in Appendix B applicable to such Qualified Employee’s Participating Employee Group.</w:t>
      </w:r>
    </w:p>
    <w:p>
      <w:pPr>
        <w:spacing w:after="0" w:line="175" w:lineRule="exact"/>
        <w:rPr>
          <w:sz w:val="20"/>
          <w:szCs w:val="20"/>
          <w:color w:val="auto"/>
        </w:rPr>
      </w:pPr>
    </w:p>
    <w:p>
      <w:pPr>
        <w:jc w:val="center"/>
        <w:ind w:right="8"/>
        <w:spacing w:after="0"/>
        <w:tabs>
          <w:tab w:leader="none" w:pos="140" w:val="left"/>
          <w:tab w:leader="none" w:pos="1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5</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12"/>
          </w:cols>
          <w:pgMar w:left="248" w:top="321" w:right="239" w:bottom="1440" w:gutter="0" w:footer="0" w:header="0"/>
        </w:sectPr>
      </w:pPr>
    </w:p>
    <w:bookmarkStart w:id="115" w:name="page116"/>
    <w:bookmarkEnd w:id="115"/>
    <w:p>
      <w:pPr>
        <w:ind w:left="652" w:hanging="652"/>
        <w:spacing w:after="0"/>
        <w:tabs>
          <w:tab w:leader="none" w:pos="652"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 xml:space="preserve">Wages. </w:t>
      </w:r>
      <w:r>
        <w:rPr>
          <w:rFonts w:ascii="Arial" w:cs="Arial" w:eastAsia="Arial" w:hAnsi="Arial"/>
          <w:sz w:val="22"/>
          <w:szCs w:val="22"/>
          <w:color w:val="auto"/>
        </w:rPr>
        <w:t>Wages for a Plan Year will be determined as follows:</w:t>
      </w:r>
    </w:p>
    <w:p>
      <w:pPr>
        <w:spacing w:after="0" w:line="260"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Compensation Included</w:t>
      </w:r>
      <w:r>
        <w:rPr>
          <w:rFonts w:ascii="Arial" w:cs="Arial" w:eastAsia="Arial" w:hAnsi="Arial"/>
          <w:sz w:val="22"/>
          <w:szCs w:val="22"/>
          <w:color w:val="auto"/>
        </w:rPr>
        <w:t>. “Wages” will only include compensation paid (or payable) during a Plan Year to a Qualified Employee for the period he or she is a Qualified Employee and shall include the items listed in Paragraph A-1 of Appendix A. Wages will include compensation not paid as a result of an earnings reduction election made by the Qualified Employee under a Code Sec. 125 cafeteria plan or under any qualified cash or deferred arrangement under Code Sec. 401(k).</w:t>
      </w:r>
    </w:p>
    <w:p>
      <w:pPr>
        <w:spacing w:after="0" w:line="232" w:lineRule="exact"/>
        <w:rPr>
          <w:rFonts w:ascii="Arial" w:cs="Arial" w:eastAsia="Arial" w:hAnsi="Arial"/>
          <w:sz w:val="22"/>
          <w:szCs w:val="22"/>
          <w:color w:val="auto"/>
        </w:rPr>
      </w:pPr>
    </w:p>
    <w:p>
      <w:pPr>
        <w:ind w:left="1292" w:right="20" w:hanging="644"/>
        <w:spacing w:after="0" w:line="263" w:lineRule="auto"/>
        <w:tabs>
          <w:tab w:leader="none" w:pos="129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Exclusions</w:t>
      </w:r>
      <w:r>
        <w:rPr>
          <w:rFonts w:ascii="Arial" w:cs="Arial" w:eastAsia="Arial" w:hAnsi="Arial"/>
          <w:sz w:val="22"/>
          <w:szCs w:val="22"/>
          <w:color w:val="auto"/>
        </w:rPr>
        <w:t xml:space="preserve">. “Wages” will </w:t>
      </w:r>
      <w:r>
        <w:rPr>
          <w:rFonts w:ascii="Arial" w:cs="Arial" w:eastAsia="Arial" w:hAnsi="Arial"/>
          <w:sz w:val="22"/>
          <w:szCs w:val="22"/>
          <w:i w:val="1"/>
          <w:iCs w:val="1"/>
          <w:color w:val="auto"/>
        </w:rPr>
        <w:t>not</w:t>
      </w:r>
      <w:r>
        <w:rPr>
          <w:rFonts w:ascii="Arial" w:cs="Arial" w:eastAsia="Arial" w:hAnsi="Arial"/>
          <w:sz w:val="22"/>
          <w:szCs w:val="22"/>
          <w:color w:val="auto"/>
        </w:rPr>
        <w:t xml:space="preserve"> include the items of compensation or other payments listed in Paragraph A-2 of Appendix A.</w:t>
      </w:r>
    </w:p>
    <w:p>
      <w:pPr>
        <w:spacing w:after="0" w:line="215"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Reemployment</w:t>
      </w:r>
      <w:r>
        <w:rPr>
          <w:rFonts w:ascii="Arial" w:cs="Arial" w:eastAsia="Arial" w:hAnsi="Arial"/>
          <w:sz w:val="22"/>
          <w:szCs w:val="22"/>
          <w:color w:val="auto"/>
        </w:rPr>
        <w:t>. In the event a Qualified Employee terminates employment and is reemployed by an Employer, such employee’s Wages will include amounts paid during the applicable Plan Year, both prior to the termination and following such reemployment.</w:t>
      </w:r>
    </w:p>
    <w:p>
      <w:pPr>
        <w:spacing w:after="0" w:line="226"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Change of Position</w:t>
      </w:r>
      <w:r>
        <w:rPr>
          <w:rFonts w:ascii="Arial" w:cs="Arial" w:eastAsia="Arial" w:hAnsi="Arial"/>
          <w:sz w:val="22"/>
          <w:szCs w:val="22"/>
          <w:color w:val="auto"/>
        </w:rPr>
        <w:t>. In the event that a Qualified Employee transfers from one Employee Group to another Employee Group during the calendar year, the Qualified Employee’s Wages while a member of each Employee Group shall be distinguished and applied to the appropriate formula under Section III.B.</w:t>
      </w:r>
    </w:p>
    <w:p>
      <w:pPr>
        <w:spacing w:after="0" w:line="226" w:lineRule="exact"/>
        <w:rPr>
          <w:rFonts w:ascii="Arial" w:cs="Arial" w:eastAsia="Arial" w:hAnsi="Arial"/>
          <w:sz w:val="22"/>
          <w:szCs w:val="22"/>
          <w:color w:val="auto"/>
        </w:rPr>
      </w:pPr>
    </w:p>
    <w:p>
      <w:pPr>
        <w:jc w:val="both"/>
        <w:ind w:left="1292" w:hanging="644"/>
        <w:spacing w:after="0" w:line="247" w:lineRule="auto"/>
        <w:tabs>
          <w:tab w:leader="none" w:pos="129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Determination of Wages</w:t>
      </w:r>
      <w:r>
        <w:rPr>
          <w:rFonts w:ascii="Arial" w:cs="Arial" w:eastAsia="Arial" w:hAnsi="Arial"/>
          <w:sz w:val="22"/>
          <w:szCs w:val="22"/>
          <w:color w:val="auto"/>
        </w:rPr>
        <w:t>. Subject to the provisions of Appendix A, the Company’s Executive Vice President – Human Resources and Labor Relations will determine, in his or her discretion (subject to a contrary requirement under any applicable collective bargaining agreement or determination under any applicable collective bargaining agreement grievance procedure in the case of an employee who is in the class or craft of employees covered by a collective bargaining agreement), whether an item of compensation is included or excluded from the definition of “Wages.”</w:t>
      </w:r>
    </w:p>
    <w:p>
      <w:pPr>
        <w:spacing w:after="0" w:line="234"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Time of Payment</w:t>
      </w:r>
      <w:r>
        <w:rPr>
          <w:rFonts w:ascii="Arial" w:cs="Arial" w:eastAsia="Arial" w:hAnsi="Arial"/>
          <w:sz w:val="19"/>
          <w:szCs w:val="19"/>
          <w:color w:val="auto"/>
        </w:rPr>
        <w:t>. Award payments will be made following determination of the Company’s Pre-Tax Profit for the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 but not later than March 15 or as soon as administratively practicable thereafter. Notwithstanding the foregoing, the Committee may, in its reasonable discretion, vary the time for making the payments provided herein, provided such modification does not cause the payments to become subject to the tax under Section 409A of the Code. Nothing herein shall be construed to grant to any Qualified Employee who is entitled to payment of an Award or to any person claiming under or through such Qualified Employee the right to elect a modification of the time for receiving payments hereunder.</w:t>
      </w:r>
    </w:p>
    <w:p>
      <w:pPr>
        <w:spacing w:after="0" w:line="200" w:lineRule="exact"/>
        <w:rPr>
          <w:sz w:val="20"/>
          <w:szCs w:val="20"/>
          <w:color w:val="auto"/>
        </w:rPr>
      </w:pPr>
    </w:p>
    <w:p>
      <w:pPr>
        <w:spacing w:after="0" w:line="206" w:lineRule="exact"/>
        <w:rPr>
          <w:sz w:val="20"/>
          <w:szCs w:val="20"/>
          <w:color w:val="auto"/>
        </w:rPr>
      </w:pPr>
    </w:p>
    <w:p>
      <w:pPr>
        <w:jc w:val="center"/>
        <w:ind w:right="8"/>
        <w:spacing w:after="0"/>
        <w:tabs>
          <w:tab w:leader="none" w:pos="140" w:val="left"/>
          <w:tab w:leader="none" w:pos="1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6</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12"/>
          </w:cols>
          <w:pgMar w:left="248" w:top="604" w:right="239" w:bottom="1440" w:gutter="0" w:footer="0" w:header="0"/>
        </w:sectPr>
      </w:pPr>
    </w:p>
    <w:bookmarkStart w:id="116" w:name="page117"/>
    <w:bookmarkEnd w:id="116"/>
    <w:p>
      <w:pPr>
        <w:jc w:val="both"/>
        <w:ind w:left="652" w:hanging="652"/>
        <w:spacing w:after="0" w:line="263" w:lineRule="auto"/>
        <w:tabs>
          <w:tab w:leader="none" w:pos="652" w:val="left"/>
        </w:tabs>
        <w:numPr>
          <w:ilvl w:val="0"/>
          <w:numId w:val="48"/>
        </w:numPr>
        <w:rPr>
          <w:rFonts w:ascii="Arial" w:cs="Arial" w:eastAsia="Arial" w:hAnsi="Arial"/>
          <w:sz w:val="21"/>
          <w:szCs w:val="21"/>
          <w:color w:val="auto"/>
        </w:rPr>
      </w:pPr>
      <w:r>
        <w:rPr>
          <w:rFonts w:ascii="Arial" w:cs="Arial" w:eastAsia="Arial" w:hAnsi="Arial"/>
          <w:sz w:val="21"/>
          <w:szCs w:val="21"/>
          <w:i w:val="1"/>
          <w:iCs w:val="1"/>
          <w:color w:val="auto"/>
        </w:rPr>
        <w:t xml:space="preserve">Payment Methods. </w:t>
      </w:r>
      <w:r>
        <w:rPr>
          <w:rFonts w:ascii="Arial" w:cs="Arial" w:eastAsia="Arial" w:hAnsi="Arial"/>
          <w:sz w:val="21"/>
          <w:szCs w:val="21"/>
          <w:color w:val="auto"/>
        </w:rPr>
        <w:t>Each Qualified Employee entitled to an Award will receive payment of the Award in cash, subject to</w:t>
      </w:r>
      <w:r>
        <w:rPr>
          <w:rFonts w:ascii="Arial" w:cs="Arial" w:eastAsia="Arial" w:hAnsi="Arial"/>
          <w:sz w:val="21"/>
          <w:szCs w:val="21"/>
          <w:i w:val="1"/>
          <w:iCs w:val="1"/>
          <w:color w:val="auto"/>
        </w:rPr>
        <w:t xml:space="preserve"> </w:t>
      </w:r>
      <w:r>
        <w:rPr>
          <w:rFonts w:ascii="Arial" w:cs="Arial" w:eastAsia="Arial" w:hAnsi="Arial"/>
          <w:sz w:val="21"/>
          <w:szCs w:val="21"/>
          <w:color w:val="auto"/>
        </w:rPr>
        <w:t>such employee’s right, if any, to elect to defer receipt of a portion of such cash payment as may be permitted under any Employer-sponsored 401(k) plan in which the Qualified Employee is eligible to participate. Payment is subject to any applicable withholding taxes and other amounts the Company reasonably determines it is obligated to withhold or deduct pursuant to federal, state or local laws. Notwithstanding the foregoing:</w:t>
      </w:r>
    </w:p>
    <w:p>
      <w:pPr>
        <w:spacing w:after="0" w:line="216" w:lineRule="exact"/>
        <w:rPr>
          <w:rFonts w:ascii="Arial" w:cs="Arial" w:eastAsia="Arial" w:hAnsi="Arial"/>
          <w:sz w:val="21"/>
          <w:szCs w:val="21"/>
          <w:color w:val="auto"/>
        </w:rPr>
      </w:pPr>
    </w:p>
    <w:p>
      <w:pPr>
        <w:jc w:val="both"/>
        <w:ind w:left="1292" w:hanging="644"/>
        <w:spacing w:after="0" w:line="258" w:lineRule="auto"/>
        <w:tabs>
          <w:tab w:leader="none" w:pos="1292"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Committee shall have the right, in its reasonable discretion, to vary the form of payment of Awards payable to Officers by payment in shares of the Company’s common stock. In the event the Company reasonably anticipates that the Company’s deduction with respect to a payment otherwise would be limited or eliminated by application of Section 162(m) of the Code, the Committee may enter into an agreement with an Officer to provide payment of an Award on a deferred basis through a bookkeeping account, the value of which may be determined by reference to the Company’s common stock, provided such written deferred payment arrangement complies with the requirements of Section 409A of the Code, including the requirement that the payment be made either at the earliest date at which the Company reasonably anticipates the payment of the amount will not be limited or eliminated by application of Section 162(m) of the Code or the calendar year in which the officer separates from service with the Company and all affiliates.</w:t>
      </w:r>
    </w:p>
    <w:p>
      <w:pPr>
        <w:spacing w:after="0" w:line="186" w:lineRule="exact"/>
        <w:rPr>
          <w:rFonts w:ascii="Arial" w:cs="Arial" w:eastAsia="Arial" w:hAnsi="Arial"/>
          <w:sz w:val="21"/>
          <w:szCs w:val="21"/>
          <w:color w:val="auto"/>
        </w:rPr>
      </w:pPr>
    </w:p>
    <w:p>
      <w:pPr>
        <w:jc w:val="both"/>
        <w:ind w:left="1292" w:hanging="644"/>
        <w:spacing w:after="0" w:line="312" w:lineRule="auto"/>
        <w:tabs>
          <w:tab w:leader="none" w:pos="1292" w:val="left"/>
        </w:tabs>
        <w:numPr>
          <w:ilvl w:val="1"/>
          <w:numId w:val="48"/>
        </w:numPr>
        <w:rPr>
          <w:rFonts w:ascii="Arial" w:cs="Arial" w:eastAsia="Arial" w:hAnsi="Arial"/>
          <w:sz w:val="19"/>
          <w:szCs w:val="19"/>
          <w:color w:val="auto"/>
        </w:rPr>
      </w:pPr>
      <w:r>
        <w:rPr>
          <w:rFonts w:ascii="Arial" w:cs="Arial" w:eastAsia="Arial" w:hAnsi="Arial"/>
          <w:sz w:val="19"/>
          <w:szCs w:val="19"/>
          <w:color w:val="auto"/>
        </w:rPr>
        <w:t>Payment of Awards for any employee group shall be made as a profit sharing contribution to the applicable Employer-sponsored 401(k) plan if required under the terms of the applicable collective bargaining agreement or, in the case of the Management and Administrative Employee Group, if so determined by the Company.</w:t>
      </w:r>
    </w:p>
    <w:p>
      <w:pPr>
        <w:spacing w:after="0" w:line="168" w:lineRule="exact"/>
        <w:rPr>
          <w:sz w:val="20"/>
          <w:szCs w:val="20"/>
          <w:color w:val="auto"/>
        </w:rPr>
      </w:pPr>
    </w:p>
    <w:p>
      <w:pPr>
        <w:ind w:left="5892"/>
        <w:spacing w:after="0"/>
        <w:tabs>
          <w:tab w:leader="none" w:pos="6312"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19"/>
          <w:szCs w:val="19"/>
          <w:b w:val="1"/>
          <w:bCs w:val="1"/>
          <w:u w:val="single" w:color="auto"/>
          <w:color w:val="auto"/>
        </w:rPr>
        <w:t>Plan Administration.</w:t>
      </w:r>
    </w:p>
    <w:p>
      <w:pPr>
        <w:spacing w:after="0" w:line="280" w:lineRule="exact"/>
        <w:rPr>
          <w:sz w:val="20"/>
          <w:szCs w:val="20"/>
          <w:color w:val="auto"/>
        </w:rPr>
      </w:pPr>
    </w:p>
    <w:p>
      <w:pPr>
        <w:jc w:val="both"/>
        <w:ind w:left="652" w:hanging="652"/>
        <w:spacing w:after="0" w:line="292" w:lineRule="auto"/>
        <w:tabs>
          <w:tab w:leader="none" w:pos="652"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Plan Administration</w:t>
      </w:r>
      <w:r>
        <w:rPr>
          <w:rFonts w:ascii="Arial" w:cs="Arial" w:eastAsia="Arial" w:hAnsi="Arial"/>
          <w:sz w:val="19"/>
          <w:szCs w:val="19"/>
          <w:color w:val="auto"/>
        </w:rPr>
        <w:t>. The Company or its delegate has the authority and responsibility to manage and control the general</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administration of the Plan, except as to matters expressly reserved in the Plan to the Committee. Determinations, decisions and actions of the Company or, if applicable, the Committee, in connection with the construction, interpretation, administration, or application of the Plan will be final, conclusive, and binding upon any person, including any employee of any Employer, any Qualified Employee and any person claiming under or through the Qualified Employee. No employee of an Employer, any member of the Board, any delegate of the Board, or any member of the Committee will be liable for any determination, decision, or action made in good faith with respect to the Plan or any Award made under the Plan.</w:t>
      </w:r>
    </w:p>
    <w:p>
      <w:pPr>
        <w:spacing w:after="0" w:line="192" w:lineRule="exact"/>
        <w:rPr>
          <w:rFonts w:ascii="Arial" w:cs="Arial" w:eastAsia="Arial" w:hAnsi="Arial"/>
          <w:sz w:val="19"/>
          <w:szCs w:val="19"/>
          <w:color w:val="auto"/>
        </w:rPr>
      </w:pPr>
    </w:p>
    <w:p>
      <w:pPr>
        <w:ind w:left="652" w:hanging="652"/>
        <w:spacing w:after="0"/>
        <w:tabs>
          <w:tab w:leader="none" w:pos="652"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Committee</w:t>
      </w:r>
      <w:r>
        <w:rPr>
          <w:rFonts w:ascii="Arial" w:cs="Arial" w:eastAsia="Arial" w:hAnsi="Arial"/>
          <w:sz w:val="22"/>
          <w:szCs w:val="22"/>
          <w:color w:val="auto"/>
        </w:rPr>
        <w:t>. The Committee has the sole authority and responsibility to administer Awards payable to Officers.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
        <w:spacing w:after="0"/>
        <w:tabs>
          <w:tab w:leader="none" w:pos="140" w:val="left"/>
          <w:tab w:leader="none" w:pos="1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7</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12"/>
          </w:cols>
          <w:pgMar w:left="248" w:top="348" w:right="239" w:bottom="1440" w:gutter="0" w:footer="0" w:header="0"/>
        </w:sectPr>
      </w:pPr>
    </w:p>
    <w:bookmarkStart w:id="117" w:name="page118"/>
    <w:bookmarkEnd w:id="117"/>
    <w:p>
      <w:pPr>
        <w:ind w:left="3112" w:hanging="357"/>
        <w:spacing w:after="0"/>
        <w:tabs>
          <w:tab w:leader="none" w:pos="3112" w:val="left"/>
        </w:tabs>
        <w:numPr>
          <w:ilvl w:val="1"/>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or Termination.</w:t>
      </w:r>
    </w:p>
    <w:p>
      <w:pPr>
        <w:spacing w:after="0" w:line="279" w:lineRule="exact"/>
        <w:rPr>
          <w:rFonts w:ascii="Arial" w:cs="Arial" w:eastAsia="Arial" w:hAnsi="Arial"/>
          <w:sz w:val="22"/>
          <w:szCs w:val="22"/>
          <w:b w:val="1"/>
          <w:bCs w:val="1"/>
          <w:color w:val="auto"/>
        </w:rPr>
      </w:pPr>
    </w:p>
    <w:p>
      <w:pPr>
        <w:jc w:val="both"/>
        <w:ind w:left="652" w:hanging="652"/>
        <w:spacing w:after="0" w:line="250" w:lineRule="auto"/>
        <w:tabs>
          <w:tab w:leader="none" w:pos="652"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Authority to Amend or Terminate Plan</w:t>
      </w:r>
      <w:r>
        <w:rPr>
          <w:rFonts w:ascii="Arial" w:cs="Arial" w:eastAsia="Arial" w:hAnsi="Arial"/>
          <w:sz w:val="22"/>
          <w:szCs w:val="22"/>
          <w:color w:val="auto"/>
        </w:rPr>
        <w:t>. The Plan may at any time be amended, modified, suspended or terminated, as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in its sole discretion determines. Such amendment, modification, or termination of the Plan will not require any notice or the consent, ratification, or approval of any party, including any Qualified Employee who is then eligible to participate in the Plan.</w:t>
      </w:r>
    </w:p>
    <w:p>
      <w:pPr>
        <w:spacing w:after="0" w:line="228" w:lineRule="exact"/>
        <w:rPr>
          <w:rFonts w:ascii="Arial" w:cs="Arial" w:eastAsia="Arial" w:hAnsi="Arial"/>
          <w:sz w:val="22"/>
          <w:szCs w:val="22"/>
          <w:color w:val="auto"/>
        </w:rPr>
      </w:pPr>
    </w:p>
    <w:p>
      <w:pPr>
        <w:jc w:val="both"/>
        <w:ind w:left="652" w:hanging="652"/>
        <w:spacing w:after="0" w:line="246" w:lineRule="auto"/>
        <w:tabs>
          <w:tab w:leader="none" w:pos="652"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Authority to Amend Awards</w:t>
      </w:r>
      <w:r>
        <w:rPr>
          <w:rFonts w:ascii="Arial" w:cs="Arial" w:eastAsia="Arial" w:hAnsi="Arial"/>
          <w:sz w:val="22"/>
          <w:szCs w:val="22"/>
          <w:color w:val="auto"/>
        </w:rPr>
        <w:t>. The Committee in its sole discretion may reduce or eliminate an Award payable to any member</w:t>
      </w:r>
      <w:r>
        <w:rPr>
          <w:rFonts w:ascii="Arial" w:cs="Arial" w:eastAsia="Arial" w:hAnsi="Arial"/>
          <w:sz w:val="22"/>
          <w:szCs w:val="22"/>
          <w:i w:val="1"/>
          <w:iCs w:val="1"/>
          <w:color w:val="auto"/>
        </w:rPr>
        <w:t xml:space="preserve"> </w:t>
      </w:r>
      <w:r>
        <w:rPr>
          <w:rFonts w:ascii="Arial" w:cs="Arial" w:eastAsia="Arial" w:hAnsi="Arial"/>
          <w:sz w:val="22"/>
          <w:szCs w:val="22"/>
          <w:color w:val="auto"/>
        </w:rPr>
        <w:t>of the Management and Administrative Employee Group classified by the Company as a management employee. In addition, the Company may reduce any Award other than an Award payable to an Officer, prior to the payment of the Award, to the extent it deems necessary or appropriate to comply with laws, including applicable securities laws, local laws outside the United States and the pooling of interests requirements in connection with a merger, provided that nothing in this Section V.B affects the rights of any employee to an Award required under the terms of a collective bargaining agreement.</w:t>
      </w:r>
    </w:p>
    <w:p>
      <w:pPr>
        <w:spacing w:after="0" w:line="232" w:lineRule="exact"/>
        <w:rPr>
          <w:sz w:val="20"/>
          <w:szCs w:val="20"/>
          <w:color w:val="auto"/>
        </w:rPr>
      </w:pPr>
    </w:p>
    <w:p>
      <w:pPr>
        <w:ind w:left="6232"/>
        <w:spacing w:after="0"/>
        <w:tabs>
          <w:tab w:leader="none" w:pos="6732"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8"/>
          <w:szCs w:val="18"/>
          <w:b w:val="1"/>
          <w:bCs w:val="1"/>
          <w:u w:val="single" w:color="auto"/>
          <w:color w:val="auto"/>
        </w:rPr>
        <w:t>Miscellaneous.</w:t>
      </w:r>
    </w:p>
    <w:p>
      <w:pPr>
        <w:spacing w:after="0" w:line="280" w:lineRule="exact"/>
        <w:rPr>
          <w:sz w:val="20"/>
          <w:szCs w:val="20"/>
          <w:color w:val="auto"/>
        </w:rPr>
      </w:pPr>
    </w:p>
    <w:p>
      <w:pPr>
        <w:jc w:val="both"/>
        <w:ind w:left="652" w:hanging="652"/>
        <w:spacing w:after="0" w:line="294" w:lineRule="auto"/>
        <w:tabs>
          <w:tab w:leader="none" w:pos="652"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 xml:space="preserve">No Contract of Employment, etc. </w:t>
      </w:r>
      <w:r>
        <w:rPr>
          <w:rFonts w:ascii="Arial" w:cs="Arial" w:eastAsia="Arial" w:hAnsi="Arial"/>
          <w:sz w:val="19"/>
          <w:szCs w:val="19"/>
          <w:color w:val="auto"/>
        </w:rPr>
        <w:t>Neither this Plan nor any award under the Plan constitutes a contract of employment and</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in the Plan will not give any employee the right to be retained in the service of the Company or any Affiliate or to continue in any position or at any level of compensation. Nothing contained in the Plan will prohibit or interfere with the Company’s or an Affiliate’s right to assign projects, tasks and responsibilities to any employee or to alter the nature of the Company’s or an Affiliate’s rights with respect to the employee’s employment relationship, including the right to terminate any employee at any time, with or without prior notice, and for any reason within the constraints of existing law.</w:t>
      </w:r>
    </w:p>
    <w:p>
      <w:pPr>
        <w:spacing w:after="0" w:line="190" w:lineRule="exact"/>
        <w:rPr>
          <w:rFonts w:ascii="Arial" w:cs="Arial" w:eastAsia="Arial" w:hAnsi="Arial"/>
          <w:sz w:val="19"/>
          <w:szCs w:val="19"/>
          <w:color w:val="auto"/>
        </w:rPr>
      </w:pPr>
    </w:p>
    <w:p>
      <w:pPr>
        <w:jc w:val="both"/>
        <w:ind w:left="652" w:hanging="652"/>
        <w:spacing w:after="0" w:line="271" w:lineRule="auto"/>
        <w:tabs>
          <w:tab w:leader="none" w:pos="652" w:val="left"/>
        </w:tabs>
        <w:numPr>
          <w:ilvl w:val="0"/>
          <w:numId w:val="52"/>
        </w:numPr>
        <w:rPr>
          <w:rFonts w:ascii="Arial" w:cs="Arial" w:eastAsia="Arial" w:hAnsi="Arial"/>
          <w:sz w:val="21"/>
          <w:szCs w:val="21"/>
          <w:color w:val="auto"/>
        </w:rPr>
      </w:pPr>
      <w:r>
        <w:rPr>
          <w:rFonts w:ascii="Arial" w:cs="Arial" w:eastAsia="Arial" w:hAnsi="Arial"/>
          <w:sz w:val="21"/>
          <w:szCs w:val="21"/>
          <w:i w:val="1"/>
          <w:iCs w:val="1"/>
          <w:color w:val="auto"/>
        </w:rPr>
        <w:t xml:space="preserve">Governing Law. </w:t>
      </w:r>
      <w:r>
        <w:rPr>
          <w:rFonts w:ascii="Arial" w:cs="Arial" w:eastAsia="Arial" w:hAnsi="Arial"/>
          <w:sz w:val="21"/>
          <w:szCs w:val="21"/>
          <w:color w:val="auto"/>
        </w:rPr>
        <w:t>The validity, construction, interpretation, administration and effect of the Plan and any rules, regulations</w:t>
      </w:r>
      <w:r>
        <w:rPr>
          <w:rFonts w:ascii="Arial" w:cs="Arial" w:eastAsia="Arial" w:hAnsi="Arial"/>
          <w:sz w:val="21"/>
          <w:szCs w:val="21"/>
          <w:i w:val="1"/>
          <w:iCs w:val="1"/>
          <w:color w:val="auto"/>
        </w:rPr>
        <w:t xml:space="preserve"> </w:t>
      </w:r>
      <w:r>
        <w:rPr>
          <w:rFonts w:ascii="Arial" w:cs="Arial" w:eastAsia="Arial" w:hAnsi="Arial"/>
          <w:sz w:val="21"/>
          <w:szCs w:val="21"/>
          <w:color w:val="auto"/>
        </w:rPr>
        <w:t>and actions relating to the Plan will be governed by and construed exclusively in accordance with the laws of the United States and the State of Illinois, notwithstanding the conflicts of law principles of any jurisdiction.</w:t>
      </w:r>
    </w:p>
    <w:p>
      <w:pPr>
        <w:spacing w:after="0" w:line="208" w:lineRule="exact"/>
        <w:rPr>
          <w:rFonts w:ascii="Arial" w:cs="Arial" w:eastAsia="Arial" w:hAnsi="Arial"/>
          <w:sz w:val="21"/>
          <w:szCs w:val="21"/>
          <w:color w:val="auto"/>
        </w:rPr>
      </w:pPr>
    </w:p>
    <w:p>
      <w:pPr>
        <w:jc w:val="both"/>
        <w:ind w:left="652" w:hanging="652"/>
        <w:spacing w:after="0" w:line="248" w:lineRule="auto"/>
        <w:tabs>
          <w:tab w:leader="none" w:pos="652"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 xml:space="preserve">Conflict. </w:t>
      </w:r>
      <w:r>
        <w:rPr>
          <w:rFonts w:ascii="Arial" w:cs="Arial" w:eastAsia="Arial" w:hAnsi="Arial"/>
          <w:sz w:val="22"/>
          <w:szCs w:val="22"/>
          <w:color w:val="auto"/>
        </w:rPr>
        <w:t>Notwithstanding anything to the contrary in the Plan, the Plan Rules or Plan administration, the Employer’s</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to any employees covered by collective bargaining agreements shall be governed by the applicable terms of such agreements, and any conflict between the terms of the Plan, the Plan Rules or Plan administration and the applicable collective bargaining agreements with respect to such employees shall be resolved in favor of the Employer’s obligations under the applicable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8"/>
        <w:spacing w:after="0"/>
        <w:tabs>
          <w:tab w:leader="none" w:pos="140" w:val="left"/>
          <w:tab w:leader="none" w:pos="1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8</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12"/>
          </w:cols>
          <w:pgMar w:left="248" w:top="342" w:right="239" w:bottom="1440" w:gutter="0" w:footer="0" w:header="0"/>
        </w:sectPr>
      </w:pPr>
    </w:p>
    <w:bookmarkStart w:id="118" w:name="page119"/>
    <w:bookmarkEnd w:id="118"/>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amendment and restatement of the Plan to be executed on its behalf, effective as of January 1, 2019, except as otherwise provided herein.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UNITED AIRLINES HOLDINGS,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Kate Gebo__________________________</w:t>
      </w:r>
    </w:p>
    <w:p>
      <w:pPr>
        <w:spacing w:after="0" w:line="26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Kate Gebo</w:t>
      </w:r>
    </w:p>
    <w:p>
      <w:pPr>
        <w:spacing w:after="0" w:line="22"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Executive Vice President</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Human Resources and Labor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8"/>
          <w:szCs w:val="18"/>
          <w:color w:val="auto"/>
        </w:rPr>
        <w:t>UCH PSP</w:t>
      </w:r>
      <w:r>
        <w:rPr>
          <w:sz w:val="20"/>
          <w:szCs w:val="20"/>
          <w:color w:val="auto"/>
        </w:rPr>
        <w:tab/>
      </w:r>
      <w:r>
        <w:rPr>
          <w:rFonts w:ascii="Arial" w:cs="Arial" w:eastAsia="Arial" w:hAnsi="Arial"/>
          <w:sz w:val="22"/>
          <w:szCs w:val="22"/>
          <w:color w:val="auto"/>
        </w:rPr>
        <w:t>9</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20"/>
          </w:cols>
          <w:pgMar w:left="240" w:top="348"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5"/>
          <w:szCs w:val="25"/>
          <w:b w:val="1"/>
          <w:bCs w:val="1"/>
          <w:color w:val="auto"/>
        </w:rPr>
        <w:t>APPENDIX A - WAGES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A-1. </w:t>
      </w:r>
      <w:r>
        <w:rPr>
          <w:rFonts w:ascii="Arial" w:cs="Arial" w:eastAsia="Arial" w:hAnsi="Arial"/>
          <w:sz w:val="22"/>
          <w:szCs w:val="22"/>
          <w:b w:val="1"/>
          <w:bCs w:val="1"/>
          <w:u w:val="single" w:color="auto"/>
          <w:color w:val="auto"/>
        </w:rPr>
        <w:t>Inclusions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purposes of Section III.C.1. the following items are included in the definition of Wages:</w:t>
      </w:r>
    </w:p>
    <w:p>
      <w:pPr>
        <w:spacing w:after="0" w:line="26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base pay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overtime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holiday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longevity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sick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lead/purser/service director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high skill premium/longevity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language premium</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international and night flying premium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pay for time taken as vacation</w:t>
      </w:r>
    </w:p>
    <w:p>
      <w:pPr>
        <w:spacing w:after="0" w:line="3"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payment for accrued vacation not taken as vacation when paid on account of (i) a leave or (ii) a termination of employment due to a reduction in force or for a military leave</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shift differential pay</w:t>
      </w:r>
    </w:p>
    <w:p>
      <w:pPr>
        <w:spacing w:after="0" w:line="3" w:lineRule="exact"/>
        <w:rPr>
          <w:rFonts w:ascii="Arial" w:cs="Arial" w:eastAsia="Arial" w:hAnsi="Arial"/>
          <w:sz w:val="18"/>
          <w:szCs w:val="18"/>
          <w:color w:val="auto"/>
        </w:rPr>
      </w:pPr>
    </w:p>
    <w:p>
      <w:pPr>
        <w:ind w:left="660" w:right="20" w:hanging="328"/>
        <w:spacing w:after="0" w:line="24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back pay to the extent such pay is otherwise categorized as Wages related to the applicable Plan Year (other than judicial or administrative awards of grievance pay or back pay (including settlements thereof))</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delayed activation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bypass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check pilot premium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double town salary expense</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senior/junior manning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operational integrity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temporary reclass pay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Hawaiian override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A-2. </w:t>
      </w:r>
      <w:r>
        <w:rPr>
          <w:rFonts w:ascii="Arial" w:cs="Arial" w:eastAsia="Arial" w:hAnsi="Arial"/>
          <w:sz w:val="22"/>
          <w:szCs w:val="22"/>
          <w:b w:val="1"/>
          <w:bCs w:val="1"/>
          <w:u w:val="single" w:color="auto"/>
          <w:color w:val="auto"/>
        </w:rPr>
        <w:t>Exclusions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purposes of Section III.C.2. the following items are excluded in the definition of Wages:</w:t>
      </w:r>
    </w:p>
    <w:p>
      <w:pPr>
        <w:spacing w:after="0" w:line="266"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deferred compensation (other than pursuant to Code Sec. 125 or 401(k))</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moving expense and similar allowances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performance incentive awards, profit sharing awards or sales incentive awards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expense reimbursements and per diems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severance, termination pay and related payments</w:t>
      </w:r>
    </w:p>
    <w:p>
      <w:pPr>
        <w:spacing w:after="0" w:line="3"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payment for accrued vacation time not taken as vacation when paid on account of termination of employment, other than on account of a reduction in force or for a military leave</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disability and workers compensation payments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duty-free commissions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recognition lump sums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flight expense</w:t>
      </w:r>
    </w:p>
    <w:p>
      <w:pPr>
        <w:spacing w:after="0" w:line="202" w:lineRule="exact"/>
        <w:rPr>
          <w:sz w:val="20"/>
          <w:szCs w:val="20"/>
          <w:color w:val="auto"/>
        </w:rPr>
      </w:pPr>
    </w:p>
    <w:p>
      <w:pPr>
        <w:spacing w:after="0"/>
        <w:tabs>
          <w:tab w:leader="none" w:pos="1020" w:val="left"/>
          <w:tab w:leader="none" w:pos="2440" w:val="left"/>
        </w:tabs>
        <w:rPr>
          <w:sz w:val="20"/>
          <w:szCs w:val="20"/>
          <w:color w:val="auto"/>
        </w:rPr>
      </w:pPr>
      <w:r>
        <w:rPr>
          <w:rFonts w:ascii="Arial" w:cs="Arial" w:eastAsia="Arial" w:hAnsi="Arial"/>
          <w:sz w:val="18"/>
          <w:szCs w:val="18"/>
          <w:color w:val="auto"/>
        </w:rPr>
        <w:t>UCH – PSP</w:t>
      </w:r>
      <w:r>
        <w:rPr>
          <w:sz w:val="20"/>
          <w:szCs w:val="20"/>
          <w:color w:val="auto"/>
        </w:rPr>
        <w:tab/>
      </w:r>
      <w:r>
        <w:rPr>
          <w:rFonts w:ascii="Arial" w:cs="Arial" w:eastAsia="Arial" w:hAnsi="Arial"/>
          <w:sz w:val="22"/>
          <w:szCs w:val="22"/>
          <w:color w:val="auto"/>
        </w:rPr>
        <w:t>Appendix A-1</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20"/>
          </w:cols>
          <w:pgMar w:left="240" w:top="333" w:right="239" w:bottom="1440" w:gutter="0" w:footer="0" w:header="0"/>
        </w:sectPr>
      </w:pPr>
    </w:p>
    <w:bookmarkStart w:id="120" w:name="page121"/>
    <w:bookmarkEnd w:id="120"/>
    <w:p>
      <w:pPr>
        <w:ind w:left="660" w:right="20" w:hanging="328"/>
        <w:spacing w:after="0" w:line="25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retropay created by execution of a collective bargaining agreement, unless the collective bargaining agreement requires inclusion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reimbursable cleaning</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Employer contributions to employee benefit plans</w:t>
      </w:r>
    </w:p>
    <w:p>
      <w:pPr>
        <w:spacing w:after="0" w:line="3"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solely for purposes of making an award payment under this Plan, judicial or administrative awards for grievance pay or back pay (including settlements thereof)</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imputed income for employee or dependent life insurance coverage</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imputed income from pass service charges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taxable travel</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imputed income from domestic partner benefits</w:t>
      </w:r>
    </w:p>
    <w:p>
      <w:pPr>
        <w:spacing w:after="0" w:line="3" w:lineRule="exact"/>
        <w:rPr>
          <w:rFonts w:ascii="Arial" w:cs="Arial" w:eastAsia="Arial" w:hAnsi="Arial"/>
          <w:sz w:val="18"/>
          <w:szCs w:val="18"/>
          <w:color w:val="auto"/>
        </w:rPr>
      </w:pPr>
    </w:p>
    <w:p>
      <w:pPr>
        <w:jc w:val="both"/>
        <w:ind w:left="660" w:hanging="328"/>
        <w:spacing w:after="0" w:line="24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cash payments made pursuant to any agreement, program, arrangement or plan designed to compensate an employee for amounts that may not be credited or allocated to the employee under a qualified retirement plan due to limitations imposed by tax laws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taxable fringe benefits, including taxable reimbursement of insurance premiums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expatriate allowances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hiring bonuses or other special payments relating to the initiation of employment</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amounts realized with respect to restricted stock, non-qualified stock options or stock appreciation rights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lost luggage advance</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interest payments</w:t>
      </w:r>
    </w:p>
    <w:p>
      <w:pPr>
        <w:spacing w:after="0" w:line="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9"/>
          <w:szCs w:val="19"/>
          <w:color w:val="auto"/>
        </w:rPr>
        <w:t>taxable distributions of the Company’s common stock or notes (including cash in lieu of such stock or notes) made in connection with UAL Corporation’s confirmed plan of reorganization under Chapter 11 of the U.S. Bankruptcy Code</w:t>
      </w:r>
    </w:p>
    <w:p>
      <w:pPr>
        <w:spacing w:after="0" w:line="1" w:lineRule="exact"/>
        <w:rPr>
          <w:rFonts w:ascii="Arial" w:cs="Arial" w:eastAsia="Arial" w:hAnsi="Arial"/>
          <w:sz w:val="16"/>
          <w:szCs w:val="16"/>
          <w:color w:val="auto"/>
        </w:rPr>
      </w:pPr>
    </w:p>
    <w:p>
      <w:pPr>
        <w:ind w:left="660" w:right="20" w:hanging="328"/>
        <w:spacing w:after="0" w:line="24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payments made to employees domiciled outside of the United States that are in lieu of Employer contributions to a retirement plan</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any amount counted as wages under this Plan or any other profit sharing plan for a prior Award Year.</w:t>
      </w:r>
    </w:p>
    <w:p>
      <w:pPr>
        <w:spacing w:after="0" w:line="200" w:lineRule="exact"/>
        <w:rPr>
          <w:sz w:val="20"/>
          <w:szCs w:val="20"/>
          <w:color w:val="auto"/>
        </w:rPr>
      </w:pP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22"/>
          <w:szCs w:val="22"/>
          <w:b w:val="1"/>
          <w:bCs w:val="1"/>
          <w:color w:val="auto"/>
        </w:rPr>
        <w:t xml:space="preserve">A-3. </w:t>
      </w:r>
      <w:r>
        <w:rPr>
          <w:rFonts w:ascii="Arial" w:cs="Arial" w:eastAsia="Arial" w:hAnsi="Arial"/>
          <w:sz w:val="22"/>
          <w:szCs w:val="22"/>
          <w:b w:val="1"/>
          <w:bCs w:val="1"/>
          <w:u w:val="single" w:color="auto"/>
          <w:color w:val="auto"/>
        </w:rPr>
        <w:t>Special Crediting Rule</w:t>
      </w:r>
      <w:r>
        <w:rPr>
          <w:rFonts w:ascii="Arial" w:cs="Arial" w:eastAsia="Arial" w:hAnsi="Arial"/>
          <w:sz w:val="22"/>
          <w:szCs w:val="22"/>
          <w:b w:val="1"/>
          <w:bCs w:val="1"/>
          <w:color w:val="auto"/>
        </w:rPr>
        <w:t xml:space="preserve">. </w:t>
      </w:r>
      <w:r>
        <w:rPr>
          <w:rFonts w:ascii="Arial" w:cs="Arial" w:eastAsia="Arial" w:hAnsi="Arial"/>
          <w:sz w:val="22"/>
          <w:szCs w:val="22"/>
          <w:color w:val="auto"/>
        </w:rPr>
        <w:t>For purposes of allocating Wages earned by a Qualified Employee for services rendered during a</w:t>
      </w:r>
      <w:r>
        <w:rPr>
          <w:rFonts w:ascii="Arial" w:cs="Arial" w:eastAsia="Arial" w:hAnsi="Arial"/>
          <w:sz w:val="22"/>
          <w:szCs w:val="22"/>
          <w:b w:val="1"/>
          <w:bCs w:val="1"/>
          <w:color w:val="auto"/>
        </w:rPr>
        <w:t xml:space="preserve"> </w:t>
      </w:r>
      <w:r>
        <w:rPr>
          <w:rFonts w:ascii="Arial" w:cs="Arial" w:eastAsia="Arial" w:hAnsi="Arial"/>
          <w:sz w:val="22"/>
          <w:szCs w:val="22"/>
          <w:color w:val="auto"/>
        </w:rPr>
        <w:t>Plan Year but received following termination of employment, such Wages will be treated as received on the Qualified Employee’s last day of employment with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020" w:val="left"/>
          <w:tab w:leader="none" w:pos="2440" w:val="left"/>
        </w:tabs>
        <w:rPr>
          <w:sz w:val="20"/>
          <w:szCs w:val="20"/>
          <w:color w:val="auto"/>
        </w:rPr>
      </w:pPr>
      <w:r>
        <w:rPr>
          <w:rFonts w:ascii="Arial" w:cs="Arial" w:eastAsia="Arial" w:hAnsi="Arial"/>
          <w:sz w:val="18"/>
          <w:szCs w:val="18"/>
          <w:color w:val="auto"/>
        </w:rPr>
        <w:t>UCH – PSP</w:t>
      </w:r>
      <w:r>
        <w:rPr>
          <w:sz w:val="20"/>
          <w:szCs w:val="20"/>
          <w:color w:val="auto"/>
        </w:rPr>
        <w:tab/>
      </w:r>
      <w:r>
        <w:rPr>
          <w:rFonts w:ascii="Arial" w:cs="Arial" w:eastAsia="Arial" w:hAnsi="Arial"/>
          <w:sz w:val="22"/>
          <w:szCs w:val="22"/>
          <w:color w:val="auto"/>
        </w:rPr>
        <w:t>Appendix A-2</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20"/>
          </w:cols>
          <w:pgMar w:left="240" w:top="348" w:right="23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22"/>
          <w:szCs w:val="22"/>
          <w:b w:val="1"/>
          <w:bCs w:val="1"/>
          <w:color w:val="auto"/>
        </w:rPr>
        <w:t>APPENDIX B - FACTORS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90" w:type="dxa"/>
        <w:tblCellMar>
          <w:top w:w="0" w:type="dxa"/>
          <w:left w:w="0" w:type="dxa"/>
          <w:bottom w:w="0" w:type="dxa"/>
          <w:right w:w="0" w:type="dxa"/>
        </w:tblCellMar>
      </w:tblPr>
      <w:tr>
        <w:trPr>
          <w:trHeight w:val="166"/>
        </w:trPr>
        <w:tc>
          <w:tcPr>
            <w:tcW w:w="40" w:type="dxa"/>
            <w:vAlign w:val="bottom"/>
            <w:tcBorders>
              <w:top w:val="single" w:sz="8" w:color="00000A"/>
              <w:left w:val="single" w:sz="8" w:color="00000A"/>
            </w:tcBorders>
            <w:shd w:val="clear" w:color="auto" w:fill="BFBFBF"/>
          </w:tcPr>
          <w:p>
            <w:pPr>
              <w:spacing w:after="0"/>
              <w:rPr>
                <w:sz w:val="14"/>
                <w:szCs w:val="14"/>
                <w:color w:val="auto"/>
              </w:rPr>
            </w:pPr>
          </w:p>
        </w:tc>
        <w:tc>
          <w:tcPr>
            <w:tcW w:w="780" w:type="dxa"/>
            <w:vAlign w:val="bottom"/>
            <w:tcBorders>
              <w:top w:val="single" w:sz="8" w:color="00000A"/>
            </w:tcBorders>
            <w:shd w:val="clear" w:color="auto" w:fill="BFBFBF"/>
          </w:tcPr>
          <w:p>
            <w:pPr>
              <w:spacing w:after="0"/>
              <w:rPr>
                <w:sz w:val="14"/>
                <w:szCs w:val="14"/>
                <w:color w:val="auto"/>
              </w:rPr>
            </w:pPr>
          </w:p>
        </w:tc>
        <w:tc>
          <w:tcPr>
            <w:tcW w:w="300" w:type="dxa"/>
            <w:vAlign w:val="bottom"/>
            <w:tcBorders>
              <w:top w:val="single" w:sz="8" w:color="00000A"/>
            </w:tcBorders>
            <w:shd w:val="clear" w:color="auto" w:fill="BFBFBF"/>
          </w:tcPr>
          <w:p>
            <w:pPr>
              <w:spacing w:after="0"/>
              <w:rPr>
                <w:sz w:val="14"/>
                <w:szCs w:val="14"/>
                <w:color w:val="auto"/>
              </w:rPr>
            </w:pPr>
          </w:p>
        </w:tc>
        <w:tc>
          <w:tcPr>
            <w:tcW w:w="2880" w:type="dxa"/>
            <w:vAlign w:val="bottom"/>
            <w:tcBorders>
              <w:top w:val="single" w:sz="8" w:color="00000A"/>
              <w:right w:val="single" w:sz="8" w:color="00000A"/>
            </w:tcBorders>
            <w:vMerge w:val="restart"/>
            <w:shd w:val="clear" w:color="auto" w:fill="BFBFBF"/>
          </w:tcPr>
          <w:p>
            <w:pPr>
              <w:ind w:left="460"/>
              <w:spacing w:after="0"/>
              <w:rPr>
                <w:sz w:val="20"/>
                <w:szCs w:val="20"/>
                <w:color w:val="auto"/>
              </w:rPr>
            </w:pPr>
            <w:r>
              <w:rPr>
                <w:rFonts w:ascii="Arial" w:cs="Arial" w:eastAsia="Arial" w:hAnsi="Arial"/>
                <w:sz w:val="14"/>
                <w:szCs w:val="14"/>
                <w:b w:val="1"/>
                <w:bCs w:val="1"/>
                <w:color w:val="auto"/>
              </w:rPr>
              <w:t>Labor Group</w:t>
            </w:r>
          </w:p>
        </w:tc>
        <w:tc>
          <w:tcPr>
            <w:tcW w:w="2720" w:type="dxa"/>
            <w:vAlign w:val="bottom"/>
            <w:tcBorders>
              <w:top w:val="single" w:sz="8" w:color="00000A"/>
              <w:right w:val="single" w:sz="8" w:color="00000A"/>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Union Representation</w:t>
            </w:r>
          </w:p>
        </w:tc>
        <w:tc>
          <w:tcPr>
            <w:tcW w:w="2500" w:type="dxa"/>
            <w:vAlign w:val="bottom"/>
            <w:tcBorders>
              <w:top w:val="single" w:sz="8" w:color="00000A"/>
              <w:right w:val="single" w:sz="8" w:color="00000A"/>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7"/>
              </w:rPr>
              <w:t>Factor for</w:t>
            </w:r>
          </w:p>
        </w:tc>
        <w:tc>
          <w:tcPr>
            <w:tcW w:w="2140" w:type="dxa"/>
            <w:vAlign w:val="bottom"/>
            <w:tcBorders>
              <w:top w:val="single" w:sz="8" w:color="00000A"/>
              <w:right w:val="single" w:sz="8" w:color="00000A"/>
            </w:tcBorders>
            <w:shd w:val="clear" w:color="auto" w:fill="BFBFBF"/>
          </w:tcPr>
          <w:p>
            <w:pPr>
              <w:jc w:val="right"/>
              <w:ind w:right="708"/>
              <w:spacing w:after="0"/>
              <w:rPr>
                <w:sz w:val="20"/>
                <w:szCs w:val="20"/>
                <w:color w:val="auto"/>
              </w:rPr>
            </w:pPr>
            <w:r>
              <w:rPr>
                <w:rFonts w:ascii="Arial" w:cs="Arial" w:eastAsia="Arial" w:hAnsi="Arial"/>
                <w:sz w:val="14"/>
                <w:szCs w:val="14"/>
                <w:b w:val="1"/>
                <w:bCs w:val="1"/>
                <w:color w:val="auto"/>
              </w:rPr>
              <w:t>Factor for</w:t>
            </w:r>
          </w:p>
        </w:tc>
        <w:tc>
          <w:tcPr>
            <w:tcW w:w="0" w:type="dxa"/>
            <w:vAlign w:val="bottom"/>
          </w:tcPr>
          <w:p>
            <w:pPr>
              <w:spacing w:after="0"/>
              <w:rPr>
                <w:sz w:val="1"/>
                <w:szCs w:val="1"/>
                <w:color w:val="auto"/>
              </w:rPr>
            </w:pPr>
          </w:p>
        </w:tc>
      </w:tr>
      <w:tr>
        <w:trPr>
          <w:trHeight w:val="105"/>
        </w:trPr>
        <w:tc>
          <w:tcPr>
            <w:tcW w:w="40" w:type="dxa"/>
            <w:vAlign w:val="bottom"/>
            <w:tcBorders>
              <w:left w:val="single" w:sz="8" w:color="00000A"/>
            </w:tcBorders>
            <w:shd w:val="clear" w:color="auto" w:fill="BFBFBF"/>
          </w:tcPr>
          <w:p>
            <w:pPr>
              <w:spacing w:after="0"/>
              <w:rPr>
                <w:sz w:val="9"/>
                <w:szCs w:val="9"/>
                <w:color w:val="auto"/>
              </w:rPr>
            </w:pPr>
          </w:p>
        </w:tc>
        <w:tc>
          <w:tcPr>
            <w:tcW w:w="780" w:type="dxa"/>
            <w:vAlign w:val="bottom"/>
            <w:shd w:val="clear" w:color="auto" w:fill="BFBFBF"/>
          </w:tcPr>
          <w:p>
            <w:pPr>
              <w:spacing w:after="0"/>
              <w:rPr>
                <w:sz w:val="9"/>
                <w:szCs w:val="9"/>
                <w:color w:val="auto"/>
              </w:rPr>
            </w:pPr>
          </w:p>
        </w:tc>
        <w:tc>
          <w:tcPr>
            <w:tcW w:w="300" w:type="dxa"/>
            <w:vAlign w:val="bottom"/>
            <w:shd w:val="clear" w:color="auto" w:fill="BFBFBF"/>
          </w:tcPr>
          <w:p>
            <w:pPr>
              <w:spacing w:after="0"/>
              <w:rPr>
                <w:sz w:val="9"/>
                <w:szCs w:val="9"/>
                <w:color w:val="auto"/>
              </w:rPr>
            </w:pPr>
          </w:p>
        </w:tc>
        <w:tc>
          <w:tcPr>
            <w:tcW w:w="2880" w:type="dxa"/>
            <w:vAlign w:val="bottom"/>
            <w:tcBorders>
              <w:right w:val="single" w:sz="8" w:color="00000A"/>
            </w:tcBorders>
            <w:vMerge w:val="continue"/>
            <w:shd w:val="clear" w:color="auto" w:fill="BFBFBF"/>
          </w:tcPr>
          <w:p>
            <w:pPr>
              <w:spacing w:after="0"/>
              <w:rPr>
                <w:sz w:val="9"/>
                <w:szCs w:val="9"/>
                <w:color w:val="auto"/>
              </w:rPr>
            </w:pPr>
          </w:p>
        </w:tc>
        <w:tc>
          <w:tcPr>
            <w:tcW w:w="2720" w:type="dxa"/>
            <w:vAlign w:val="bottom"/>
            <w:tcBorders>
              <w:right w:val="single" w:sz="8" w:color="00000A"/>
            </w:tcBorders>
            <w:vMerge w:val="continue"/>
            <w:shd w:val="clear" w:color="auto" w:fill="BFBFBF"/>
          </w:tcPr>
          <w:p>
            <w:pPr>
              <w:spacing w:after="0"/>
              <w:rPr>
                <w:sz w:val="9"/>
                <w:szCs w:val="9"/>
                <w:color w:val="auto"/>
              </w:rPr>
            </w:pPr>
          </w:p>
        </w:tc>
        <w:tc>
          <w:tcPr>
            <w:tcW w:w="2500" w:type="dxa"/>
            <w:vAlign w:val="bottom"/>
            <w:tcBorders>
              <w:right w:val="single" w:sz="8" w:color="00000A"/>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89"/>
              </w:rPr>
              <w:t>Base Percentage A</w:t>
            </w:r>
          </w:p>
        </w:tc>
        <w:tc>
          <w:tcPr>
            <w:tcW w:w="2140" w:type="dxa"/>
            <w:vAlign w:val="bottom"/>
            <w:tcBorders>
              <w:right w:val="single" w:sz="8" w:color="00000A"/>
            </w:tcBorders>
            <w:vMerge w:val="restart"/>
            <w:shd w:val="clear" w:color="auto" w:fill="BFBFBF"/>
          </w:tcPr>
          <w:p>
            <w:pPr>
              <w:jc w:val="right"/>
              <w:ind w:right="448"/>
              <w:spacing w:after="0"/>
              <w:rPr>
                <w:sz w:val="20"/>
                <w:szCs w:val="20"/>
                <w:color w:val="auto"/>
              </w:rPr>
            </w:pPr>
            <w:r>
              <w:rPr>
                <w:rFonts w:ascii="Arial" w:cs="Arial" w:eastAsia="Arial" w:hAnsi="Arial"/>
                <w:sz w:val="14"/>
                <w:szCs w:val="14"/>
                <w:b w:val="1"/>
                <w:bCs w:val="1"/>
                <w:color w:val="auto"/>
              </w:rPr>
              <w:t>Base Percentage B</w:t>
            </w:r>
          </w:p>
        </w:tc>
        <w:tc>
          <w:tcPr>
            <w:tcW w:w="0" w:type="dxa"/>
            <w:vAlign w:val="bottom"/>
          </w:tcPr>
          <w:p>
            <w:pPr>
              <w:spacing w:after="0"/>
              <w:rPr>
                <w:sz w:val="1"/>
                <w:szCs w:val="1"/>
                <w:color w:val="auto"/>
              </w:rPr>
            </w:pPr>
          </w:p>
        </w:tc>
      </w:tr>
      <w:tr>
        <w:trPr>
          <w:trHeight w:val="87"/>
        </w:trPr>
        <w:tc>
          <w:tcPr>
            <w:tcW w:w="40" w:type="dxa"/>
            <w:vAlign w:val="bottom"/>
            <w:tcBorders>
              <w:left w:val="single" w:sz="8" w:color="00000A"/>
              <w:bottom w:val="single" w:sz="8" w:color="00000A"/>
            </w:tcBorders>
            <w:shd w:val="clear" w:color="auto" w:fill="BFBFBF"/>
          </w:tcPr>
          <w:p>
            <w:pPr>
              <w:spacing w:after="0"/>
              <w:rPr>
                <w:sz w:val="7"/>
                <w:szCs w:val="7"/>
                <w:color w:val="auto"/>
              </w:rPr>
            </w:pPr>
          </w:p>
        </w:tc>
        <w:tc>
          <w:tcPr>
            <w:tcW w:w="780" w:type="dxa"/>
            <w:vAlign w:val="bottom"/>
            <w:tcBorders>
              <w:bottom w:val="single" w:sz="8" w:color="00000A"/>
            </w:tcBorders>
            <w:shd w:val="clear" w:color="auto" w:fill="BFBFBF"/>
          </w:tcPr>
          <w:p>
            <w:pPr>
              <w:spacing w:after="0"/>
              <w:rPr>
                <w:sz w:val="7"/>
                <w:szCs w:val="7"/>
                <w:color w:val="auto"/>
              </w:rPr>
            </w:pPr>
          </w:p>
        </w:tc>
        <w:tc>
          <w:tcPr>
            <w:tcW w:w="300" w:type="dxa"/>
            <w:vAlign w:val="bottom"/>
            <w:tcBorders>
              <w:bottom w:val="single" w:sz="8" w:color="00000A"/>
            </w:tcBorders>
            <w:shd w:val="clear" w:color="auto" w:fill="BFBFBF"/>
          </w:tcPr>
          <w:p>
            <w:pPr>
              <w:spacing w:after="0"/>
              <w:rPr>
                <w:sz w:val="7"/>
                <w:szCs w:val="7"/>
                <w:color w:val="auto"/>
              </w:rPr>
            </w:pPr>
          </w:p>
        </w:tc>
        <w:tc>
          <w:tcPr>
            <w:tcW w:w="2880" w:type="dxa"/>
            <w:vAlign w:val="bottom"/>
            <w:tcBorders>
              <w:bottom w:val="single" w:sz="8" w:color="00000A"/>
              <w:right w:val="single" w:sz="8" w:color="00000A"/>
            </w:tcBorders>
            <w:shd w:val="clear" w:color="auto" w:fill="BFBFBF"/>
          </w:tcPr>
          <w:p>
            <w:pPr>
              <w:spacing w:after="0"/>
              <w:rPr>
                <w:sz w:val="7"/>
                <w:szCs w:val="7"/>
                <w:color w:val="auto"/>
              </w:rPr>
            </w:pPr>
          </w:p>
        </w:tc>
        <w:tc>
          <w:tcPr>
            <w:tcW w:w="2720" w:type="dxa"/>
            <w:vAlign w:val="bottom"/>
            <w:tcBorders>
              <w:bottom w:val="single" w:sz="8" w:color="00000A"/>
              <w:right w:val="single" w:sz="8" w:color="00000A"/>
            </w:tcBorders>
            <w:shd w:val="clear" w:color="auto" w:fill="BFBFBF"/>
          </w:tcPr>
          <w:p>
            <w:pPr>
              <w:spacing w:after="0"/>
              <w:rPr>
                <w:sz w:val="7"/>
                <w:szCs w:val="7"/>
                <w:color w:val="auto"/>
              </w:rPr>
            </w:pPr>
          </w:p>
        </w:tc>
        <w:tc>
          <w:tcPr>
            <w:tcW w:w="2500" w:type="dxa"/>
            <w:vAlign w:val="bottom"/>
            <w:tcBorders>
              <w:bottom w:val="single" w:sz="8" w:color="00000A"/>
              <w:right w:val="single" w:sz="8" w:color="00000A"/>
            </w:tcBorders>
            <w:vMerge w:val="continue"/>
            <w:shd w:val="clear" w:color="auto" w:fill="BFBFBF"/>
          </w:tcPr>
          <w:p>
            <w:pPr>
              <w:spacing w:after="0"/>
              <w:rPr>
                <w:sz w:val="7"/>
                <w:szCs w:val="7"/>
                <w:color w:val="auto"/>
              </w:rPr>
            </w:pPr>
          </w:p>
        </w:tc>
        <w:tc>
          <w:tcPr>
            <w:tcW w:w="2140" w:type="dxa"/>
            <w:vAlign w:val="bottom"/>
            <w:tcBorders>
              <w:bottom w:val="single" w:sz="8" w:color="00000A"/>
              <w:right w:val="single" w:sz="8" w:color="00000A"/>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00000A"/>
            </w:tcBorders>
          </w:tcPr>
          <w:p>
            <w:pPr>
              <w:spacing w:after="0"/>
              <w:rPr>
                <w:sz w:val="16"/>
                <w:szCs w:val="16"/>
                <w:color w:val="auto"/>
              </w:rPr>
            </w:pPr>
          </w:p>
        </w:tc>
        <w:tc>
          <w:tcPr>
            <w:tcW w:w="3960" w:type="dxa"/>
            <w:vAlign w:val="bottom"/>
            <w:tcBorders>
              <w:right w:val="single" w:sz="8" w:color="00000A"/>
            </w:tcBorders>
            <w:gridSpan w:val="3"/>
          </w:tcPr>
          <w:p>
            <w:pPr>
              <w:spacing w:after="0"/>
              <w:rPr>
                <w:sz w:val="20"/>
                <w:szCs w:val="20"/>
                <w:color w:val="auto"/>
              </w:rPr>
            </w:pPr>
            <w:r>
              <w:rPr>
                <w:rFonts w:ascii="Arial" w:cs="Arial" w:eastAsia="Arial" w:hAnsi="Arial"/>
                <w:sz w:val="14"/>
                <w:szCs w:val="14"/>
                <w:b w:val="1"/>
                <w:bCs w:val="1"/>
                <w:color w:val="auto"/>
              </w:rPr>
              <w:t>Represented</w:t>
            </w:r>
          </w:p>
        </w:tc>
        <w:tc>
          <w:tcPr>
            <w:tcW w:w="2720" w:type="dxa"/>
            <w:vAlign w:val="bottom"/>
            <w:tcBorders>
              <w:right w:val="single" w:sz="8" w:color="00000A"/>
            </w:tcBorders>
          </w:tcPr>
          <w:p>
            <w:pPr>
              <w:spacing w:after="0"/>
              <w:rPr>
                <w:sz w:val="16"/>
                <w:szCs w:val="16"/>
                <w:color w:val="auto"/>
              </w:rPr>
            </w:pPr>
          </w:p>
        </w:tc>
        <w:tc>
          <w:tcPr>
            <w:tcW w:w="2500" w:type="dxa"/>
            <w:vAlign w:val="bottom"/>
            <w:tcBorders>
              <w:right w:val="single" w:sz="8" w:color="00000A"/>
            </w:tcBorders>
          </w:tcPr>
          <w:p>
            <w:pPr>
              <w:spacing w:after="0"/>
              <w:rPr>
                <w:sz w:val="16"/>
                <w:szCs w:val="16"/>
                <w:color w:val="auto"/>
              </w:rPr>
            </w:pPr>
          </w:p>
        </w:tc>
        <w:tc>
          <w:tcPr>
            <w:tcW w:w="21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00000A"/>
              <w:bottom w:val="single" w:sz="8" w:color="00000A"/>
            </w:tcBorders>
          </w:tcPr>
          <w:p>
            <w:pPr>
              <w:spacing w:after="0"/>
              <w:rPr>
                <w:sz w:val="5"/>
                <w:szCs w:val="5"/>
                <w:color w:val="auto"/>
              </w:rPr>
            </w:pPr>
          </w:p>
        </w:tc>
        <w:tc>
          <w:tcPr>
            <w:tcW w:w="780" w:type="dxa"/>
            <w:vAlign w:val="bottom"/>
            <w:tcBorders>
              <w:top w:val="single" w:sz="8" w:color="auto"/>
              <w:bottom w:val="single" w:sz="8" w:color="00000A"/>
            </w:tcBorders>
          </w:tcPr>
          <w:p>
            <w:pPr>
              <w:spacing w:after="0"/>
              <w:rPr>
                <w:sz w:val="5"/>
                <w:szCs w:val="5"/>
                <w:color w:val="auto"/>
              </w:rPr>
            </w:pPr>
          </w:p>
        </w:tc>
        <w:tc>
          <w:tcPr>
            <w:tcW w:w="300" w:type="dxa"/>
            <w:vAlign w:val="bottom"/>
            <w:tcBorders>
              <w:bottom w:val="single" w:sz="8" w:color="00000A"/>
            </w:tcBorders>
          </w:tcPr>
          <w:p>
            <w:pPr>
              <w:spacing w:after="0"/>
              <w:rPr>
                <w:sz w:val="5"/>
                <w:szCs w:val="5"/>
                <w:color w:val="auto"/>
              </w:rPr>
            </w:pPr>
          </w:p>
        </w:tc>
        <w:tc>
          <w:tcPr>
            <w:tcW w:w="2880" w:type="dxa"/>
            <w:vAlign w:val="bottom"/>
            <w:tcBorders>
              <w:bottom w:val="single" w:sz="8" w:color="00000A"/>
              <w:right w:val="single" w:sz="8" w:color="00000A"/>
            </w:tcBorders>
          </w:tcPr>
          <w:p>
            <w:pPr>
              <w:spacing w:after="0"/>
              <w:rPr>
                <w:sz w:val="5"/>
                <w:szCs w:val="5"/>
                <w:color w:val="auto"/>
              </w:rPr>
            </w:pPr>
          </w:p>
        </w:tc>
        <w:tc>
          <w:tcPr>
            <w:tcW w:w="2720" w:type="dxa"/>
            <w:vAlign w:val="bottom"/>
            <w:tcBorders>
              <w:bottom w:val="single" w:sz="8" w:color="00000A"/>
              <w:right w:val="single" w:sz="8" w:color="00000A"/>
            </w:tcBorders>
          </w:tcPr>
          <w:p>
            <w:pPr>
              <w:spacing w:after="0"/>
              <w:rPr>
                <w:sz w:val="5"/>
                <w:szCs w:val="5"/>
                <w:color w:val="auto"/>
              </w:rPr>
            </w:pPr>
          </w:p>
        </w:tc>
        <w:tc>
          <w:tcPr>
            <w:tcW w:w="2500" w:type="dxa"/>
            <w:vAlign w:val="bottom"/>
            <w:tcBorders>
              <w:bottom w:val="single" w:sz="8" w:color="00000A"/>
              <w:right w:val="single" w:sz="8" w:color="00000A"/>
            </w:tcBorders>
          </w:tcPr>
          <w:p>
            <w:pPr>
              <w:spacing w:after="0"/>
              <w:rPr>
                <w:sz w:val="5"/>
                <w:szCs w:val="5"/>
                <w:color w:val="auto"/>
              </w:rPr>
            </w:pPr>
          </w:p>
        </w:tc>
        <w:tc>
          <w:tcPr>
            <w:tcW w:w="2140" w:type="dxa"/>
            <w:vAlign w:val="bottom"/>
            <w:tcBorders>
              <w:bottom w:val="single" w:sz="8" w:color="00000A"/>
              <w:right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00000A"/>
              <w:bottom w:val="single" w:sz="8" w:color="00000A"/>
            </w:tcBorders>
          </w:tcPr>
          <w:p>
            <w:pPr>
              <w:spacing w:after="0"/>
              <w:rPr>
                <w:sz w:val="16"/>
                <w:szCs w:val="16"/>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Central Load Planners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IAM</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Customer Service Representatives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IAM</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Dispatchers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8"/>
              </w:rPr>
              <w:t>PAFCA</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Fleet Service Employees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IAM</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Flight Attendants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5"/>
              </w:rPr>
              <w:t>AFA</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89"/>
              </w:rPr>
              <w:t>10</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Maintenance Instructors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IAM</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Pilots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ALPA</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89"/>
              </w:rPr>
              <w:t>10</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Reservations Representatives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IAM</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Simulator Technicians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IBT</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Storekeeper Employees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IAM</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Technicians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IBT</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Tech Ops Maintenance Controllers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IBT</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Catering Operations</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UH</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40" w:type="dxa"/>
            <w:vAlign w:val="bottom"/>
            <w:tcBorders>
              <w:left w:val="single" w:sz="8" w:color="00000A"/>
            </w:tcBorders>
          </w:tcPr>
          <w:p>
            <w:pPr>
              <w:spacing w:after="0"/>
              <w:rPr>
                <w:sz w:val="16"/>
                <w:szCs w:val="16"/>
                <w:color w:val="auto"/>
              </w:rPr>
            </w:pPr>
          </w:p>
        </w:tc>
        <w:tc>
          <w:tcPr>
            <w:tcW w:w="3960" w:type="dxa"/>
            <w:vAlign w:val="bottom"/>
            <w:tcBorders>
              <w:right w:val="single" w:sz="8" w:color="00000A"/>
            </w:tcBorders>
            <w:gridSpan w:val="3"/>
          </w:tcPr>
          <w:p>
            <w:pPr>
              <w:spacing w:after="0"/>
              <w:rPr>
                <w:sz w:val="20"/>
                <w:szCs w:val="20"/>
                <w:color w:val="auto"/>
              </w:rPr>
            </w:pPr>
            <w:r>
              <w:rPr>
                <w:rFonts w:ascii="Arial" w:cs="Arial" w:eastAsia="Arial" w:hAnsi="Arial"/>
                <w:sz w:val="14"/>
                <w:szCs w:val="14"/>
                <w:b w:val="1"/>
                <w:bCs w:val="1"/>
                <w:color w:val="auto"/>
              </w:rPr>
              <w:t>Non-Represented</w:t>
            </w:r>
          </w:p>
        </w:tc>
        <w:tc>
          <w:tcPr>
            <w:tcW w:w="2720" w:type="dxa"/>
            <w:vAlign w:val="bottom"/>
            <w:tcBorders>
              <w:right w:val="single" w:sz="8" w:color="00000A"/>
            </w:tcBorders>
          </w:tcPr>
          <w:p>
            <w:pPr>
              <w:spacing w:after="0"/>
              <w:rPr>
                <w:sz w:val="16"/>
                <w:szCs w:val="16"/>
                <w:color w:val="auto"/>
              </w:rPr>
            </w:pPr>
          </w:p>
        </w:tc>
        <w:tc>
          <w:tcPr>
            <w:tcW w:w="2500" w:type="dxa"/>
            <w:vAlign w:val="bottom"/>
            <w:tcBorders>
              <w:right w:val="single" w:sz="8" w:color="00000A"/>
            </w:tcBorders>
          </w:tcPr>
          <w:p>
            <w:pPr>
              <w:spacing w:after="0"/>
              <w:rPr>
                <w:sz w:val="16"/>
                <w:szCs w:val="16"/>
                <w:color w:val="auto"/>
              </w:rPr>
            </w:pPr>
          </w:p>
        </w:tc>
        <w:tc>
          <w:tcPr>
            <w:tcW w:w="21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00000A"/>
              <w:bottom w:val="single" w:sz="8" w:color="00000A"/>
            </w:tcBorders>
          </w:tcPr>
          <w:p>
            <w:pPr>
              <w:spacing w:after="0"/>
              <w:rPr>
                <w:sz w:val="5"/>
                <w:szCs w:val="5"/>
                <w:color w:val="auto"/>
              </w:rPr>
            </w:pPr>
          </w:p>
        </w:tc>
        <w:tc>
          <w:tcPr>
            <w:tcW w:w="780" w:type="dxa"/>
            <w:vAlign w:val="bottom"/>
            <w:tcBorders>
              <w:top w:val="single" w:sz="8" w:color="auto"/>
              <w:bottom w:val="single" w:sz="8" w:color="00000A"/>
            </w:tcBorders>
          </w:tcPr>
          <w:p>
            <w:pPr>
              <w:spacing w:after="0"/>
              <w:rPr>
                <w:sz w:val="5"/>
                <w:szCs w:val="5"/>
                <w:color w:val="auto"/>
              </w:rPr>
            </w:pPr>
          </w:p>
        </w:tc>
        <w:tc>
          <w:tcPr>
            <w:tcW w:w="300" w:type="dxa"/>
            <w:vAlign w:val="bottom"/>
            <w:tcBorders>
              <w:top w:val="single" w:sz="8" w:color="auto"/>
              <w:bottom w:val="single" w:sz="8" w:color="00000A"/>
            </w:tcBorders>
          </w:tcPr>
          <w:p>
            <w:pPr>
              <w:spacing w:after="0"/>
              <w:rPr>
                <w:sz w:val="5"/>
                <w:szCs w:val="5"/>
                <w:color w:val="auto"/>
              </w:rPr>
            </w:pPr>
          </w:p>
        </w:tc>
        <w:tc>
          <w:tcPr>
            <w:tcW w:w="2880" w:type="dxa"/>
            <w:vAlign w:val="bottom"/>
            <w:tcBorders>
              <w:bottom w:val="single" w:sz="8" w:color="00000A"/>
              <w:right w:val="single" w:sz="8" w:color="00000A"/>
            </w:tcBorders>
          </w:tcPr>
          <w:p>
            <w:pPr>
              <w:spacing w:after="0"/>
              <w:rPr>
                <w:sz w:val="5"/>
                <w:szCs w:val="5"/>
                <w:color w:val="auto"/>
              </w:rPr>
            </w:pPr>
          </w:p>
        </w:tc>
        <w:tc>
          <w:tcPr>
            <w:tcW w:w="2720" w:type="dxa"/>
            <w:vAlign w:val="bottom"/>
            <w:tcBorders>
              <w:bottom w:val="single" w:sz="8" w:color="00000A"/>
              <w:right w:val="single" w:sz="8" w:color="00000A"/>
            </w:tcBorders>
          </w:tcPr>
          <w:p>
            <w:pPr>
              <w:spacing w:after="0"/>
              <w:rPr>
                <w:sz w:val="5"/>
                <w:szCs w:val="5"/>
                <w:color w:val="auto"/>
              </w:rPr>
            </w:pPr>
          </w:p>
        </w:tc>
        <w:tc>
          <w:tcPr>
            <w:tcW w:w="2500" w:type="dxa"/>
            <w:vAlign w:val="bottom"/>
            <w:tcBorders>
              <w:bottom w:val="single" w:sz="8" w:color="00000A"/>
              <w:right w:val="single" w:sz="8" w:color="00000A"/>
            </w:tcBorders>
          </w:tcPr>
          <w:p>
            <w:pPr>
              <w:spacing w:after="0"/>
              <w:rPr>
                <w:sz w:val="5"/>
                <w:szCs w:val="5"/>
                <w:color w:val="auto"/>
              </w:rPr>
            </w:pPr>
          </w:p>
        </w:tc>
        <w:tc>
          <w:tcPr>
            <w:tcW w:w="2140" w:type="dxa"/>
            <w:vAlign w:val="bottom"/>
            <w:tcBorders>
              <w:bottom w:val="single" w:sz="8" w:color="00000A"/>
              <w:right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00000A"/>
              <w:bottom w:val="single" w:sz="8" w:color="00000A"/>
            </w:tcBorders>
          </w:tcPr>
          <w:p>
            <w:pPr>
              <w:spacing w:after="0"/>
              <w:rPr>
                <w:sz w:val="16"/>
                <w:szCs w:val="16"/>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Flight Qualified Management</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89"/>
              </w:rPr>
              <w:t>None</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0" w:type="dxa"/>
            <w:vAlign w:val="bottom"/>
            <w:tcBorders>
              <w:left w:val="single" w:sz="8" w:color="00000A"/>
              <w:bottom w:val="single" w:sz="8" w:color="00000A"/>
            </w:tcBorders>
          </w:tcPr>
          <w:p>
            <w:pPr>
              <w:spacing w:after="0"/>
              <w:rPr>
                <w:sz w:val="17"/>
                <w:szCs w:val="17"/>
                <w:color w:val="auto"/>
              </w:rPr>
            </w:pPr>
          </w:p>
        </w:tc>
        <w:tc>
          <w:tcPr>
            <w:tcW w:w="396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4"/>
                <w:szCs w:val="14"/>
                <w:color w:val="auto"/>
              </w:rPr>
              <w:t>Management &amp; Administrative</w:t>
            </w:r>
          </w:p>
        </w:tc>
        <w:tc>
          <w:tcPr>
            <w:tcW w:w="2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89"/>
              </w:rPr>
              <w:t>None</w:t>
            </w:r>
          </w:p>
        </w:tc>
        <w:tc>
          <w:tcPr>
            <w:tcW w:w="2500" w:type="dxa"/>
            <w:vAlign w:val="bottom"/>
            <w:tcBorders>
              <w:bottom w:val="single" w:sz="8" w:color="00000A"/>
              <w:right w:val="single" w:sz="8" w:color="00000A"/>
            </w:tcBorders>
          </w:tcPr>
          <w:p>
            <w:pPr>
              <w:jc w:val="center"/>
              <w:ind w:right="208"/>
              <w:spacing w:after="0"/>
              <w:rPr>
                <w:sz w:val="20"/>
                <w:szCs w:val="20"/>
                <w:color w:val="auto"/>
              </w:rPr>
            </w:pPr>
            <w:r>
              <w:rPr>
                <w:rFonts w:ascii="Arial" w:cs="Arial" w:eastAsia="Arial" w:hAnsi="Arial"/>
                <w:sz w:val="14"/>
                <w:szCs w:val="14"/>
                <w:color w:val="auto"/>
                <w:w w:val="76"/>
              </w:rPr>
              <w:t>5</w:t>
            </w:r>
          </w:p>
        </w:tc>
        <w:tc>
          <w:tcPr>
            <w:tcW w:w="2140" w:type="dxa"/>
            <w:vAlign w:val="bottom"/>
            <w:tcBorders>
              <w:bottom w:val="single" w:sz="8" w:color="00000A"/>
              <w:right w:val="single" w:sz="8" w:color="00000A"/>
            </w:tcBorders>
          </w:tcPr>
          <w:p>
            <w:pPr>
              <w:jc w:val="right"/>
              <w:ind w:right="10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tabs>
          <w:tab w:leader="none" w:pos="1020" w:val="left"/>
          <w:tab w:leader="none" w:pos="2440" w:val="left"/>
        </w:tabs>
        <w:rPr>
          <w:sz w:val="20"/>
          <w:szCs w:val="20"/>
          <w:color w:val="auto"/>
        </w:rPr>
      </w:pPr>
      <w:r>
        <w:rPr>
          <w:rFonts w:ascii="Arial" w:cs="Arial" w:eastAsia="Arial" w:hAnsi="Arial"/>
          <w:sz w:val="18"/>
          <w:szCs w:val="18"/>
          <w:color w:val="auto"/>
        </w:rPr>
        <w:t>UCH – PSP</w:t>
      </w:r>
      <w:r>
        <w:rPr>
          <w:sz w:val="20"/>
          <w:szCs w:val="20"/>
          <w:color w:val="auto"/>
        </w:rPr>
        <w:tab/>
      </w:r>
      <w:r>
        <w:rPr>
          <w:rFonts w:ascii="Arial" w:cs="Arial" w:eastAsia="Arial" w:hAnsi="Arial"/>
          <w:sz w:val="22"/>
          <w:szCs w:val="22"/>
          <w:color w:val="auto"/>
        </w:rPr>
        <w:t>Appendix B-1</w:t>
      </w:r>
      <w:r>
        <w:rPr>
          <w:sz w:val="20"/>
          <w:szCs w:val="20"/>
          <w:color w:val="auto"/>
        </w:rPr>
        <w:tab/>
      </w:r>
      <w:r>
        <w:rPr>
          <w:rFonts w:ascii="Arial" w:cs="Arial" w:eastAsia="Arial" w:hAnsi="Arial"/>
          <w:sz w:val="15"/>
          <w:szCs w:val="15"/>
          <w:color w:val="auto"/>
        </w:rPr>
        <w:t>January 1, 2019</w:t>
      </w:r>
    </w:p>
    <w:p>
      <w:pPr>
        <w:sectPr>
          <w:pgSz w:w="11900" w:h="16838" w:orient="portrait"/>
          <w:cols w:equalWidth="0" w:num="1">
            <w:col w:w="11440"/>
          </w:cols>
          <w:pgMar w:left="240" w:top="342"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Benefits</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Officers of United Airlines Holdings, Inc. (“UAL”) and United Airlines, Inc. receive certain miscellaneous benefits in addition to those set forth in the applicable severance plan or employment agreement. The following is a summary of such benefits, which have been approved by the Compensation Committee of UAL:</w:t>
      </w:r>
    </w:p>
    <w:p>
      <w:pPr>
        <w:spacing w:after="0" w:line="177"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 xml:space="preserve">Executive Life Insurance. </w:t>
      </w:r>
      <w:r>
        <w:rPr>
          <w:rFonts w:ascii="Arial" w:cs="Arial" w:eastAsia="Arial" w:hAnsi="Arial"/>
          <w:sz w:val="16"/>
          <w:szCs w:val="16"/>
          <w:color w:val="auto"/>
        </w:rPr>
        <w:t>All officers receive company-paid basic life insurance in an amount equal to one times their base salary (up to a $500,000</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and group variable universal life insurance in an amount equal to three times their base salary (up to a $3,000,000 maximum).</w:t>
      </w:r>
    </w:p>
    <w:p>
      <w:pPr>
        <w:spacing w:after="0" w:line="11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Annual Executive Physical. </w:t>
      </w:r>
      <w:r>
        <w:rPr>
          <w:rFonts w:ascii="Arial" w:cs="Arial" w:eastAsia="Arial" w:hAnsi="Arial"/>
          <w:sz w:val="18"/>
          <w:szCs w:val="18"/>
          <w:color w:val="auto"/>
        </w:rPr>
        <w:t>The company has made arrangements with certain providers to provide officers a company-paid annual comprehensive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examination.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 Club Fees. </w:t>
      </w:r>
      <w:r>
        <w:rPr>
          <w:rFonts w:ascii="Arial" w:cs="Arial" w:eastAsia="Arial" w:hAnsi="Arial"/>
          <w:sz w:val="18"/>
          <w:szCs w:val="18"/>
          <w:color w:val="auto"/>
        </w:rPr>
        <w:t>Officers are eligible for reimbursement of certain limited health club membership fees (up to an annual limit of $2,500).</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Tax Preparation, Financial Services and Estate/Trust Planning. </w:t>
      </w:r>
      <w:r>
        <w:rPr>
          <w:rFonts w:ascii="Arial" w:cs="Arial" w:eastAsia="Arial" w:hAnsi="Arial"/>
          <w:sz w:val="18"/>
          <w:szCs w:val="18"/>
          <w:color w:val="auto"/>
        </w:rPr>
        <w:t>Officers are eligible for reimbursement for certain services provided by their choice of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financial planner, estate planner or tax attorney/certified tax accountant.</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Relocation Assistance. </w:t>
      </w:r>
      <w:r>
        <w:rPr>
          <w:rFonts w:ascii="Arial" w:cs="Arial" w:eastAsia="Arial" w:hAnsi="Arial"/>
          <w:sz w:val="17"/>
          <w:szCs w:val="17"/>
          <w:color w:val="auto"/>
        </w:rPr>
        <w:t>The company maintains a relocation program to provide for a successful and smooth transition for officers who relocate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joining the company. The program includes the following primary elements: temporary living assistance; reimbursement of normal and customary closing costs associated with a home sale; movement of household goods; assistance with a new home purchase and closing costs; a miscellaneous allowance to cover house hunting, travel and other expenses; and protection for a loss on sale of a home, if needed. In addition, officers are eligible for a tax-gross-up with respect to home sales and new home purchases resulting from such relocation.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The company provides paid parking at the officers’ headquarters location, as well as ORD, IAH and SFO (if applicable).</w:t>
      </w:r>
    </w:p>
    <w:p>
      <w:pPr>
        <w:spacing w:after="0" w:line="225"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 xml:space="preserve">Community Support Travel Program. </w:t>
      </w:r>
      <w:r>
        <w:rPr>
          <w:rFonts w:ascii="Arial" w:cs="Arial" w:eastAsia="Arial" w:hAnsi="Arial"/>
          <w:sz w:val="17"/>
          <w:szCs w:val="17"/>
          <w:color w:val="auto"/>
        </w:rPr>
        <w:t>Officers are able to nominate one or more qualified organizations to receive a donation of up to four domestic coach</w:t>
      </w:r>
      <w:r>
        <w:rPr>
          <w:rFonts w:ascii="Arial" w:cs="Arial" w:eastAsia="Arial" w:hAnsi="Arial"/>
          <w:sz w:val="17"/>
          <w:szCs w:val="17"/>
          <w:b w:val="1"/>
          <w:bCs w:val="1"/>
          <w:color w:val="auto"/>
        </w:rPr>
        <w:t xml:space="preserve"> </w:t>
      </w:r>
      <w:r>
        <w:rPr>
          <w:rFonts w:ascii="Arial" w:cs="Arial" w:eastAsia="Arial" w:hAnsi="Arial"/>
          <w:sz w:val="17"/>
          <w:szCs w:val="17"/>
          <w:color w:val="auto"/>
        </w:rPr>
        <w:t>tickets (or two first class domestic tickets) each year. In addition, each officer can also allocate one annual United Club membership each year.</w:t>
      </w:r>
    </w:p>
    <w:p>
      <w:pPr>
        <w:spacing w:after="0" w:line="1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The company maintains a discretionary time off policy for officers with no-pre-determined limits; vacation scheduling is at the discretion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their leader. There is no payment to officers for unused vacation upon separation from the Company.</w:t>
      </w:r>
    </w:p>
    <w:p>
      <w:pPr>
        <w:sectPr>
          <w:pgSz w:w="11900" w:h="16838" w:orient="portrait"/>
          <w:cols w:equalWidth="0" w:num="1">
            <w:col w:w="11420"/>
          </w:cols>
          <w:pgMar w:left="240" w:top="33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RSU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[Name]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(Stock-Settled)</w:t>
      </w:r>
    </w:p>
    <w:p>
      <w:pPr>
        <w:spacing w:after="0" w:line="117"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Performance Period January 1, 20[</w:t>
        <w:tab/>
        <w:t>] to December 31, 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-7620</wp:posOffset>
            </wp:positionV>
            <wp:extent cx="114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9">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-7620</wp:posOffset>
            </wp:positionV>
            <wp:extent cx="1143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9" w:lineRule="exact"/>
        <w:rPr>
          <w:sz w:val="20"/>
          <w:szCs w:val="20"/>
          <w:color w:val="auto"/>
        </w:rPr>
      </w:pPr>
    </w:p>
    <w:p>
      <w:pPr>
        <w:ind w:right="20" w:firstLine="872"/>
        <w:spacing w:after="0" w:line="288" w:lineRule="auto"/>
        <w:tabs>
          <w:tab w:leader="none" w:pos="104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The Program</w:t>
      </w:r>
      <w:r>
        <w:rPr>
          <w:rFonts w:ascii="Arial" w:cs="Arial" w:eastAsia="Arial" w:hAnsi="Arial"/>
          <w:sz w:val="16"/>
          <w:szCs w:val="16"/>
          <w:color w:val="auto"/>
        </w:rPr>
        <w:t>. This document constitutes your formal Award Notice with respect to an Award of RSUs as a Participant under the United Continental Holdings, Inc. Performance-Based RSU Program (as amended from time to time, the “</w:t>
      </w:r>
      <w:r>
        <w:rPr>
          <w:rFonts w:ascii="Arial" w:cs="Arial" w:eastAsia="Arial" w:hAnsi="Arial"/>
          <w:sz w:val="16"/>
          <w:szCs w:val="16"/>
          <w:u w:val="single" w:color="auto"/>
          <w:color w:val="auto"/>
        </w:rPr>
        <w:t>Program</w:t>
      </w:r>
      <w:r>
        <w:rPr>
          <w:rFonts w:ascii="Arial" w:cs="Arial" w:eastAsia="Arial" w:hAnsi="Arial"/>
          <w:sz w:val="16"/>
          <w:szCs w:val="16"/>
          <w:color w:val="auto"/>
        </w:rPr>
        <w:t>”) adopted under the United Continental Holdings, Inc. 2017 Incentive Compensation Plan (as amended from time to time, the “</w:t>
      </w:r>
      <w:r>
        <w:rPr>
          <w:rFonts w:ascii="Arial" w:cs="Arial" w:eastAsia="Arial" w:hAnsi="Arial"/>
          <w:sz w:val="16"/>
          <w:szCs w:val="16"/>
          <w:u w:val="single" w:color="auto"/>
          <w:color w:val="auto"/>
        </w:rPr>
        <w:t>ICP</w:t>
      </w:r>
      <w:r>
        <w:rPr>
          <w:rFonts w:ascii="Arial" w:cs="Arial" w:eastAsia="Arial" w:hAnsi="Arial"/>
          <w:sz w:val="16"/>
          <w:szCs w:val="16"/>
          <w:color w:val="auto"/>
        </w:rPr>
        <w:t>”). This Award Notice evidences your receipt of an award of RSUs under the</w:t>
      </w:r>
    </w:p>
    <w:p>
      <w:pPr>
        <w:spacing w:after="0"/>
        <w:tabs>
          <w:tab w:leader="none" w:pos="5880" w:val="left"/>
        </w:tabs>
        <w:rPr>
          <w:sz w:val="20"/>
          <w:szCs w:val="20"/>
          <w:color w:val="auto"/>
        </w:rPr>
      </w:pPr>
      <w:r>
        <w:rPr>
          <w:rFonts w:ascii="Arial" w:cs="Arial" w:eastAsia="Arial" w:hAnsi="Arial"/>
          <w:sz w:val="18"/>
          <w:szCs w:val="18"/>
          <w:color w:val="auto"/>
        </w:rPr>
        <w:t>Program with respect to the performance period commencing on January 1, 20[</w:t>
      </w:r>
      <w:r>
        <w:rPr>
          <w:sz w:val="20"/>
          <w:szCs w:val="20"/>
          <w:color w:val="auto"/>
        </w:rPr>
        <w:tab/>
      </w:r>
      <w:r>
        <w:rPr>
          <w:rFonts w:ascii="Arial" w:cs="Arial" w:eastAsia="Arial" w:hAnsi="Arial"/>
          <w:sz w:val="16"/>
          <w:szCs w:val="16"/>
          <w:color w:val="auto"/>
        </w:rPr>
        <w:t>] and ending on December 31, 20[__]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and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-19050</wp:posOffset>
            </wp:positionV>
            <wp:extent cx="114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respect to Performance Goals established by the Committee and set forth below. This Award is subject to the terms of the Program and the ICP. The effective</w:t>
      </w:r>
    </w:p>
    <w:p>
      <w:pPr>
        <w:spacing w:after="0" w:line="3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of your commencement in the Program with respect to this Award is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-19050</wp:posOffset>
            </wp:positionV>
            <wp:extent cx="571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right="80" w:firstLine="872"/>
        <w:spacing w:after="0" w:line="277" w:lineRule="auto"/>
        <w:tabs>
          <w:tab w:leader="none" w:pos="10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Number of RSUs; Performance Measure(s) and Performance Goals</w:t>
      </w:r>
      <w:r>
        <w:rPr>
          <w:rFonts w:ascii="Arial" w:cs="Arial" w:eastAsia="Arial" w:hAnsi="Arial"/>
          <w:sz w:val="18"/>
          <w:szCs w:val="18"/>
          <w:color w:val="auto"/>
        </w:rPr>
        <w:t>. The Committee has established Performance Measure(s) and Performance Goals for this Award. Below are the terms applicable to this Award:</w:t>
      </w:r>
    </w:p>
    <w:p>
      <w:pPr>
        <w:spacing w:after="0" w:line="170" w:lineRule="exact"/>
        <w:rPr>
          <w:sz w:val="20"/>
          <w:szCs w:val="20"/>
          <w:color w:val="auto"/>
        </w:rPr>
      </w:pPr>
    </w:p>
    <w:p>
      <w:pPr>
        <w:ind w:left="1420"/>
        <w:spacing w:after="0"/>
        <w:tabs>
          <w:tab w:leader="none" w:pos="834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The number of RSUs subject to this Award as of the effective date of grant is</w:t>
      </w:r>
      <w:r>
        <w:rPr>
          <w:sz w:val="20"/>
          <w:szCs w:val="20"/>
          <w:color w:val="auto"/>
        </w:rPr>
        <w:tab/>
      </w:r>
      <w:r>
        <w:rPr>
          <w:rFonts w:ascii="Arial" w:cs="Arial" w:eastAsia="Arial" w:hAnsi="Arial"/>
          <w:sz w:val="16"/>
          <w:szCs w:val="16"/>
          <w:color w:val="auto"/>
        </w:rPr>
        <w:t>(stretch level)[, of which ____%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-10160</wp:posOffset>
            </wp:positionV>
            <wp:extent cx="342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RSUs will vest based on the _______ Performance Measure and ___ % of the RSUs will vest based on the __________ Performance Measure</w:t>
      </w:r>
      <w:r>
        <w:rPr>
          <w:rFonts w:ascii="Arial" w:cs="Arial" w:eastAsia="Arial" w:hAnsi="Arial"/>
          <w:sz w:val="24"/>
          <w:szCs w:val="24"/>
          <w:color w:val="auto"/>
          <w:vertAlign w:val="superscript"/>
        </w:rPr>
        <w:t>1</w:t>
      </w:r>
      <w:r>
        <w:rPr>
          <w:rFonts w:ascii="Arial" w:cs="Arial" w:eastAsia="Arial" w:hAnsi="Arial"/>
          <w:sz w:val="17"/>
          <w:szCs w:val="17"/>
          <w:color w:val="auto"/>
        </w:rPr>
        <w:t>].</w:t>
      </w:r>
    </w:p>
    <w:p>
      <w:pPr>
        <w:spacing w:after="0" w:line="142" w:lineRule="exact"/>
        <w:rPr>
          <w:sz w:val="20"/>
          <w:szCs w:val="20"/>
          <w:color w:val="auto"/>
        </w:rPr>
      </w:pPr>
    </w:p>
    <w:p>
      <w:pPr>
        <w:ind w:right="780" w:firstLine="1426"/>
        <w:spacing w:after="0" w:line="282" w:lineRule="auto"/>
        <w:tabs>
          <w:tab w:leader="none" w:pos="1673"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Measure(s) and Performance Goal(s)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has established the following Performance Measure(s)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this Award: [Insert Performance Measure(s)]</w:t>
      </w:r>
    </w:p>
    <w:p>
      <w:pPr>
        <w:spacing w:after="0" w:line="12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[______________ Performance Measure.</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Achievement of the Performance Goal for the Performance Period means that the [Insert</w:t>
      </w:r>
    </w:p>
    <w:p>
      <w:pPr>
        <w:ind w:right="160"/>
        <w:spacing w:after="0" w:line="259" w:lineRule="auto"/>
        <w:rPr>
          <w:sz w:val="20"/>
          <w:szCs w:val="20"/>
          <w:color w:val="auto"/>
        </w:rPr>
      </w:pPr>
      <w:r>
        <w:rPr>
          <w:rFonts w:ascii="Arial" w:cs="Arial" w:eastAsia="Arial" w:hAnsi="Arial"/>
          <w:sz w:val="18"/>
          <w:szCs w:val="18"/>
          <w:color w:val="auto"/>
        </w:rPr>
        <w:t>Performance Measure] achieved by the Company with respect to the Performance Period equals or exceeds the Entry Level for the Performance Period. The Entry Level, Target Level, and Stretch Level are as follows:</w:t>
      </w:r>
    </w:p>
    <w:p>
      <w:pPr>
        <w:spacing w:after="0" w:line="253" w:lineRule="exact"/>
        <w:rPr>
          <w:sz w:val="20"/>
          <w:szCs w:val="20"/>
          <w:color w:val="auto"/>
        </w:rPr>
      </w:pPr>
    </w:p>
    <w:p>
      <w:pPr>
        <w:ind w:left="960" w:hanging="466"/>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Entry Level means ___________________; and;</w:t>
      </w:r>
    </w:p>
    <w:p>
      <w:pPr>
        <w:spacing w:after="0" w:line="319" w:lineRule="exact"/>
        <w:rPr>
          <w:rFonts w:ascii="Arial" w:cs="Arial" w:eastAsia="Arial" w:hAnsi="Arial"/>
          <w:sz w:val="18"/>
          <w:szCs w:val="18"/>
          <w:color w:val="auto"/>
        </w:rPr>
      </w:pPr>
    </w:p>
    <w:p>
      <w:pPr>
        <w:ind w:left="960" w:hanging="466"/>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Target Level means _____________________; and</w:t>
      </w:r>
    </w:p>
    <w:p>
      <w:pPr>
        <w:spacing w:after="0" w:line="319" w:lineRule="exact"/>
        <w:rPr>
          <w:rFonts w:ascii="Arial" w:cs="Arial" w:eastAsia="Arial" w:hAnsi="Arial"/>
          <w:sz w:val="18"/>
          <w:szCs w:val="18"/>
          <w:color w:val="auto"/>
        </w:rPr>
      </w:pPr>
    </w:p>
    <w:p>
      <w:pPr>
        <w:ind w:left="960" w:hanging="466"/>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Stretch Level means ____________________. ]</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 Change of Control occurs during the Performance Period, then the Performance Goal for each Performance Measure for the Performance Period will be deemed to have been achieved at the _______ Level.</w:t>
      </w:r>
    </w:p>
    <w:p>
      <w:pPr>
        <w:spacing w:after="0" w:line="170" w:lineRule="exact"/>
        <w:rPr>
          <w:sz w:val="20"/>
          <w:szCs w:val="20"/>
          <w:color w:val="auto"/>
        </w:rPr>
      </w:pPr>
    </w:p>
    <w:p>
      <w:pPr>
        <w:ind w:left="1060" w:hanging="188"/>
        <w:spacing w:after="0"/>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Achievement of Performance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426"/>
        <w:spacing w:after="0" w:line="288" w:lineRule="auto"/>
        <w:tabs>
          <w:tab w:leader="none" w:pos="1663" w:val="left"/>
        </w:tabs>
        <w:numPr>
          <w:ilvl w:val="2"/>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Payment Amount</w:t>
      </w:r>
      <w:r>
        <w:rPr>
          <w:rFonts w:ascii="Arial" w:cs="Arial" w:eastAsia="Arial" w:hAnsi="Arial"/>
          <w:sz w:val="16"/>
          <w:szCs w:val="16"/>
          <w:color w:val="auto"/>
        </w:rPr>
        <w:t>. If the Performance Measure for the Performance Period reaches a performance level that equals or exceeds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Entry Level and you have remained continuously employed by the Company or a Subsidiary through the end of the Performance Period, then the Payment Amount with respect to this Award will be an amount equal to (i) the number of RSUs subject to your Award for the Performance Period, multiplied by</w:t>
      </w: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your Vested Percentage for the Performance Period applicable to such Performance Measure.</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9"/>
          <w:szCs w:val="9"/>
          <w:color w:val="auto"/>
        </w:rPr>
        <w:t>______________________________________________</w:t>
      </w:r>
    </w:p>
    <w:p>
      <w:pPr>
        <w:spacing w:after="0" w:line="51" w:lineRule="exact"/>
        <w:rPr>
          <w:sz w:val="20"/>
          <w:szCs w:val="20"/>
          <w:color w:val="auto"/>
        </w:rPr>
      </w:pPr>
    </w:p>
    <w:p>
      <w:pPr>
        <w:ind w:left="480" w:hanging="67"/>
        <w:spacing w:after="0"/>
        <w:tabs>
          <w:tab w:leader="none" w:pos="480" w:val="left"/>
        </w:tabs>
        <w:numPr>
          <w:ilvl w:val="0"/>
          <w:numId w:val="62"/>
        </w:numPr>
        <w:rPr>
          <w:rFonts w:ascii="Arial" w:cs="Arial" w:eastAsia="Arial" w:hAnsi="Arial"/>
          <w:sz w:val="9"/>
          <w:szCs w:val="9"/>
          <w:color w:val="auto"/>
        </w:rPr>
      </w:pPr>
      <w:r>
        <w:rPr>
          <w:rFonts w:ascii="Arial" w:cs="Arial" w:eastAsia="Arial" w:hAnsi="Arial"/>
          <w:sz w:val="13"/>
          <w:szCs w:val="13"/>
          <w:color w:val="auto"/>
        </w:rPr>
        <w:t>Include clause to reflect the % opportunity related to each Performance Measure(s) established by the Committee.</w:t>
      </w:r>
    </w:p>
    <w:p>
      <w:pPr>
        <w:spacing w:after="0" w:line="9" w:lineRule="exact"/>
        <w:rPr>
          <w:sz w:val="20"/>
          <w:szCs w:val="20"/>
          <w:color w:val="auto"/>
        </w:rPr>
      </w:pPr>
    </w:p>
    <w:p>
      <w:pPr>
        <w:ind w:left="480" w:hanging="67"/>
        <w:spacing w:after="0"/>
        <w:tabs>
          <w:tab w:leader="none" w:pos="480" w:val="left"/>
        </w:tabs>
        <w:numPr>
          <w:ilvl w:val="0"/>
          <w:numId w:val="63"/>
        </w:numPr>
        <w:rPr>
          <w:rFonts w:ascii="Arial" w:cs="Arial" w:eastAsia="Arial" w:hAnsi="Arial"/>
          <w:sz w:val="9"/>
          <w:szCs w:val="9"/>
          <w:color w:val="auto"/>
        </w:rPr>
      </w:pPr>
      <w:r>
        <w:rPr>
          <w:rFonts w:ascii="Arial" w:cs="Arial" w:eastAsia="Arial" w:hAnsi="Arial"/>
          <w:sz w:val="13"/>
          <w:szCs w:val="13"/>
          <w:color w:val="auto"/>
        </w:rPr>
        <w:t>Duplicate this section and provide Entry, Target and Stretch goals for each Performance Measure(s) established by the Committee.</w:t>
      </w:r>
    </w:p>
    <w:p>
      <w:pPr>
        <w:sectPr>
          <w:pgSz w:w="11900" w:h="16838" w:orient="portrait"/>
          <w:cols w:equalWidth="0" w:num="1">
            <w:col w:w="11420"/>
          </w:cols>
          <w:pgMar w:left="240" w:top="769" w:right="239" w:bottom="1440" w:gutter="0" w:footer="0" w:header="0"/>
        </w:sectPr>
      </w:pPr>
    </w:p>
    <w:bookmarkStart w:id="124" w:name="page125"/>
    <w:bookmarkEnd w:id="124"/>
    <w:p>
      <w:pPr>
        <w:ind w:right="60" w:firstLine="1305"/>
        <w:spacing w:after="0" w:line="277" w:lineRule="auto"/>
        <w:tabs>
          <w:tab w:leader="none" w:pos="1551"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Vested Percentage</w:t>
      </w:r>
      <w:r>
        <w:rPr>
          <w:rFonts w:ascii="Arial" w:cs="Arial" w:eastAsia="Arial" w:hAnsi="Arial"/>
          <w:sz w:val="18"/>
          <w:szCs w:val="18"/>
          <w:color w:val="auto"/>
        </w:rPr>
        <w:t>. Your Vested Percentage with respect to the Performance Period will be determined in accordance with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table(s) (straight line interpolation will be used between levels):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2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Level of [Insert Performance Measure] Achieved</w:t>
            </w:r>
            <w:r>
              <w:rPr>
                <w:rFonts w:ascii="Arial" w:cs="Arial" w:eastAsia="Arial" w:hAnsi="Arial"/>
                <w:sz w:val="17"/>
                <w:szCs w:val="17"/>
                <w:b w:val="1"/>
                <w:bCs w:val="1"/>
                <w:color w:val="auto"/>
                <w:vertAlign w:val="superscript"/>
              </w:rPr>
              <w:t>3</w:t>
            </w:r>
          </w:p>
        </w:tc>
        <w:tc>
          <w:tcPr>
            <w:tcW w:w="24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Vested Percentage</w:t>
            </w:r>
          </w:p>
        </w:tc>
      </w:tr>
      <w:tr>
        <w:trPr>
          <w:trHeight w:val="202"/>
        </w:trPr>
        <w:tc>
          <w:tcPr>
            <w:tcW w:w="6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5"/>
              </w:rPr>
              <w:t>Entry</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0" w:type="dxa"/>
            <w:vAlign w:val="bottom"/>
          </w:tcPr>
          <w:p>
            <w:pPr>
              <w:jc w:val="center"/>
              <w:ind w:right="1319"/>
              <w:spacing w:after="0" w:line="202" w:lineRule="exact"/>
              <w:rPr>
                <w:sz w:val="20"/>
                <w:szCs w:val="20"/>
                <w:color w:val="auto"/>
              </w:rPr>
            </w:pPr>
            <w:r>
              <w:rPr>
                <w:rFonts w:ascii="Arial" w:cs="Arial" w:eastAsia="Arial" w:hAnsi="Arial"/>
                <w:sz w:val="18"/>
                <w:szCs w:val="18"/>
                <w:color w:val="auto"/>
                <w:w w:val="91"/>
              </w:rPr>
              <w:t>% (Entry Level RSU Percentage)</w:t>
            </w:r>
          </w:p>
        </w:tc>
      </w:tr>
      <w:tr>
        <w:trPr>
          <w:trHeight w:val="358"/>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Target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20" w:type="dxa"/>
            <w:vAlign w:val="bottom"/>
            <w:gridSpan w:val="2"/>
          </w:tcPr>
          <w:p>
            <w:pPr>
              <w:jc w:val="center"/>
              <w:ind w:right="1279"/>
              <w:spacing w:after="0"/>
              <w:rPr>
                <w:sz w:val="20"/>
                <w:szCs w:val="20"/>
                <w:color w:val="auto"/>
              </w:rPr>
            </w:pPr>
            <w:r>
              <w:rPr>
                <w:rFonts w:ascii="Arial" w:cs="Arial" w:eastAsia="Arial" w:hAnsi="Arial"/>
                <w:sz w:val="18"/>
                <w:szCs w:val="18"/>
                <w:color w:val="auto"/>
                <w:w w:val="90"/>
              </w:rPr>
              <w:t>% (Target Level RSU Percentage)</w:t>
            </w:r>
          </w:p>
        </w:tc>
      </w:tr>
      <w:tr>
        <w:trPr>
          <w:trHeight w:val="358"/>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Stretch (or higher)</w:t>
            </w:r>
          </w:p>
        </w:tc>
        <w:tc>
          <w:tcPr>
            <w:tcW w:w="1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gridSpan w:val="3"/>
          </w:tcPr>
          <w:p>
            <w:pPr>
              <w:jc w:val="center"/>
              <w:ind w:right="1259"/>
              <w:spacing w:after="0"/>
              <w:rPr>
                <w:sz w:val="20"/>
                <w:szCs w:val="20"/>
                <w:color w:val="auto"/>
              </w:rPr>
            </w:pPr>
            <w:r>
              <w:rPr>
                <w:rFonts w:ascii="Arial" w:cs="Arial" w:eastAsia="Arial" w:hAnsi="Arial"/>
                <w:sz w:val="18"/>
                <w:szCs w:val="18"/>
                <w:color w:val="auto"/>
                <w:w w:val="89"/>
              </w:rPr>
              <w:t>% (Stretch Level RSU Percentage)</w:t>
            </w:r>
          </w:p>
        </w:tc>
      </w:tr>
    </w:tbl>
    <w:p>
      <w:pPr>
        <w:spacing w:after="0" w:line="256" w:lineRule="exact"/>
        <w:rPr>
          <w:sz w:val="20"/>
          <w:szCs w:val="20"/>
          <w:color w:val="auto"/>
        </w:rPr>
      </w:pPr>
    </w:p>
    <w:p>
      <w:pPr>
        <w:ind w:right="360" w:firstLine="872"/>
        <w:spacing w:after="0" w:line="277" w:lineRule="auto"/>
        <w:tabs>
          <w:tab w:leader="none" w:pos="104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Continuous Employment Required</w:t>
      </w:r>
      <w:r>
        <w:rPr>
          <w:rFonts w:ascii="Arial" w:cs="Arial" w:eastAsia="Arial" w:hAnsi="Arial"/>
          <w:sz w:val="18"/>
          <w:szCs w:val="18"/>
          <w:color w:val="auto"/>
        </w:rPr>
        <w:t>. Receipt of a Payment Amount is conditioned on your continuous employment with the Company or its Subsidiaries through the last day of the Performance Period (with limited exceptions, as described in the Program).</w:t>
      </w:r>
    </w:p>
    <w:p>
      <w:pPr>
        <w:spacing w:after="0" w:line="170" w:lineRule="exact"/>
        <w:rPr>
          <w:rFonts w:ascii="Arial" w:cs="Arial" w:eastAsia="Arial" w:hAnsi="Arial"/>
          <w:sz w:val="18"/>
          <w:szCs w:val="18"/>
          <w:color w:val="auto"/>
        </w:rPr>
      </w:pPr>
    </w:p>
    <w:p>
      <w:pPr>
        <w:ind w:left="1060" w:hanging="188"/>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Pro-Ration</w:t>
      </w:r>
      <w:r>
        <w:rPr>
          <w:rFonts w:ascii="Arial" w:cs="Arial" w:eastAsia="Arial" w:hAnsi="Arial"/>
          <w:sz w:val="18"/>
          <w:szCs w:val="18"/>
          <w:color w:val="auto"/>
        </w:rPr>
        <w:t>. Your Award may be prorated as provided in the Program under certain circumstances.</w:t>
      </w:r>
    </w:p>
    <w:p>
      <w:pPr>
        <w:spacing w:after="0" w:line="225" w:lineRule="exact"/>
        <w:rPr>
          <w:rFonts w:ascii="Arial" w:cs="Arial" w:eastAsia="Arial" w:hAnsi="Arial"/>
          <w:sz w:val="18"/>
          <w:szCs w:val="18"/>
          <w:color w:val="auto"/>
        </w:rPr>
      </w:pPr>
    </w:p>
    <w:p>
      <w:pPr>
        <w:ind w:right="80" w:firstLine="872"/>
        <w:spacing w:after="0" w:line="257" w:lineRule="auto"/>
        <w:tabs>
          <w:tab w:leader="none" w:pos="104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The RSUs granted to you pursuant to this Award Notice will be settled in Company Stock. The Company shall deliver to you, at the times set forth in the Program, one share of Company Stock for each RSU that becomes vested in accordance with the terms of this Award Notice. Upon settlement, a number of RSUs equal to the number of shares of Company Stock represented thereby shall be extinguished and such number of RSUs will no longer be considered to be held by you for any purpose. To the extent that any RSUs do not vest in accordance with this Award Notice, such RSUs shall be forfeited and you shall have no further rights with respect to such RSUs.</w:t>
      </w:r>
    </w:p>
    <w:p>
      <w:pPr>
        <w:spacing w:after="0" w:line="188" w:lineRule="exact"/>
        <w:rPr>
          <w:rFonts w:ascii="Arial" w:cs="Arial" w:eastAsia="Arial" w:hAnsi="Arial"/>
          <w:sz w:val="18"/>
          <w:szCs w:val="18"/>
          <w:color w:val="auto"/>
        </w:rPr>
      </w:pPr>
    </w:p>
    <w:p>
      <w:pPr>
        <w:ind w:right="180" w:firstLine="872"/>
        <w:spacing w:after="0" w:line="302" w:lineRule="auto"/>
        <w:tabs>
          <w:tab w:leader="none" w:pos="1044"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Voting Rights; Dividend Equivalents</w:t>
      </w:r>
      <w:r>
        <w:rPr>
          <w:rFonts w:ascii="Arial" w:cs="Arial" w:eastAsia="Arial" w:hAnsi="Arial"/>
          <w:sz w:val="16"/>
          <w:szCs w:val="16"/>
          <w:color w:val="auto"/>
        </w:rPr>
        <w:t>. You do not have any of the rights of a stockholder with respect to the RSUs granted to you pursuant to this Award Notice until shares of Company Stock with respect to such RSUs are delivered to you in accordance with Section 6. Further, except as otherwise required pursuant to the adjustment provisions set forth in the ICP, you do not have the right to vote or to receive any dividends or any dividend equivalents relating to such dividends declared or paid on the shares of Company Stock with respect to the RSUs granted to you pursuant to this Award Notice.</w:t>
      </w:r>
    </w:p>
    <w:p>
      <w:pPr>
        <w:spacing w:after="0" w:line="154" w:lineRule="exact"/>
        <w:rPr>
          <w:rFonts w:ascii="Arial" w:cs="Arial" w:eastAsia="Arial" w:hAnsi="Arial"/>
          <w:sz w:val="16"/>
          <w:szCs w:val="16"/>
          <w:color w:val="auto"/>
        </w:rPr>
      </w:pPr>
    </w:p>
    <w:p>
      <w:pPr>
        <w:ind w:left="1060" w:hanging="188"/>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Tax Withholding and Consents</w:t>
      </w:r>
      <w:r>
        <w:rPr>
          <w:rFonts w:ascii="Arial" w:cs="Arial" w:eastAsia="Arial" w:hAnsi="Arial"/>
          <w:sz w:val="18"/>
          <w:szCs w:val="18"/>
          <w:color w:val="auto"/>
        </w:rPr>
        <w:t>.</w:t>
      </w:r>
    </w:p>
    <w:p>
      <w:pPr>
        <w:spacing w:after="0" w:line="225" w:lineRule="exact"/>
        <w:rPr>
          <w:sz w:val="20"/>
          <w:szCs w:val="20"/>
          <w:color w:val="auto"/>
        </w:rPr>
      </w:pPr>
    </w:p>
    <w:p>
      <w:pPr>
        <w:ind w:right="40" w:firstLine="872"/>
        <w:spacing w:after="0" w:line="268" w:lineRule="auto"/>
        <w:tabs>
          <w:tab w:leader="none" w:pos="1109"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Tax Withholding</w:t>
      </w:r>
      <w:r>
        <w:rPr>
          <w:rFonts w:ascii="Arial" w:cs="Arial" w:eastAsia="Arial" w:hAnsi="Arial"/>
          <w:sz w:val="17"/>
          <w:szCs w:val="17"/>
          <w:color w:val="auto"/>
        </w:rPr>
        <w:t>. The delivery of shares of Company Stock pursuant to Section 6 of this Award Notice is conditioned on satisfaction of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applicable withholding taxes in accordance with Section 10(d) of the ICP. The Company will withhold from the number of shares of Company Stock otherwise deliverable to you pursuant to Section 6 a number of shares (or, to the extent applicable, such other securities) having a Fair Market Value (as defined in the ICP) equal to such withholding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you may elect alternatively to satisfy your tax withholding obligation, in whole or in part, by any of the following means: (i) a cash payment to the Company or (ii) delivery (either actual delivery or by attestation procedures established by the Company) to the Company of previously owned whole shares of Company Stock having an aggregate Fair Market Value (as defined in the ICP) equal to such withholding liability. Notwithstanding the foregoing, the Company shall be authorized to take such actions as the Company may deem necessary (including, without limitation, in accordance with applicable law, withholding amounts from any compensation or other amounts owing from the Company to you) to satisfy all obligations for the payment of such taxes. Subject to the terms of the ICP and as a condition of the Award, you acknowledge that, regardless of any action taken by the Company, or if different, your employer, the ultimate liability for all applicable Federal, state, local or foreign income tax, social insurance, payroll tax, fringe benefits tax, payment on account or other tax-related items related to your participation in the Program and legally applicable to you (“</w:t>
      </w:r>
      <w:r>
        <w:rPr>
          <w:rFonts w:ascii="Arial" w:cs="Arial" w:eastAsia="Arial" w:hAnsi="Arial"/>
          <w:sz w:val="17"/>
          <w:szCs w:val="17"/>
          <w:u w:val="single" w:color="auto"/>
          <w:color w:val="auto"/>
        </w:rPr>
        <w:t>Tax-Related Items</w:t>
      </w:r>
      <w:r>
        <w:rPr>
          <w:rFonts w:ascii="Arial" w:cs="Arial" w:eastAsia="Arial" w:hAnsi="Arial"/>
          <w:sz w:val="17"/>
          <w:szCs w:val="17"/>
          <w:color w:val="auto"/>
        </w:rPr>
        <w:t>”), is and remains your responsibility and may exceed the amount actually withheld by the Company, or if different, your employer. You further acknowledge that the Company and/or your employer (1) make no representations or undertaking regarding the treatment of any Tax-Related Items in connection with any aspect of the Award, including but not limited to, the grant, vesting or settlement of the Award; and (2) do not commit to and are under no obligation to structure the terms of the grant or any aspect of the Award to reduce or eliminate your liability for Tax-Related Items or achieve any particular tax result. Further, if you are subject to Tax-Related Items in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9"/>
          <w:szCs w:val="9"/>
          <w:color w:val="auto"/>
        </w:rPr>
        <w:t>______________________________________________</w:t>
      </w:r>
    </w:p>
    <w:p>
      <w:pPr>
        <w:spacing w:after="0" w:line="51" w:lineRule="exact"/>
        <w:rPr>
          <w:sz w:val="20"/>
          <w:szCs w:val="20"/>
          <w:color w:val="auto"/>
        </w:rPr>
      </w:pPr>
    </w:p>
    <w:p>
      <w:pPr>
        <w:ind w:left="480" w:hanging="67"/>
        <w:spacing w:after="0"/>
        <w:tabs>
          <w:tab w:leader="none" w:pos="480" w:val="left"/>
        </w:tabs>
        <w:numPr>
          <w:ilvl w:val="0"/>
          <w:numId w:val="67"/>
        </w:numPr>
        <w:rPr>
          <w:rFonts w:ascii="Arial" w:cs="Arial" w:eastAsia="Arial" w:hAnsi="Arial"/>
          <w:sz w:val="8"/>
          <w:szCs w:val="8"/>
          <w:color w:val="auto"/>
        </w:rPr>
      </w:pPr>
      <w:r>
        <w:rPr>
          <w:rFonts w:ascii="Arial" w:cs="Arial" w:eastAsia="Arial" w:hAnsi="Arial"/>
          <w:sz w:val="12"/>
          <w:szCs w:val="12"/>
          <w:color w:val="auto"/>
        </w:rPr>
        <w:t>Insert table to reflect applicable opportunity levels for each Performance Measure(s) established by the Committee. If same payout level for each Performance Measure, only one table to be inserted.</w:t>
      </w:r>
    </w:p>
    <w:p>
      <w:pPr>
        <w:sectPr>
          <w:pgSz w:w="11900" w:h="16838" w:orient="portrait"/>
          <w:cols w:equalWidth="0" w:num="1">
            <w:col w:w="11420"/>
          </w:cols>
          <w:pgMar w:left="240" w:top="557" w:right="239" w:bottom="1440" w:gutter="0" w:footer="0" w:header="0"/>
        </w:sectPr>
      </w:pPr>
    </w:p>
    <w:bookmarkStart w:id="125" w:name="page126"/>
    <w:bookmarkEnd w:id="125"/>
    <w:p>
      <w:pPr>
        <w:ind w:right="460"/>
        <w:spacing w:after="0" w:line="264" w:lineRule="auto"/>
        <w:rPr>
          <w:sz w:val="20"/>
          <w:szCs w:val="20"/>
          <w:color w:val="auto"/>
        </w:rPr>
      </w:pPr>
      <w:r>
        <w:rPr>
          <w:rFonts w:ascii="Arial" w:cs="Arial" w:eastAsia="Arial" w:hAnsi="Arial"/>
          <w:sz w:val="18"/>
          <w:szCs w:val="18"/>
          <w:color w:val="auto"/>
        </w:rPr>
        <w:t>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81" w:lineRule="exact"/>
        <w:rPr>
          <w:sz w:val="20"/>
          <w:szCs w:val="20"/>
          <w:color w:val="auto"/>
        </w:rPr>
      </w:pPr>
    </w:p>
    <w:p>
      <w:pPr>
        <w:ind w:right="40" w:firstLine="872"/>
        <w:spacing w:after="0" w:line="286" w:lineRule="auto"/>
        <w:tabs>
          <w:tab w:leader="none" w:pos="1119"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Consents</w:t>
      </w:r>
      <w:r>
        <w:rPr>
          <w:rFonts w:ascii="Arial" w:cs="Arial" w:eastAsia="Arial" w:hAnsi="Arial"/>
          <w:sz w:val="17"/>
          <w:szCs w:val="17"/>
          <w:color w:val="auto"/>
        </w:rPr>
        <w:t>. Your rights in respect of the RSUs are conditioned on the receipt to the full satisfaction of the Committee of any required consents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Committee may determine to be necessary or advisable (including, without limitation, your consenting to the Company’s supplying to any third-party recordkeeper of the ICP such personal information as the Committee deems advisable to administer the ICP).</w:t>
      </w:r>
    </w:p>
    <w:p>
      <w:pPr>
        <w:spacing w:after="0" w:line="166" w:lineRule="exact"/>
        <w:rPr>
          <w:sz w:val="20"/>
          <w:szCs w:val="20"/>
          <w:color w:val="auto"/>
        </w:rPr>
      </w:pPr>
    </w:p>
    <w:p>
      <w:pPr>
        <w:jc w:val="both"/>
        <w:ind w:firstLine="872"/>
        <w:spacing w:after="0" w:line="264" w:lineRule="auto"/>
        <w:tabs>
          <w:tab w:leader="none" w:pos="104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 of RSUs under the Program, and the issuance of shares of Company Stock upon the vesting of the RSUs shall be subject to, and conditioned upon, satisfaction of all applicable laws, rules, and regulations, and to such approvals by any governmental agencies or national securities exchanges as may be required.</w:t>
      </w:r>
    </w:p>
    <w:p>
      <w:pPr>
        <w:spacing w:after="0" w:line="181" w:lineRule="exact"/>
        <w:rPr>
          <w:rFonts w:ascii="Arial" w:cs="Arial" w:eastAsia="Arial" w:hAnsi="Arial"/>
          <w:sz w:val="18"/>
          <w:szCs w:val="18"/>
          <w:color w:val="auto"/>
        </w:rPr>
      </w:pPr>
    </w:p>
    <w:p>
      <w:pPr>
        <w:jc w:val="both"/>
        <w:ind w:right="40" w:firstLine="872"/>
        <w:spacing w:after="0" w:line="259" w:lineRule="auto"/>
        <w:tabs>
          <w:tab w:leader="none" w:pos="113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Company reserves the right to impose other requirements on the RSUs, and your participation in the Program, to the extent the Company determines, in its sole discretion, that such other requirements are necessary or advisable in order to comply with local laws, rules and regulations, or to facilitate the administration of the Award and the Program. Such requirements may include (but are not limited to) requiring you to sign any agreements or undertakings that may be necessary to accomplish the foregoing.</w:t>
      </w:r>
    </w:p>
    <w:p>
      <w:pPr>
        <w:spacing w:after="0" w:line="186" w:lineRule="exact"/>
        <w:rPr>
          <w:rFonts w:ascii="Arial" w:cs="Arial" w:eastAsia="Arial" w:hAnsi="Arial"/>
          <w:sz w:val="18"/>
          <w:szCs w:val="18"/>
          <w:color w:val="auto"/>
        </w:rPr>
      </w:pPr>
    </w:p>
    <w:p>
      <w:pPr>
        <w:ind w:right="140" w:firstLine="872"/>
        <w:spacing w:after="0" w:line="291" w:lineRule="auto"/>
        <w:tabs>
          <w:tab w:leader="none" w:pos="112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Program and ICP Control</w:t>
      </w:r>
      <w:r>
        <w:rPr>
          <w:rFonts w:ascii="Arial" w:cs="Arial" w:eastAsia="Arial" w:hAnsi="Arial"/>
          <w:sz w:val="16"/>
          <w:szCs w:val="16"/>
          <w:color w:val="auto"/>
        </w:rPr>
        <w:t>. Capitalized terms used in this Award Notice are defined in the Program. The Program and the ICP are hereby incorporated into this Award Notice by reference. All statements in this Award Notice are qualified in their entirety by reference to the Program and the ICP.</w:t>
      </w:r>
    </w:p>
    <w:p>
      <w:pPr>
        <w:spacing w:after="0"/>
        <w:tabs>
          <w:tab w:leader="none" w:pos="3880" w:val="left"/>
          <w:tab w:leader="none" w:pos="10120" w:val="left"/>
        </w:tabs>
        <w:rPr>
          <w:sz w:val="20"/>
          <w:szCs w:val="20"/>
          <w:color w:val="auto"/>
        </w:rPr>
      </w:pPr>
      <w:r>
        <w:rPr>
          <w:rFonts w:ascii="Arial" w:cs="Arial" w:eastAsia="Arial" w:hAnsi="Arial"/>
          <w:sz w:val="18"/>
          <w:szCs w:val="18"/>
          <w:color w:val="auto"/>
        </w:rPr>
        <w:t>If you have any questions, please contact</w:t>
      </w:r>
      <w:r>
        <w:rPr>
          <w:sz w:val="20"/>
          <w:szCs w:val="20"/>
          <w:color w:val="auto"/>
        </w:rPr>
        <w:tab/>
      </w:r>
      <w:r>
        <w:rPr>
          <w:rFonts w:ascii="Arial" w:cs="Arial" w:eastAsia="Arial" w:hAnsi="Arial"/>
          <w:sz w:val="18"/>
          <w:szCs w:val="18"/>
          <w:color w:val="auto"/>
        </w:rPr>
        <w:t>, or if you wish to obtain a copy of the Program or the ICP, please contact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-19050</wp:posOffset>
            </wp:positionV>
            <wp:extent cx="571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-19050</wp:posOffset>
            </wp:positionV>
            <wp:extent cx="571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Compensation and Benefits for Non-Employee Directors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Active non-employee directors of United Airlines Holdings, Inc. (the “Company”) elected by the holders of the Company’s Common Stock (for purposes of this summary, “non-employee directors”) receive the compensation and benefits described in this summary.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Equity Compensation</w:t>
      </w:r>
      <w:r>
        <w:rPr>
          <w:rFonts w:ascii="Arial" w:cs="Arial" w:eastAsia="Arial" w:hAnsi="Arial"/>
          <w:sz w:val="16"/>
          <w:szCs w:val="16"/>
          <w:color w:val="auto"/>
        </w:rPr>
        <w:t>. Active non-employee directors receive the following annual cash and equity compensation: (i) cash retainer of $100,000;</w:t>
      </w:r>
    </w:p>
    <w:p>
      <w:pPr>
        <w:spacing w:after="0" w:line="50" w:lineRule="exact"/>
        <w:rPr>
          <w:sz w:val="20"/>
          <w:szCs w:val="20"/>
          <w:color w:val="auto"/>
        </w:rPr>
      </w:pPr>
    </w:p>
    <w:p>
      <w:pPr>
        <w:ind w:right="40" w:firstLine="8"/>
        <w:spacing w:after="0" w:line="253" w:lineRule="auto"/>
        <w:tabs>
          <w:tab w:leader="none" w:pos="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grant of $170,000 of restricted stock units granted following election to the Board at the annual meeting of stockholders and sized based on the average of the high and low sales prices of the Company’s common stock on the date of grant; (iii) Non-Executive Chairman receives additional cash retainer of $80,000 and additional grant of $120,000 of restricted stock units; (iv) Chair of the Audit Committee receives $25,000 and members receive $15,000; and (v) Chair of each of the Compensation, Executive, Finance, Nominating/Governance, and Public Responsibility Committees receive $20,000 and members receive $12,500.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Benefits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i w:val="1"/>
          <w:iCs w:val="1"/>
          <w:u w:val="single" w:color="auto"/>
          <w:color w:val="auto"/>
        </w:rPr>
        <w:t>UATP Travel Card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receives a UATP Travel Card to be used for leisure travel on the United system. The annual travel limit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UATP Travel Card for 2020 is $45,146.</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u w:val="single" w:color="auto"/>
          <w:color w:val="auto"/>
        </w:rPr>
        <w:t>Tax Gross-Up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non-employee director is entitled to an annual tax gross-up payment for travel. The annual limit for 2020 is $31,039. The gross-up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intended to reimburse a non-employee director for taxes incurred as a result of including the leisure travel benefits in his or her income.</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u w:val="single" w:color="auto"/>
          <w:color w:val="auto"/>
        </w:rPr>
        <w:t>Club Membership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and the non-employee director’s spouse or qualified domestic partner receives membership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Club (or any successor program).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Frequent Flyer Status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non-employee director and the non-employee director’s spouse or qualified domestic partner receives Global Services status.</w:t>
      </w:r>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u w:val="single" w:color="auto"/>
          <w:color w:val="auto"/>
        </w:rPr>
        <w:t>Lifetime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non-employee director who (i) served as a member of the Board on October 1, 2010 or (ii) becomes a member of the Board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1, 2010 and attains at least five consecutive years of service, shall be eligible to receive, along with his or her spouse or qualified domestic partner, a UATP Travel Card, club membership and frequent flyer status for his or her lifetime. Non-employee directors who were eligible to receive reimbursement for taxes incurred on post-separation flight benefits pursuant to a similar policy with UAL Corporation or Continental Airlines, Inc. prior to October 1, 2010 will receive tax gross-up payments for the lifetime of the non-employee director.</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u w:val="single" w:color="auto"/>
          <w:color w:val="auto"/>
        </w:rPr>
        <w:t>Survivorship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Non-employee directors elected by the holders of the Company’s Common Stock who served as a member of the Board on October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will have certain survivorship benefits, which are available to such non-employee director’s surviving spouse or qualified domestic partner. The survivorship benefits shall include an annual survivor travel limit granted annually on January 1 of each calendar year during the fifteen calendar year period beginning January 1st of the calendar year following the non-employee director’s death and ending on December 31st of the year of the fifteenth anniversary of the non-employee director’s death (such annual survivor benefit amount to be equal to thirty percent of the value of the annual director flight benefit provided under the UATP at the time of such non-employee director’s death). Survivorship benefits are not eligible to receive any form of tax reimbursement or tax gross-up protection from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Charitable Tickets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receives up to four round-trip tickets annually to donate to qualified charities.</w:t>
      </w:r>
    </w:p>
    <w:p>
      <w:pPr>
        <w:spacing w:after="0" w:line="221"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Charitable Contribution Matching Program</w:t>
      </w:r>
      <w:r>
        <w:rPr>
          <w:rFonts w:ascii="Arial" w:cs="Arial" w:eastAsia="Arial" w:hAnsi="Arial"/>
          <w:sz w:val="17"/>
          <w:szCs w:val="17"/>
          <w:color w:val="auto"/>
        </w:rPr>
        <w:t>. The Company will provide matching cash payments of up to $20,000 per year to nonprofit organizations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an active non-employee director makes a personal contribution. In the case of each ALPA and IAM director, the Company will provide matching cash payments to organizations to which the director or their respective union contributes up to $20,000 per year in the aggregate.</w:t>
      </w:r>
    </w:p>
    <w:p>
      <w:pPr>
        <w:spacing w:after="0" w:line="1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Directors’ and Officers’ Liability Insurance and Indemnification</w:t>
      </w:r>
      <w:r>
        <w:rPr>
          <w:rFonts w:ascii="Arial" w:cs="Arial" w:eastAsia="Arial" w:hAnsi="Arial"/>
          <w:sz w:val="18"/>
          <w:szCs w:val="18"/>
          <w:color w:val="auto"/>
        </w:rPr>
        <w:t>. The Company has a policy that provides liability insurance for directors and officers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Airlines Holdings, Inc. and its subsidiaries. The Company also provides indemnification for directors as set forth in the Restated Certificate of Incorporation of United Airlines Holdings, Inc.</w:t>
      </w:r>
    </w:p>
    <w:p>
      <w:pPr>
        <w:sectPr>
          <w:pgSz w:w="11900" w:h="16838" w:orient="portrait"/>
          <w:cols w:equalWidth="0" w:num="1">
            <w:col w:w="11420"/>
          </w:cols>
          <w:pgMar w:left="240" w:top="337" w:right="239" w:bottom="1440" w:gutter="0" w:footer="0" w:header="0"/>
        </w:sectPr>
      </w:pPr>
    </w:p>
    <w:bookmarkStart w:id="127" w:name="page128"/>
    <w:bookmarkEnd w:id="127"/>
    <w:p>
      <w:pPr>
        <w:ind w:left="9860"/>
        <w:spacing w:after="0"/>
        <w:rPr>
          <w:sz w:val="20"/>
          <w:szCs w:val="20"/>
          <w:color w:val="auto"/>
        </w:rPr>
      </w:pPr>
      <w:r>
        <w:rPr>
          <w:rFonts w:ascii="Arial" w:cs="Arial" w:eastAsia="Arial" w:hAnsi="Arial"/>
          <w:sz w:val="19"/>
          <w:szCs w:val="19"/>
          <w:b w:val="1"/>
          <w:bCs w:val="1"/>
          <w:color w:val="auto"/>
        </w:rPr>
        <w:t>Exhibit 10.42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CERTAIN IDENTIFIED INFORMATION HAS BEEN EXCLUDED FROM THE EXHIBIT BECAUSE IT IS BOTH (I) NOT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MATERIAL AND (II) WOULD BE COMPETITIVELY HARMFUL IF PUBLICLY DISCLOSED. OMITTED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INFORMATION HAS BEEN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REPLACED WITH ASTERISKS.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THE AMENDED AND RESTATED A350-900 PURCHASE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September 1,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AIRBUS S.A.S.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UNITED AIRLINES, INC.</w:t>
      </w: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Amendment No. 2 to the Amended and Restated A350-900 Purchase Agreement between Airbus S.A.S. and United Airlines, Inc. (hereinafter referred to as the “</w:t>
      </w:r>
      <w:r>
        <w:rPr>
          <w:rFonts w:ascii="Arial" w:cs="Arial" w:eastAsia="Arial" w:hAnsi="Arial"/>
          <w:sz w:val="22"/>
          <w:szCs w:val="22"/>
          <w:b w:val="1"/>
          <w:bCs w:val="1"/>
          <w:color w:val="auto"/>
        </w:rPr>
        <w:t>Amendment No. 2</w:t>
      </w:r>
      <w:r>
        <w:rPr>
          <w:rFonts w:ascii="Arial" w:cs="Arial" w:eastAsia="Arial" w:hAnsi="Arial"/>
          <w:sz w:val="22"/>
          <w:szCs w:val="22"/>
          <w:color w:val="auto"/>
        </w:rPr>
        <w:t xml:space="preserve">”) is entered into as of December 3, 2019 by and between AIRBUS S.A.S., a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organized and existing under the laws of the Republic of France, having its registered office located at 2, Rond-Point Emile Dewoitine, 31700 Blagnac, France (hereinafter referred to as the “</w:t>
      </w:r>
      <w:r>
        <w:rPr>
          <w:rFonts w:ascii="Arial" w:cs="Arial" w:eastAsia="Arial" w:hAnsi="Arial"/>
          <w:sz w:val="22"/>
          <w:szCs w:val="22"/>
          <w:b w:val="1"/>
          <w:bCs w:val="1"/>
          <w:color w:val="auto"/>
        </w:rPr>
        <w:t>Seller</w:t>
      </w:r>
      <w:r>
        <w:rPr>
          <w:rFonts w:ascii="Arial" w:cs="Arial" w:eastAsia="Arial" w:hAnsi="Arial"/>
          <w:sz w:val="22"/>
          <w:szCs w:val="22"/>
          <w:color w:val="auto"/>
        </w:rPr>
        <w:t>”), and UNITED AIRLINES, INC., a corporation organized and existing under the laws of the State of Delaware, United States of America, having its principal corporate offices located at 233 South Wacker Drive, Chicago, Illinois 60606, U.S.A. (hereinafter referred to as the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the Buyer and the Seller entered into the Amended and Restated A350-900 Purchase Agreement, dated as of September 1, 2017 which, together with all Exhibits, Appendices and Letter Agreements attached thereto and as amended, modified or supplemented from time to time is hereinafter called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WHEREAS, the Buyer and the Seller have agreed to amend certain terms of the Agreement as set forth herein.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IT IS AGREED AS FOLLOWS:</w:t>
      </w:r>
    </w:p>
    <w:p>
      <w:pPr>
        <w:sectPr>
          <w:pgSz w:w="11900" w:h="16838" w:orient="portrait"/>
          <w:cols w:equalWidth="0" w:num="1">
            <w:col w:w="11080"/>
          </w:cols>
          <w:pgMar w:left="580" w:top="382" w:right="239" w:bottom="1440" w:gutter="0" w:footer="0" w:header="0"/>
        </w:sectPr>
      </w:pPr>
    </w:p>
    <w:bookmarkStart w:id="128" w:name="page129"/>
    <w:bookmarkEnd w:id="128"/>
    <w:p>
      <w:pPr>
        <w:ind w:left="340"/>
        <w:spacing w:after="0"/>
        <w:rPr>
          <w:sz w:val="20"/>
          <w:szCs w:val="20"/>
          <w:color w:val="auto"/>
        </w:rPr>
      </w:pPr>
      <w:r>
        <w:rPr>
          <w:rFonts w:ascii="Arial" w:cs="Arial" w:eastAsia="Arial" w:hAnsi="Arial"/>
          <w:sz w:val="22"/>
          <w:szCs w:val="22"/>
          <w:b w:val="1"/>
          <w:bCs w:val="1"/>
          <w:color w:val="auto"/>
        </w:rPr>
        <w:t>***</w:t>
      </w:r>
    </w:p>
    <w:p>
      <w:pPr>
        <w:spacing w:after="0" w:line="220" w:lineRule="exact"/>
        <w:rPr>
          <w:sz w:val="20"/>
          <w:szCs w:val="20"/>
          <w:color w:val="auto"/>
        </w:rPr>
      </w:pPr>
    </w:p>
    <w:p>
      <w:pPr>
        <w:ind w:left="1300" w:hanging="968"/>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1.1</w:t>
            </w: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w w:val="88"/>
              </w:rPr>
              <w:t>Capitalized terms used herein and not otherwise expressly defined in this Amendment No. 2 shall have the meanings</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w w:val="91"/>
              </w:rPr>
              <w:t>assigned thereto in the Agreement. The terms “herein”, “hereof”, and “hereunder” and words of similar import refer</w:t>
            </w:r>
          </w:p>
        </w:tc>
        <w:tc>
          <w:tcPr>
            <w:tcW w:w="0" w:type="dxa"/>
            <w:vAlign w:val="bottom"/>
          </w:tcPr>
          <w:p>
            <w:pPr>
              <w:spacing w:after="0"/>
              <w:rPr>
                <w:sz w:val="1"/>
                <w:szCs w:val="1"/>
                <w:color w:val="auto"/>
              </w:rPr>
            </w:pPr>
          </w:p>
        </w:tc>
      </w:tr>
      <w:tr>
        <w:trPr>
          <w:trHeight w:val="275"/>
        </w:trPr>
        <w:tc>
          <w:tcPr>
            <w:tcW w:w="620" w:type="dxa"/>
            <w:vAlign w:val="bottom"/>
          </w:tcPr>
          <w:p>
            <w:pPr>
              <w:spacing w:after="0"/>
              <w:rPr>
                <w:sz w:val="23"/>
                <w:szCs w:val="23"/>
                <w:color w:val="auto"/>
              </w:rPr>
            </w:pP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rPr>
              <w:t>to this Amendment No. 2.</w:t>
            </w:r>
          </w:p>
        </w:tc>
        <w:tc>
          <w:tcPr>
            <w:tcW w:w="0" w:type="dxa"/>
            <w:vAlign w:val="bottom"/>
          </w:tcPr>
          <w:p>
            <w:pPr>
              <w:spacing w:after="0"/>
              <w:rPr>
                <w:sz w:val="1"/>
                <w:szCs w:val="1"/>
                <w:color w:val="auto"/>
              </w:rPr>
            </w:pPr>
          </w:p>
        </w:tc>
      </w:tr>
      <w:tr>
        <w:trPr>
          <w:trHeight w:val="45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1.2</w:t>
            </w: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w w:val="92"/>
              </w:rPr>
              <w:t>The definitions of “A350-900 Standard Specification” and “A350-1000 Standard Specification” set out in Clause 0</w:t>
            </w:r>
          </w:p>
        </w:tc>
        <w:tc>
          <w:tcPr>
            <w:tcW w:w="0" w:type="dxa"/>
            <w:vAlign w:val="bottom"/>
          </w:tcPr>
          <w:p>
            <w:pPr>
              <w:spacing w:after="0"/>
              <w:rPr>
                <w:sz w:val="1"/>
                <w:szCs w:val="1"/>
                <w:color w:val="auto"/>
              </w:rPr>
            </w:pPr>
          </w:p>
        </w:tc>
      </w:tr>
      <w:tr>
        <w:trPr>
          <w:trHeight w:val="275"/>
        </w:trPr>
        <w:tc>
          <w:tcPr>
            <w:tcW w:w="620" w:type="dxa"/>
            <w:vAlign w:val="bottom"/>
          </w:tcPr>
          <w:p>
            <w:pPr>
              <w:spacing w:after="0"/>
              <w:rPr>
                <w:sz w:val="23"/>
                <w:szCs w:val="23"/>
                <w:color w:val="auto"/>
              </w:rPr>
            </w:pP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rPr>
              <w:t>of the Agreement are deleted in their entirety and replaced with the following quoted text:</w:t>
            </w:r>
          </w:p>
        </w:tc>
        <w:tc>
          <w:tcPr>
            <w:tcW w:w="0" w:type="dxa"/>
            <w:vAlign w:val="bottom"/>
          </w:tcPr>
          <w:p>
            <w:pPr>
              <w:spacing w:after="0"/>
              <w:rPr>
                <w:sz w:val="1"/>
                <w:szCs w:val="1"/>
                <w:color w:val="auto"/>
              </w:rPr>
            </w:pPr>
          </w:p>
        </w:tc>
      </w:tr>
      <w:tr>
        <w:trPr>
          <w:trHeight w:val="473"/>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22"/>
                <w:szCs w:val="22"/>
                <w:color w:val="auto"/>
              </w:rPr>
              <w:t>QUOTE</w:t>
            </w:r>
          </w:p>
        </w:tc>
        <w:tc>
          <w:tcPr>
            <w:tcW w:w="0" w:type="dxa"/>
            <w:vAlign w:val="bottom"/>
          </w:tcPr>
          <w:p>
            <w:pPr>
              <w:spacing w:after="0"/>
              <w:rPr>
                <w:sz w:val="1"/>
                <w:szCs w:val="1"/>
                <w:color w:val="auto"/>
              </w:rPr>
            </w:pPr>
          </w:p>
        </w:tc>
      </w:tr>
      <w:tr>
        <w:trPr>
          <w:trHeight w:val="422"/>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22"/>
                <w:szCs w:val="22"/>
                <w:color w:val="auto"/>
                <w:w w:val="93"/>
              </w:rPr>
              <w:t>A350-900 Standard Specification - the A350-900 standard specification document ***, a copy of which is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20" w:type="dxa"/>
            <w:vAlign w:val="bottom"/>
          </w:tcPr>
          <w:p>
            <w:pPr>
              <w:spacing w:after="0"/>
              <w:rPr>
                <w:sz w:val="24"/>
                <w:szCs w:val="24"/>
                <w:color w:val="auto"/>
              </w:rPr>
            </w:pP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rPr>
              <w:t>annexed hereto as Exhibit A-1.</w:t>
            </w:r>
          </w:p>
        </w:tc>
        <w:tc>
          <w:tcPr>
            <w:tcW w:w="0" w:type="dxa"/>
            <w:vAlign w:val="bottom"/>
          </w:tcPr>
          <w:p>
            <w:pPr>
              <w:spacing w:after="0"/>
              <w:rPr>
                <w:sz w:val="1"/>
                <w:szCs w:val="1"/>
                <w:color w:val="auto"/>
              </w:rPr>
            </w:pPr>
          </w:p>
        </w:tc>
      </w:tr>
      <w:tr>
        <w:trPr>
          <w:trHeight w:val="422"/>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22"/>
                <w:szCs w:val="22"/>
                <w:color w:val="auto"/>
                <w:w w:val="91"/>
              </w:rPr>
              <w:t>A350-1000 Standard Specification - the A350-1000 standard specification document ***, a copy of which is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20" w:type="dxa"/>
            <w:vAlign w:val="bottom"/>
          </w:tcPr>
          <w:p>
            <w:pPr>
              <w:spacing w:after="0"/>
              <w:rPr>
                <w:sz w:val="24"/>
                <w:szCs w:val="24"/>
                <w:color w:val="auto"/>
              </w:rPr>
            </w:pP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rPr>
              <w:t>annexed hereto as Exhibit A-2.</w:t>
            </w:r>
          </w:p>
        </w:tc>
        <w:tc>
          <w:tcPr>
            <w:tcW w:w="0" w:type="dxa"/>
            <w:vAlign w:val="bottom"/>
          </w:tcPr>
          <w:p>
            <w:pPr>
              <w:spacing w:after="0"/>
              <w:rPr>
                <w:sz w:val="1"/>
                <w:szCs w:val="1"/>
                <w:color w:val="auto"/>
              </w:rPr>
            </w:pPr>
          </w:p>
        </w:tc>
      </w:tr>
      <w:tr>
        <w:trPr>
          <w:trHeight w:val="473"/>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22"/>
                <w:szCs w:val="22"/>
                <w:color w:val="auto"/>
              </w:rPr>
              <w:t>UNQUOTE</w:t>
            </w:r>
          </w:p>
        </w:tc>
        <w:tc>
          <w:tcPr>
            <w:tcW w:w="0" w:type="dxa"/>
            <w:vAlign w:val="bottom"/>
          </w:tcPr>
          <w:p>
            <w:pPr>
              <w:spacing w:after="0"/>
              <w:rPr>
                <w:sz w:val="1"/>
                <w:szCs w:val="1"/>
                <w:color w:val="auto"/>
              </w:rPr>
            </w:pP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1.3</w:t>
            </w: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rPr>
              <w:t>The definition of “Family ADD” set out in Clause 0 of the Agreement is deleted in its entirety.</w:t>
            </w:r>
          </w:p>
        </w:tc>
        <w:tc>
          <w:tcPr>
            <w:tcW w:w="0" w:type="dxa"/>
            <w:vAlign w:val="bottom"/>
          </w:tcPr>
          <w:p>
            <w:pPr>
              <w:spacing w:after="0"/>
              <w:rPr>
                <w:sz w:val="1"/>
                <w:szCs w:val="1"/>
                <w:color w:val="auto"/>
              </w:rPr>
            </w:pP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1.4</w:t>
            </w: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rPr>
              <w:t>The following definition for “A350XWB ACG” is added to Clause 0 of the Agreement:</w:t>
            </w:r>
          </w:p>
        </w:tc>
        <w:tc>
          <w:tcPr>
            <w:tcW w:w="0" w:type="dxa"/>
            <w:vAlign w:val="bottom"/>
          </w:tcPr>
          <w:p>
            <w:pPr>
              <w:spacing w:after="0"/>
              <w:rPr>
                <w:sz w:val="1"/>
                <w:szCs w:val="1"/>
                <w:color w:val="auto"/>
              </w:rPr>
            </w:pPr>
          </w:p>
        </w:tc>
      </w:tr>
      <w:tr>
        <w:trPr>
          <w:trHeight w:val="473"/>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22"/>
                <w:szCs w:val="22"/>
                <w:color w:val="auto"/>
              </w:rPr>
              <w:t>QUOTE</w:t>
            </w:r>
          </w:p>
        </w:tc>
        <w:tc>
          <w:tcPr>
            <w:tcW w:w="0" w:type="dxa"/>
            <w:vAlign w:val="bottom"/>
          </w:tcPr>
          <w:p>
            <w:pPr>
              <w:spacing w:after="0"/>
              <w:rPr>
                <w:sz w:val="1"/>
                <w:szCs w:val="1"/>
                <w:color w:val="auto"/>
              </w:rPr>
            </w:pPr>
          </w:p>
        </w:tc>
      </w:tr>
      <w:tr>
        <w:trPr>
          <w:trHeight w:val="422"/>
        </w:trPr>
        <w:tc>
          <w:tcPr>
            <w:tcW w:w="620" w:type="dxa"/>
            <w:vAlign w:val="bottom"/>
          </w:tcPr>
          <w:p>
            <w:pPr>
              <w:spacing w:after="0"/>
              <w:rPr>
                <w:sz w:val="24"/>
                <w:szCs w:val="24"/>
                <w:color w:val="auto"/>
              </w:rPr>
            </w:pPr>
          </w:p>
        </w:tc>
        <w:tc>
          <w:tcPr>
            <w:tcW w:w="10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9460" w:type="dxa"/>
            <w:vAlign w:val="bottom"/>
            <w:gridSpan w:val="4"/>
          </w:tcPr>
          <w:p>
            <w:pPr>
              <w:spacing w:after="0"/>
              <w:rPr>
                <w:sz w:val="20"/>
                <w:szCs w:val="20"/>
                <w:color w:val="auto"/>
              </w:rPr>
            </w:pPr>
            <w:r>
              <w:rPr>
                <w:rFonts w:ascii="Arial" w:cs="Arial" w:eastAsia="Arial" w:hAnsi="Arial"/>
                <w:sz w:val="22"/>
                <w:szCs w:val="22"/>
                <w:color w:val="auto"/>
                <w:w w:val="95"/>
              </w:rPr>
              <w:t>A350XWB ACG - as the context requires, either the A350XWB Airbus Customization Guide ***, or any</w:t>
            </w:r>
          </w:p>
        </w:tc>
        <w:tc>
          <w:tcPr>
            <w:tcW w:w="0" w:type="dxa"/>
            <w:vAlign w:val="bottom"/>
          </w:tcPr>
          <w:p>
            <w:pPr>
              <w:spacing w:after="0"/>
              <w:rPr>
                <w:sz w:val="1"/>
                <w:szCs w:val="1"/>
                <w:color w:val="auto"/>
              </w:rPr>
            </w:pPr>
          </w:p>
        </w:tc>
      </w:tr>
      <w:tr>
        <w:trPr>
          <w:trHeight w:val="287"/>
        </w:trPr>
        <w:tc>
          <w:tcPr>
            <w:tcW w:w="6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22"/>
                <w:szCs w:val="22"/>
                <w:color w:val="auto"/>
              </w:rPr>
              <w:t>UNQUOTE</w:t>
            </w:r>
          </w:p>
        </w:tc>
        <w:tc>
          <w:tcPr>
            <w:tcW w:w="0" w:type="dxa"/>
            <w:vAlign w:val="bottom"/>
          </w:tcPr>
          <w:p>
            <w:pPr>
              <w:spacing w:after="0"/>
              <w:rPr>
                <w:sz w:val="1"/>
                <w:szCs w:val="1"/>
                <w:color w:val="auto"/>
              </w:rPr>
            </w:pP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1.5</w:t>
            </w:r>
          </w:p>
        </w:tc>
        <w:tc>
          <w:tcPr>
            <w:tcW w:w="10460" w:type="dxa"/>
            <w:vAlign w:val="bottom"/>
            <w:gridSpan w:val="5"/>
          </w:tcPr>
          <w:p>
            <w:pPr>
              <w:ind w:left="340"/>
              <w:spacing w:after="0"/>
              <w:rPr>
                <w:sz w:val="20"/>
                <w:szCs w:val="20"/>
                <w:color w:val="auto"/>
              </w:rPr>
            </w:pPr>
            <w:r>
              <w:rPr>
                <w:rFonts w:ascii="Arial" w:cs="Arial" w:eastAsia="Arial" w:hAnsi="Arial"/>
                <w:sz w:val="22"/>
                <w:szCs w:val="22"/>
                <w:color w:val="auto"/>
                <w:w w:val="93"/>
              </w:rPr>
              <w:t>Clauses 18.6.1 and 18.6.2.1 of the Agreement are amended by replacing “Family ADD” with "A350XWB ACG".</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300" w:hanging="968"/>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PRICE</w:t>
      </w:r>
    </w:p>
    <w:p>
      <w:pPr>
        <w:sectPr>
          <w:pgSz w:w="11900" w:h="16838" w:orient="portrait"/>
          <w:cols w:equalWidth="0" w:num="1">
            <w:col w:w="11420"/>
          </w:cols>
          <w:pgMar w:left="240" w:top="814" w:right="239" w:bottom="1440" w:gutter="0" w:footer="0" w:header="0"/>
        </w:sect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Clause 3.1 of the Agreement is deleted in its entirety and replaced with the following quoted text:</w:t>
      </w:r>
    </w:p>
    <w:p>
      <w:pPr>
        <w:spacing w:after="0" w:line="200" w:lineRule="exact"/>
        <w:rPr>
          <w:sz w:val="20"/>
          <w:szCs w:val="20"/>
          <w:color w:val="auto"/>
        </w:rPr>
      </w:pPr>
    </w:p>
    <w:p>
      <w:pPr>
        <w:sectPr>
          <w:pgSz w:w="11900" w:h="16838" w:orient="portrait"/>
          <w:cols w:equalWidth="0" w:num="2">
            <w:col w:w="600" w:space="700"/>
            <w:col w:w="10120"/>
          </w:cols>
          <w:pgMar w:left="240" w:top="814" w:right="239" w:bottom="1440" w:gutter="0" w:footer="0" w:header="0"/>
          <w:type w:val="continuous"/>
        </w:sectPr>
      </w:pPr>
    </w:p>
    <w:p>
      <w:pPr>
        <w:spacing w:after="0" w:line="5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QUOTE</w:t>
      </w:r>
    </w:p>
    <w:p>
      <w:pPr>
        <w:sectPr>
          <w:pgSz w:w="11900" w:h="16838" w:orient="portrait"/>
          <w:cols w:equalWidth="0" w:num="1">
            <w:col w:w="11420"/>
          </w:cols>
          <w:pgMar w:left="240" w:top="814" w:right="239" w:bottom="1440" w:gutter="0" w:footer="0" w:header="0"/>
          <w:type w:val="continuous"/>
        </w:sectPr>
      </w:pP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CT1706024 - Amended and Restated A350-900 Purchase Agreement - Amendment No. 2 final AIRBUS S.A.S. &amp; UNITED AIRLINES, INC. - PROPRIETARY AND CONFIDENTIAL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AM2-2</w:t>
      </w:r>
    </w:p>
    <w:p>
      <w:pPr>
        <w:sectPr>
          <w:pgSz w:w="11900" w:h="16838" w:orient="portrait"/>
          <w:cols w:equalWidth="0" w:num="2">
            <w:col w:w="6860" w:space="360"/>
            <w:col w:w="4200"/>
          </w:cols>
          <w:pgMar w:left="240" w:top="814" w:right="239" w:bottom="1440" w:gutter="0" w:footer="0" w:header="0"/>
          <w:type w:val="continuous"/>
        </w:sectPr>
      </w:pPr>
    </w:p>
    <w:bookmarkStart w:id="129" w:name="page130"/>
    <w:bookmarkEnd w:id="129"/>
    <w:p>
      <w:pPr>
        <w:ind w:left="1300"/>
        <w:spacing w:after="0"/>
        <w:tabs>
          <w:tab w:leader="none" w:pos="17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Base Price of the Aircraft</w:t>
      </w:r>
    </w:p>
    <w:p>
      <w:pPr>
        <w:spacing w:after="0" w:line="23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Base Price of the A350-900 Aircraft</w:t>
      </w:r>
    </w:p>
    <w:p>
      <w:pPr>
        <w:spacing w:after="0" w:line="23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The Base Price of the A350-900 Aircraft is the sum of:</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(i)the base price of the A350-900 Aircraft as defined in the A350-900 Standard Specification (excluding</w:t>
      </w:r>
    </w:p>
    <w:p>
      <w:pPr>
        <w:spacing w:after="0" w:line="33"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Buyer Furnished Equipment and Airbus Contracted Supplier equipment), which is:</w:t>
      </w:r>
    </w:p>
    <w:p>
      <w:pPr>
        <w:spacing w:after="0" w:line="20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2880" w:right="20" w:hanging="998"/>
        <w:spacing w:after="0" w:line="269" w:lineRule="auto"/>
        <w:rPr>
          <w:sz w:val="20"/>
          <w:szCs w:val="20"/>
          <w:color w:val="auto"/>
        </w:rPr>
      </w:pPr>
      <w:r>
        <w:rPr>
          <w:rFonts w:ascii="Arial" w:cs="Arial" w:eastAsia="Arial" w:hAnsi="Arial"/>
          <w:sz w:val="22"/>
          <w:szCs w:val="22"/>
          <w:color w:val="auto"/>
        </w:rPr>
        <w:t>(ii)the sum of the base prices of all SCNs set forth in Part 1 of Exhibit B-2 (the “</w:t>
      </w:r>
      <w:r>
        <w:rPr>
          <w:rFonts w:ascii="Arial" w:cs="Arial" w:eastAsia="Arial" w:hAnsi="Arial"/>
          <w:sz w:val="22"/>
          <w:szCs w:val="22"/>
          <w:b w:val="1"/>
          <w:bCs w:val="1"/>
          <w:color w:val="auto"/>
        </w:rPr>
        <w:t>A350-900 SCN Budget</w:t>
      </w:r>
      <w:r>
        <w:rPr>
          <w:rFonts w:ascii="Arial" w:cs="Arial" w:eastAsia="Arial" w:hAnsi="Arial"/>
          <w:sz w:val="22"/>
          <w:szCs w:val="22"/>
          <w:color w:val="auto"/>
        </w:rPr>
        <w:t>”), which is:</w:t>
      </w:r>
    </w:p>
    <w:p>
      <w:pPr>
        <w:spacing w:after="0" w:line="1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(iii)the base price of the ***, which is:</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The Base Price of the A350-900 Aircraft has been established in accordance with ***.</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3.1.2</w:t>
      </w:r>
      <w:r>
        <w:rPr>
          <w:rFonts w:ascii="Arial" w:cs="Arial" w:eastAsia="Arial" w:hAnsi="Arial"/>
          <w:sz w:val="22"/>
          <w:szCs w:val="22"/>
          <w:u w:val="single" w:color="auto"/>
          <w:color w:val="auto"/>
        </w:rPr>
        <w:t>Base Price of the A350-1000 Aircraft</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The Base Price of the A350-1000 Aircraft, if purchased by the Buyer, is the sum of:</w:t>
      </w:r>
    </w:p>
    <w:p>
      <w:pPr>
        <w:spacing w:after="0" w:line="220" w:lineRule="exact"/>
        <w:rPr>
          <w:sz w:val="20"/>
          <w:szCs w:val="20"/>
          <w:color w:val="auto"/>
        </w:rPr>
      </w:pPr>
    </w:p>
    <w:p>
      <w:pPr>
        <w:ind w:left="2600" w:hanging="647"/>
        <w:spacing w:after="0" w:line="287" w:lineRule="auto"/>
        <w:tabs>
          <w:tab w:leader="none" w:pos="260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base price of the A350-1000 Aircraft as defined in the A350-1000 Standard Specification (excluding Buyer Furnished Equipment and Airbus Contracted Supplier equipment), which is:</w:t>
      </w:r>
    </w:p>
    <w:p>
      <w:pPr>
        <w:spacing w:after="0" w:line="15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2600" w:hanging="647"/>
        <w:spacing w:after="0" w:line="269" w:lineRule="auto"/>
        <w:tabs>
          <w:tab w:leader="none" w:pos="26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sum of the base prices of all SCNs set forth in Part 2 of Exhibit B-2 (the “</w:t>
      </w:r>
      <w:r>
        <w:rPr>
          <w:rFonts w:ascii="Arial" w:cs="Arial" w:eastAsia="Arial" w:hAnsi="Arial"/>
          <w:sz w:val="22"/>
          <w:szCs w:val="22"/>
          <w:b w:val="1"/>
          <w:bCs w:val="1"/>
          <w:color w:val="auto"/>
        </w:rPr>
        <w:t>A350-1000 SCN</w:t>
      </w:r>
      <w:r>
        <w:rPr>
          <w:rFonts w:ascii="Arial" w:cs="Arial" w:eastAsia="Arial" w:hAnsi="Arial"/>
          <w:sz w:val="22"/>
          <w:szCs w:val="22"/>
          <w:color w:val="auto"/>
        </w:rPr>
        <w:t xml:space="preserve"> </w:t>
      </w:r>
      <w:r>
        <w:rPr>
          <w:rFonts w:ascii="Arial" w:cs="Arial" w:eastAsia="Arial" w:hAnsi="Arial"/>
          <w:sz w:val="22"/>
          <w:szCs w:val="22"/>
          <w:b w:val="1"/>
          <w:bCs w:val="1"/>
          <w:color w:val="auto"/>
        </w:rPr>
        <w:t>Budget</w:t>
      </w:r>
      <w:r>
        <w:rPr>
          <w:rFonts w:ascii="Arial" w:cs="Arial" w:eastAsia="Arial" w:hAnsi="Arial"/>
          <w:sz w:val="22"/>
          <w:szCs w:val="22"/>
          <w:color w:val="auto"/>
        </w:rPr>
        <w:t>”), which is:</w:t>
      </w:r>
    </w:p>
    <w:p>
      <w:pPr>
        <w:spacing w:after="0" w:line="1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2"/>
              </w:rPr>
              <w:t>CT1706024 - Amended and Restated A350-900 Purchase Agreement - Amendment No. 2 final</w:t>
            </w:r>
          </w:p>
        </w:tc>
        <w:tc>
          <w:tcPr>
            <w:tcW w:w="700" w:type="dxa"/>
            <w:vAlign w:val="bottom"/>
          </w:tcPr>
          <w:p>
            <w:pPr>
              <w:ind w:left="180"/>
              <w:spacing w:after="0"/>
              <w:rPr>
                <w:sz w:val="20"/>
                <w:szCs w:val="20"/>
                <w:color w:val="auto"/>
              </w:rPr>
            </w:pPr>
            <w:r>
              <w:rPr>
                <w:rFonts w:ascii="Arial" w:cs="Arial" w:eastAsia="Arial" w:hAnsi="Arial"/>
                <w:sz w:val="18"/>
                <w:szCs w:val="18"/>
                <w:color w:val="auto"/>
                <w:w w:val="94"/>
              </w:rPr>
              <w:t>AM2-3</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AIRBUS S.A.S. &amp; UNITED AIRLINES, INC. - PROPRIETARY AND CONFIDENTIAL</w:t>
            </w:r>
          </w:p>
        </w:tc>
        <w:tc>
          <w:tcPr>
            <w:tcW w:w="700" w:type="dxa"/>
            <w:vAlign w:val="bottom"/>
          </w:tcPr>
          <w:p>
            <w:pPr>
              <w:spacing w:after="0"/>
              <w:rPr>
                <w:sz w:val="20"/>
                <w:szCs w:val="20"/>
                <w:color w:val="auto"/>
              </w:rPr>
            </w:pPr>
          </w:p>
        </w:tc>
      </w:tr>
    </w:tbl>
    <w:p>
      <w:pPr>
        <w:sectPr>
          <w:pgSz w:w="11900" w:h="16838" w:orient="portrait"/>
          <w:cols w:equalWidth="0" w:num="1">
            <w:col w:w="11420"/>
          </w:cols>
          <w:pgMar w:left="240" w:top="820" w:right="239" w:bottom="1440" w:gutter="0" w:footer="0" w:header="0"/>
        </w:sectPr>
      </w:pPr>
    </w:p>
    <w:bookmarkStart w:id="130" w:name="page131"/>
    <w:bookmarkEnd w:id="130"/>
    <w:p>
      <w:pPr>
        <w:ind w:left="32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00" w:hanging="647"/>
        <w:spacing w:after="0"/>
        <w:tabs>
          <w:tab w:leader="none" w:pos="26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base price of the *** which is:</w:t>
      </w:r>
    </w:p>
    <w:p>
      <w:pPr>
        <w:spacing w:after="0" w:line="219" w:lineRule="exact"/>
        <w:rPr>
          <w:rFonts w:ascii="Arial" w:cs="Arial" w:eastAsia="Arial" w:hAnsi="Arial"/>
          <w:sz w:val="22"/>
          <w:szCs w:val="22"/>
          <w:color w:val="auto"/>
        </w:rPr>
      </w:pPr>
    </w:p>
    <w:p>
      <w:pPr>
        <w:ind w:left="324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The Base Price of the A350-1000 Aircraft has been established in accordance with ***.</w:t>
      </w:r>
    </w:p>
    <w:p>
      <w:pPr>
        <w:spacing w:after="0" w:line="220"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Base Price of the A350-900 ULR Aircraft</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The Base Price of the A350-900 ULR Aircraft, if purchased by the Buyer, is the sum of:</w:t>
      </w:r>
    </w:p>
    <w:p>
      <w:pPr>
        <w:spacing w:after="0" w:line="220" w:lineRule="exact"/>
        <w:rPr>
          <w:sz w:val="20"/>
          <w:szCs w:val="20"/>
          <w:color w:val="auto"/>
        </w:rPr>
      </w:pPr>
    </w:p>
    <w:p>
      <w:pPr>
        <w:jc w:val="both"/>
        <w:ind w:left="2600" w:hanging="647"/>
        <w:spacing w:after="0" w:line="253" w:lineRule="auto"/>
        <w:tabs>
          <w:tab w:leader="none" w:pos="26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base price of the A350-900 Aircraft as defined in the A350-900 Standard Specification (excluding Buyer Furnished Equipment and Airbus Contracted Supplier equipment), as modified by the ULR Option Changes, which is:</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2600" w:hanging="647"/>
        <w:spacing w:after="0" w:line="269" w:lineRule="auto"/>
        <w:tabs>
          <w:tab w:leader="none" w:pos="26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sum of the base prices of all SCNs set forth in Part 3 of Exhibit B-2 (the “</w:t>
      </w:r>
      <w:r>
        <w:rPr>
          <w:rFonts w:ascii="Arial" w:cs="Arial" w:eastAsia="Arial" w:hAnsi="Arial"/>
          <w:sz w:val="22"/>
          <w:szCs w:val="22"/>
          <w:b w:val="1"/>
          <w:bCs w:val="1"/>
          <w:color w:val="auto"/>
        </w:rPr>
        <w:t>A350-900 ULR SCN</w:t>
      </w:r>
      <w:r>
        <w:rPr>
          <w:rFonts w:ascii="Arial" w:cs="Arial" w:eastAsia="Arial" w:hAnsi="Arial"/>
          <w:sz w:val="22"/>
          <w:szCs w:val="22"/>
          <w:color w:val="auto"/>
        </w:rPr>
        <w:t xml:space="preserve"> </w:t>
      </w:r>
      <w:r>
        <w:rPr>
          <w:rFonts w:ascii="Arial" w:cs="Arial" w:eastAsia="Arial" w:hAnsi="Arial"/>
          <w:sz w:val="22"/>
          <w:szCs w:val="22"/>
          <w:b w:val="1"/>
          <w:bCs w:val="1"/>
          <w:color w:val="auto"/>
        </w:rPr>
        <w:t>Budget</w:t>
      </w:r>
      <w:r>
        <w:rPr>
          <w:rFonts w:ascii="Arial" w:cs="Arial" w:eastAsia="Arial" w:hAnsi="Arial"/>
          <w:sz w:val="22"/>
          <w:szCs w:val="22"/>
          <w:color w:val="auto"/>
        </w:rPr>
        <w:t>”), which is:</w:t>
      </w:r>
    </w:p>
    <w:p>
      <w:pPr>
        <w:spacing w:after="0" w:line="1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Base Price of the A350-900 ULR Aircraft has been established in accordance with ***.</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UNQUOTE</w:t>
      </w:r>
    </w:p>
    <w:p>
      <w:pPr>
        <w:spacing w:after="0" w:line="214" w:lineRule="exact"/>
        <w:rPr>
          <w:sz w:val="20"/>
          <w:szCs w:val="20"/>
          <w:color w:val="auto"/>
        </w:rPr>
      </w:pPr>
    </w:p>
    <w:p>
      <w:pPr>
        <w:ind w:left="1300" w:hanging="968"/>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SCHEDULE</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3.1</w:t>
            </w:r>
          </w:p>
        </w:tc>
        <w:tc>
          <w:tcPr>
            <w:tcW w:w="10460" w:type="dxa"/>
            <w:vAlign w:val="bottom"/>
          </w:tcPr>
          <w:p>
            <w:pPr>
              <w:ind w:left="340"/>
              <w:spacing w:after="0"/>
              <w:rPr>
                <w:sz w:val="20"/>
                <w:szCs w:val="20"/>
                <w:color w:val="auto"/>
              </w:rPr>
            </w:pPr>
            <w:r>
              <w:rPr>
                <w:rFonts w:ascii="Arial" w:cs="Arial" w:eastAsia="Arial" w:hAnsi="Arial"/>
                <w:sz w:val="22"/>
                <w:szCs w:val="22"/>
                <w:color w:val="auto"/>
                <w:w w:val="92"/>
              </w:rPr>
              <w:t>Upon the Buyer’s request, the Seller agrees to *** the Scheduled Delivery *** of the Aircraft as set forth in Clause</w:t>
            </w:r>
          </w:p>
        </w:tc>
      </w:tr>
      <w:tr>
        <w:trPr>
          <w:trHeight w:val="281"/>
        </w:trPr>
        <w:tc>
          <w:tcPr>
            <w:tcW w:w="62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22"/>
                <w:szCs w:val="22"/>
                <w:color w:val="auto"/>
              </w:rPr>
              <w:t>3.2 below (the “</w:t>
            </w:r>
            <w:r>
              <w:rPr>
                <w:rFonts w:ascii="Arial" w:cs="Arial" w:eastAsia="Arial" w:hAnsi="Arial"/>
                <w:sz w:val="22"/>
                <w:szCs w:val="22"/>
                <w:b w:val="1"/>
                <w:bCs w:val="1"/>
                <w:color w:val="auto"/>
              </w:rPr>
              <w:t>***</w:t>
            </w:r>
            <w:r>
              <w:rPr>
                <w:rFonts w:ascii="Arial" w:cs="Arial" w:eastAsia="Arial" w:hAnsi="Arial"/>
                <w:sz w:val="22"/>
                <w:szCs w:val="22"/>
                <w:color w:val="auto"/>
              </w:rPr>
              <w:t>”).</w:t>
            </w: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3.2</w:t>
            </w:r>
          </w:p>
        </w:tc>
        <w:tc>
          <w:tcPr>
            <w:tcW w:w="10460" w:type="dxa"/>
            <w:vAlign w:val="bottom"/>
          </w:tcPr>
          <w:p>
            <w:pPr>
              <w:ind w:left="340"/>
              <w:spacing w:after="0"/>
              <w:rPr>
                <w:sz w:val="20"/>
                <w:szCs w:val="20"/>
                <w:color w:val="auto"/>
              </w:rPr>
            </w:pPr>
            <w:r>
              <w:rPr>
                <w:rFonts w:ascii="Arial" w:cs="Arial" w:eastAsia="Arial" w:hAnsi="Arial"/>
                <w:sz w:val="22"/>
                <w:szCs w:val="22"/>
                <w:color w:val="auto"/>
                <w:w w:val="95"/>
              </w:rPr>
              <w:t>The delivery schedule of the Aircraft set out in Clause 9.1 of the Agreement is amended to read the following:</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QUOTE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2"/>
              </w:rPr>
              <w:t>CT1706024 - Amended and Restated A350-900 Purchase Agreement - Amendment No. 2 final</w:t>
            </w:r>
          </w:p>
        </w:tc>
        <w:tc>
          <w:tcPr>
            <w:tcW w:w="700" w:type="dxa"/>
            <w:vAlign w:val="bottom"/>
          </w:tcPr>
          <w:p>
            <w:pPr>
              <w:ind w:left="180"/>
              <w:spacing w:after="0"/>
              <w:rPr>
                <w:sz w:val="20"/>
                <w:szCs w:val="20"/>
                <w:color w:val="auto"/>
              </w:rPr>
            </w:pPr>
            <w:r>
              <w:rPr>
                <w:rFonts w:ascii="Arial" w:cs="Arial" w:eastAsia="Arial" w:hAnsi="Arial"/>
                <w:sz w:val="18"/>
                <w:szCs w:val="18"/>
                <w:color w:val="auto"/>
                <w:w w:val="94"/>
              </w:rPr>
              <w:t>AM2-4</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AIRBUS S.A.S. &amp; UNITED AIRLINES, INC. - PROPRIETARY AND CONFIDENTIAL</w:t>
            </w:r>
          </w:p>
        </w:tc>
        <w:tc>
          <w:tcPr>
            <w:tcW w:w="700" w:type="dxa"/>
            <w:vAlign w:val="bottom"/>
          </w:tcPr>
          <w:p>
            <w:pPr>
              <w:spacing w:after="0"/>
              <w:rPr>
                <w:sz w:val="20"/>
                <w:szCs w:val="20"/>
                <w:color w:val="auto"/>
              </w:rPr>
            </w:pPr>
          </w:p>
        </w:tc>
      </w:tr>
    </w:tbl>
    <w:p>
      <w:pPr>
        <w:sectPr>
          <w:pgSz w:w="11900" w:h="16838" w:orient="portrait"/>
          <w:cols w:equalWidth="0" w:num="1">
            <w:col w:w="11420"/>
          </w:cols>
          <w:pgMar w:left="240" w:top="820" w:right="239" w:bottom="1440" w:gutter="0" w:footer="0" w:header="0"/>
        </w:sectPr>
      </w:pPr>
    </w:p>
    <w:bookmarkStart w:id="131" w:name="page132"/>
    <w:bookmarkEnd w:id="131"/>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3060" w:type="dxa"/>
            <w:vAlign w:val="bottom"/>
            <w:gridSpan w:val="5"/>
          </w:tcPr>
          <w:p>
            <w:pPr>
              <w:spacing w:after="0"/>
              <w:rPr>
                <w:sz w:val="20"/>
                <w:szCs w:val="20"/>
                <w:color w:val="auto"/>
              </w:rPr>
            </w:pPr>
            <w:r>
              <w:rPr>
                <w:rFonts w:ascii="Arial" w:cs="Arial" w:eastAsia="Arial" w:hAnsi="Arial"/>
                <w:sz w:val="22"/>
                <w:szCs w:val="22"/>
                <w:color w:val="auto"/>
              </w:rPr>
              <w:t>Aircraft number  Aircraft type</w:t>
            </w:r>
          </w:p>
        </w:tc>
        <w:tc>
          <w:tcPr>
            <w:tcW w:w="1700" w:type="dxa"/>
            <w:vAlign w:val="bottom"/>
            <w:gridSpan w:val="3"/>
          </w:tcPr>
          <w:p>
            <w:pPr>
              <w:spacing w:after="0"/>
              <w:rPr>
                <w:sz w:val="20"/>
                <w:szCs w:val="20"/>
                <w:color w:val="auto"/>
              </w:rPr>
            </w:pPr>
            <w:r>
              <w:rPr>
                <w:rFonts w:ascii="Arial" w:cs="Arial" w:eastAsia="Arial" w:hAnsi="Arial"/>
                <w:sz w:val="22"/>
                <w:szCs w:val="22"/>
                <w:color w:val="auto"/>
                <w:w w:val="88"/>
              </w:rPr>
              <w:t>Scheduled Delivery</w:t>
            </w:r>
          </w:p>
        </w:tc>
      </w:tr>
      <w:tr>
        <w:trPr>
          <w:trHeight w:val="250"/>
        </w:trPr>
        <w:tc>
          <w:tcPr>
            <w:tcW w:w="1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Borders>
              <w:top w:val="single" w:sz="8" w:color="auto"/>
            </w:tcBorders>
            <w:gridSpan w:val="3"/>
          </w:tcPr>
          <w:p>
            <w:pPr>
              <w:jc w:val="right"/>
              <w:ind w:right="540"/>
              <w:spacing w:after="0" w:line="250" w:lineRule="exact"/>
              <w:rPr>
                <w:sz w:val="20"/>
                <w:szCs w:val="20"/>
                <w:color w:val="auto"/>
              </w:rPr>
            </w:pPr>
            <w:r>
              <w:rPr>
                <w:rFonts w:ascii="Arial" w:cs="Arial" w:eastAsia="Arial" w:hAnsi="Arial"/>
                <w:sz w:val="22"/>
                <w:szCs w:val="22"/>
                <w:color w:val="auto"/>
              </w:rPr>
              <w:t>***</w:t>
            </w:r>
          </w:p>
        </w:tc>
      </w:tr>
      <w:tr>
        <w:trPr>
          <w:trHeight w:val="539"/>
        </w:trPr>
        <w:tc>
          <w:tcPr>
            <w:tcW w:w="1240" w:type="dxa"/>
            <w:vAlign w:val="bottom"/>
          </w:tcPr>
          <w:p>
            <w:pPr>
              <w:spacing w:after="0"/>
              <w:rPr>
                <w:sz w:val="20"/>
                <w:szCs w:val="20"/>
                <w:color w:val="auto"/>
              </w:rPr>
            </w:pPr>
            <w:r>
              <w:rPr>
                <w:rFonts w:ascii="Arial" w:cs="Arial" w:eastAsia="Arial" w:hAnsi="Arial"/>
                <w:sz w:val="22"/>
                <w:szCs w:val="22"/>
                <w:color w:val="auto"/>
              </w:rPr>
              <w:t>Aircraft N°1</w:t>
            </w:r>
          </w:p>
        </w:tc>
        <w:tc>
          <w:tcPr>
            <w:tcW w:w="1820" w:type="dxa"/>
            <w:vAlign w:val="bottom"/>
            <w:gridSpan w:val="4"/>
          </w:tcPr>
          <w:p>
            <w:pPr>
              <w:ind w:left="8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N°2</w:t>
            </w:r>
          </w:p>
        </w:tc>
        <w:tc>
          <w:tcPr>
            <w:tcW w:w="1820" w:type="dxa"/>
            <w:vAlign w:val="bottom"/>
            <w:gridSpan w:val="4"/>
          </w:tcPr>
          <w:p>
            <w:pPr>
              <w:ind w:left="4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N°3</w:t>
            </w:r>
          </w:p>
        </w:tc>
        <w:tc>
          <w:tcPr>
            <w:tcW w:w="1820" w:type="dxa"/>
            <w:vAlign w:val="bottom"/>
            <w:gridSpan w:val="4"/>
          </w:tcPr>
          <w:p>
            <w:pPr>
              <w:ind w:left="4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N°4</w:t>
            </w:r>
          </w:p>
        </w:tc>
        <w:tc>
          <w:tcPr>
            <w:tcW w:w="1820" w:type="dxa"/>
            <w:vAlign w:val="bottom"/>
            <w:gridSpan w:val="4"/>
          </w:tcPr>
          <w:p>
            <w:pPr>
              <w:ind w:left="4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N°5</w:t>
            </w:r>
          </w:p>
        </w:tc>
        <w:tc>
          <w:tcPr>
            <w:tcW w:w="1820" w:type="dxa"/>
            <w:vAlign w:val="bottom"/>
            <w:gridSpan w:val="4"/>
          </w:tcPr>
          <w:p>
            <w:pPr>
              <w:ind w:left="4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N°6</w:t>
            </w:r>
          </w:p>
        </w:tc>
        <w:tc>
          <w:tcPr>
            <w:tcW w:w="1820" w:type="dxa"/>
            <w:vAlign w:val="bottom"/>
            <w:gridSpan w:val="4"/>
          </w:tcPr>
          <w:p>
            <w:pPr>
              <w:ind w:left="4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N°7</w:t>
            </w:r>
          </w:p>
        </w:tc>
        <w:tc>
          <w:tcPr>
            <w:tcW w:w="1820" w:type="dxa"/>
            <w:vAlign w:val="bottom"/>
            <w:gridSpan w:val="4"/>
          </w:tcPr>
          <w:p>
            <w:pPr>
              <w:ind w:left="8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N°8</w:t>
            </w:r>
          </w:p>
        </w:tc>
        <w:tc>
          <w:tcPr>
            <w:tcW w:w="1820" w:type="dxa"/>
            <w:vAlign w:val="bottom"/>
            <w:gridSpan w:val="4"/>
          </w:tcPr>
          <w:p>
            <w:pPr>
              <w:ind w:left="4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rPr>
              <w:t>Aircraft N°9</w:t>
            </w:r>
          </w:p>
        </w:tc>
        <w:tc>
          <w:tcPr>
            <w:tcW w:w="1820" w:type="dxa"/>
            <w:vAlign w:val="bottom"/>
            <w:gridSpan w:val="4"/>
          </w:tcPr>
          <w:p>
            <w:pPr>
              <w:ind w:left="40"/>
              <w:spacing w:after="0"/>
              <w:rPr>
                <w:sz w:val="20"/>
                <w:szCs w:val="20"/>
                <w:color w:val="auto"/>
              </w:rPr>
            </w:pPr>
            <w:r>
              <w:rPr>
                <w:rFonts w:ascii="Arial" w:cs="Arial" w:eastAsia="Arial" w:hAnsi="Arial"/>
                <w:sz w:val="22"/>
                <w:szCs w:val="22"/>
                <w:color w:val="auto"/>
              </w:rPr>
              <w:t>A350-900 Aircraft</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N°10</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7"/>
              </w:rPr>
              <w:t>Aircraft N°11</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82"/>
        </w:trPr>
        <w:tc>
          <w:tcPr>
            <w:tcW w:w="1240" w:type="dxa"/>
            <w:vAlign w:val="bottom"/>
          </w:tcPr>
          <w:p>
            <w:pPr>
              <w:spacing w:after="0"/>
              <w:rPr>
                <w:sz w:val="20"/>
                <w:szCs w:val="20"/>
                <w:color w:val="auto"/>
              </w:rPr>
            </w:pPr>
            <w:r>
              <w:rPr>
                <w:rFonts w:ascii="Arial" w:cs="Arial" w:eastAsia="Arial" w:hAnsi="Arial"/>
                <w:sz w:val="22"/>
                <w:szCs w:val="22"/>
                <w:color w:val="auto"/>
                <w:w w:val="97"/>
              </w:rPr>
              <w:t>Aircraft N°12</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N°13</w:t>
            </w:r>
          </w:p>
        </w:tc>
        <w:tc>
          <w:tcPr>
            <w:tcW w:w="160" w:type="dxa"/>
            <w:vAlign w:val="bottom"/>
          </w:tcPr>
          <w:p>
            <w:pPr>
              <w:spacing w:after="0"/>
              <w:rPr>
                <w:sz w:val="23"/>
                <w:szCs w:val="23"/>
                <w:color w:val="auto"/>
              </w:rPr>
            </w:pPr>
          </w:p>
        </w:tc>
        <w:tc>
          <w:tcPr>
            <w:tcW w:w="1660" w:type="dxa"/>
            <w:vAlign w:val="bottom"/>
            <w:gridSpan w:val="3"/>
          </w:tcPr>
          <w:p>
            <w:pPr>
              <w:ind w:left="40"/>
              <w:spacing w:after="0"/>
              <w:rPr>
                <w:sz w:val="20"/>
                <w:szCs w:val="20"/>
                <w:color w:val="auto"/>
              </w:rPr>
            </w:pPr>
            <w:r>
              <w:rPr>
                <w:rFonts w:ascii="Arial" w:cs="Arial" w:eastAsia="Arial" w:hAnsi="Arial"/>
                <w:sz w:val="22"/>
                <w:szCs w:val="22"/>
                <w:color w:val="auto"/>
                <w:w w:val="93"/>
              </w:rPr>
              <w:t>A350-900 Aircraft</w:t>
            </w:r>
          </w:p>
        </w:tc>
        <w:tc>
          <w:tcPr>
            <w:tcW w:w="8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N°14</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N°15</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N°16</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N°17</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N°18</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N°19</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N°20</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N°21</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7"/>
              </w:rPr>
              <w:t>Aircraft N°22</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82"/>
        </w:trPr>
        <w:tc>
          <w:tcPr>
            <w:tcW w:w="1240" w:type="dxa"/>
            <w:vAlign w:val="bottom"/>
          </w:tcPr>
          <w:p>
            <w:pPr>
              <w:spacing w:after="0"/>
              <w:rPr>
                <w:sz w:val="20"/>
                <w:szCs w:val="20"/>
                <w:color w:val="auto"/>
              </w:rPr>
            </w:pPr>
            <w:r>
              <w:rPr>
                <w:rFonts w:ascii="Arial" w:cs="Arial" w:eastAsia="Arial" w:hAnsi="Arial"/>
                <w:sz w:val="22"/>
                <w:szCs w:val="22"/>
                <w:color w:val="auto"/>
                <w:w w:val="97"/>
              </w:rPr>
              <w:t>Aircraft N°23</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N°24</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N°25</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N°26</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N°27</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N°28</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N°29</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N°30</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N°31</w:t>
            </w:r>
          </w:p>
        </w:tc>
        <w:tc>
          <w:tcPr>
            <w:tcW w:w="160" w:type="dxa"/>
            <w:vAlign w:val="bottom"/>
          </w:tcPr>
          <w:p>
            <w:pPr>
              <w:spacing w:after="0"/>
              <w:rPr>
                <w:sz w:val="23"/>
                <w:szCs w:val="23"/>
                <w:color w:val="auto"/>
              </w:rPr>
            </w:pPr>
          </w:p>
        </w:tc>
        <w:tc>
          <w:tcPr>
            <w:tcW w:w="1660" w:type="dxa"/>
            <w:vAlign w:val="bottom"/>
            <w:gridSpan w:val="3"/>
          </w:tcPr>
          <w:p>
            <w:pPr>
              <w:ind w:left="40"/>
              <w:spacing w:after="0"/>
              <w:rPr>
                <w:sz w:val="20"/>
                <w:szCs w:val="20"/>
                <w:color w:val="auto"/>
              </w:rPr>
            </w:pPr>
            <w:r>
              <w:rPr>
                <w:rFonts w:ascii="Arial" w:cs="Arial" w:eastAsia="Arial" w:hAnsi="Arial"/>
                <w:sz w:val="22"/>
                <w:szCs w:val="22"/>
                <w:color w:val="auto"/>
                <w:w w:val="93"/>
              </w:rPr>
              <w:t>A350-900 Aircraft</w:t>
            </w:r>
          </w:p>
        </w:tc>
        <w:tc>
          <w:tcPr>
            <w:tcW w:w="8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N°32</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7"/>
              </w:rPr>
              <w:t>Aircraft N°33</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82"/>
        </w:trPr>
        <w:tc>
          <w:tcPr>
            <w:tcW w:w="1240" w:type="dxa"/>
            <w:vAlign w:val="bottom"/>
          </w:tcPr>
          <w:p>
            <w:pPr>
              <w:spacing w:after="0"/>
              <w:rPr>
                <w:sz w:val="20"/>
                <w:szCs w:val="20"/>
                <w:color w:val="auto"/>
              </w:rPr>
            </w:pPr>
            <w:r>
              <w:rPr>
                <w:rFonts w:ascii="Arial" w:cs="Arial" w:eastAsia="Arial" w:hAnsi="Arial"/>
                <w:sz w:val="22"/>
                <w:szCs w:val="22"/>
                <w:color w:val="auto"/>
                <w:w w:val="97"/>
              </w:rPr>
              <w:t>Aircraft N°34</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N°35</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N°36</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N°37</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7"/>
              </w:rPr>
              <w:t>Aircraft N°38</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7"/>
              </w:rPr>
              <w:t>Aircraft N°39</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96"/>
              </w:rPr>
              <w:t>A350-900 Aircraft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2"/>
              </w:rPr>
              <w:t>CT1706024 - Amended and Restated A350-900 Purchase Agreement - Amendment No. 2 final</w:t>
            </w:r>
          </w:p>
        </w:tc>
        <w:tc>
          <w:tcPr>
            <w:tcW w:w="700" w:type="dxa"/>
            <w:vAlign w:val="bottom"/>
          </w:tcPr>
          <w:p>
            <w:pPr>
              <w:ind w:left="180"/>
              <w:spacing w:after="0"/>
              <w:rPr>
                <w:sz w:val="20"/>
                <w:szCs w:val="20"/>
                <w:color w:val="auto"/>
              </w:rPr>
            </w:pPr>
            <w:r>
              <w:rPr>
                <w:rFonts w:ascii="Arial" w:cs="Arial" w:eastAsia="Arial" w:hAnsi="Arial"/>
                <w:sz w:val="18"/>
                <w:szCs w:val="18"/>
                <w:color w:val="auto"/>
                <w:w w:val="94"/>
              </w:rPr>
              <w:t>AM2-5</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AIRBUS S.A.S. &amp; UNITED AIRLINES, INC. - PROPRIETARY AND CONFIDENTIAL</w:t>
            </w:r>
          </w:p>
        </w:tc>
        <w:tc>
          <w:tcPr>
            <w:tcW w:w="700" w:type="dxa"/>
            <w:vAlign w:val="bottom"/>
          </w:tcPr>
          <w:p>
            <w:pPr>
              <w:spacing w:after="0"/>
              <w:rPr>
                <w:sz w:val="20"/>
                <w:szCs w:val="20"/>
                <w:color w:val="auto"/>
              </w:rPr>
            </w:pPr>
          </w:p>
        </w:tc>
      </w:tr>
    </w:tbl>
    <w:p>
      <w:pPr>
        <w:sectPr>
          <w:pgSz w:w="11900" w:h="16838" w:orient="portrait"/>
          <w:cols w:equalWidth="0" w:num="1">
            <w:col w:w="10219"/>
          </w:cols>
          <w:pgMar w:left="240" w:top="791" w:right="1440" w:bottom="1440" w:gutter="0" w:footer="0" w:header="0"/>
        </w:sectPr>
      </w:pPr>
    </w:p>
    <w:bookmarkStart w:id="132" w:name="page133"/>
    <w:bookmarkEnd w:id="132"/>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1300" w:type="dxa"/>
            <w:vAlign w:val="bottom"/>
          </w:tcPr>
          <w:p>
            <w:pPr>
              <w:spacing w:after="0"/>
              <w:rPr>
                <w:sz w:val="20"/>
                <w:szCs w:val="20"/>
                <w:color w:val="auto"/>
              </w:rPr>
            </w:pPr>
            <w:r>
              <w:rPr>
                <w:rFonts w:ascii="Arial" w:cs="Arial" w:eastAsia="Arial" w:hAnsi="Arial"/>
                <w:sz w:val="22"/>
                <w:szCs w:val="22"/>
                <w:color w:val="auto"/>
              </w:rPr>
              <w:t>Aircraft N°40</w:t>
            </w:r>
          </w:p>
        </w:tc>
        <w:tc>
          <w:tcPr>
            <w:tcW w:w="1880" w:type="dxa"/>
            <w:vAlign w:val="bottom"/>
          </w:tcPr>
          <w:p>
            <w:pPr>
              <w:ind w:left="80"/>
              <w:spacing w:after="0"/>
              <w:rPr>
                <w:sz w:val="20"/>
                <w:szCs w:val="20"/>
                <w:color w:val="auto"/>
              </w:rPr>
            </w:pPr>
            <w:r>
              <w:rPr>
                <w:rFonts w:ascii="Arial" w:cs="Arial" w:eastAsia="Arial" w:hAnsi="Arial"/>
                <w:sz w:val="22"/>
                <w:szCs w:val="22"/>
                <w:color w:val="auto"/>
              </w:rPr>
              <w:t>A350-900 Aircraft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rPr>
              <w:t>Aircraft N°41</w:t>
            </w:r>
          </w:p>
        </w:tc>
        <w:tc>
          <w:tcPr>
            <w:tcW w:w="1880" w:type="dxa"/>
            <w:vAlign w:val="bottom"/>
          </w:tcPr>
          <w:p>
            <w:pPr>
              <w:ind w:left="80"/>
              <w:spacing w:after="0"/>
              <w:rPr>
                <w:sz w:val="20"/>
                <w:szCs w:val="20"/>
                <w:color w:val="auto"/>
              </w:rPr>
            </w:pPr>
            <w:r>
              <w:rPr>
                <w:rFonts w:ascii="Arial" w:cs="Arial" w:eastAsia="Arial" w:hAnsi="Arial"/>
                <w:sz w:val="22"/>
                <w:szCs w:val="22"/>
                <w:color w:val="auto"/>
              </w:rPr>
              <w:t>A350-900 Aircraft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rPr>
              <w:t>Aircraft N°42</w:t>
            </w:r>
          </w:p>
        </w:tc>
        <w:tc>
          <w:tcPr>
            <w:tcW w:w="1880" w:type="dxa"/>
            <w:vAlign w:val="bottom"/>
          </w:tcPr>
          <w:p>
            <w:pPr>
              <w:ind w:left="80"/>
              <w:spacing w:after="0"/>
              <w:rPr>
                <w:sz w:val="20"/>
                <w:szCs w:val="20"/>
                <w:color w:val="auto"/>
              </w:rPr>
            </w:pPr>
            <w:r>
              <w:rPr>
                <w:rFonts w:ascii="Arial" w:cs="Arial" w:eastAsia="Arial" w:hAnsi="Arial"/>
                <w:sz w:val="22"/>
                <w:szCs w:val="22"/>
                <w:color w:val="auto"/>
              </w:rPr>
              <w:t>A350-900 Aircraft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rPr>
              <w:t>Aircraft N°43</w:t>
            </w:r>
          </w:p>
        </w:tc>
        <w:tc>
          <w:tcPr>
            <w:tcW w:w="1880" w:type="dxa"/>
            <w:vAlign w:val="bottom"/>
          </w:tcPr>
          <w:p>
            <w:pPr>
              <w:ind w:left="80"/>
              <w:spacing w:after="0"/>
              <w:rPr>
                <w:sz w:val="20"/>
                <w:szCs w:val="20"/>
                <w:color w:val="auto"/>
              </w:rPr>
            </w:pPr>
            <w:r>
              <w:rPr>
                <w:rFonts w:ascii="Arial" w:cs="Arial" w:eastAsia="Arial" w:hAnsi="Arial"/>
                <w:sz w:val="22"/>
                <w:szCs w:val="22"/>
                <w:color w:val="auto"/>
              </w:rPr>
              <w:t>A350-900 Aircraft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rPr>
              <w:t>Aircraft N°44</w:t>
            </w:r>
          </w:p>
        </w:tc>
        <w:tc>
          <w:tcPr>
            <w:tcW w:w="1880" w:type="dxa"/>
            <w:vAlign w:val="bottom"/>
          </w:tcPr>
          <w:p>
            <w:pPr>
              <w:ind w:left="80"/>
              <w:spacing w:after="0"/>
              <w:rPr>
                <w:sz w:val="20"/>
                <w:szCs w:val="20"/>
                <w:color w:val="auto"/>
              </w:rPr>
            </w:pPr>
            <w:r>
              <w:rPr>
                <w:rFonts w:ascii="Arial" w:cs="Arial" w:eastAsia="Arial" w:hAnsi="Arial"/>
                <w:sz w:val="22"/>
                <w:szCs w:val="22"/>
                <w:color w:val="auto"/>
              </w:rPr>
              <w:t>A350-900 Aircraft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rPr>
              <w:t>Aircraft N°45</w:t>
            </w:r>
          </w:p>
        </w:tc>
        <w:tc>
          <w:tcPr>
            <w:tcW w:w="1880" w:type="dxa"/>
            <w:vAlign w:val="bottom"/>
          </w:tcPr>
          <w:p>
            <w:pPr>
              <w:ind w:left="80"/>
              <w:spacing w:after="0"/>
              <w:rPr>
                <w:sz w:val="20"/>
                <w:szCs w:val="20"/>
                <w:color w:val="auto"/>
              </w:rPr>
            </w:pPr>
            <w:r>
              <w:rPr>
                <w:rFonts w:ascii="Arial" w:cs="Arial" w:eastAsia="Arial" w:hAnsi="Arial"/>
                <w:sz w:val="22"/>
                <w:szCs w:val="22"/>
                <w:color w:val="auto"/>
              </w:rPr>
              <w:t>A350-900 Aircraft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1300" w:type="dxa"/>
            <w:vAlign w:val="bottom"/>
          </w:tcPr>
          <w:p>
            <w:pPr>
              <w:spacing w:after="0"/>
              <w:rPr>
                <w:sz w:val="20"/>
                <w:szCs w:val="20"/>
                <w:color w:val="auto"/>
              </w:rPr>
            </w:pPr>
            <w:r>
              <w:rPr>
                <w:rFonts w:ascii="Arial" w:cs="Arial" w:eastAsia="Arial" w:hAnsi="Arial"/>
                <w:sz w:val="22"/>
                <w:szCs w:val="22"/>
                <w:color w:val="auto"/>
              </w:rPr>
              <w:t>UNQUOTE</w:t>
            </w: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2" w:lineRule="exact"/>
        <w:rPr>
          <w:sz w:val="20"/>
          <w:szCs w:val="20"/>
          <w:color w:val="auto"/>
        </w:rPr>
      </w:pPr>
    </w:p>
    <w:p>
      <w:pPr>
        <w:ind w:left="1300" w:hanging="968"/>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PREDELIVERY PAYMENTS</w:t>
      </w:r>
    </w:p>
    <w:p>
      <w:pPr>
        <w:spacing w:after="0" w:line="22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0" w:lineRule="exact"/>
        <w:rPr>
          <w:sz w:val="20"/>
          <w:szCs w:val="20"/>
          <w:color w:val="auto"/>
        </w:rPr>
      </w:pPr>
    </w:p>
    <w:p>
      <w:pPr>
        <w:ind w:left="1300" w:hanging="968"/>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 No. 2 (predelivery payments)</w:t>
      </w:r>
    </w:p>
    <w:p>
      <w:pPr>
        <w:spacing w:after="0" w:line="226" w:lineRule="exact"/>
        <w:rPr>
          <w:sz w:val="20"/>
          <w:szCs w:val="20"/>
          <w:color w:val="auto"/>
        </w:rPr>
      </w:pPr>
    </w:p>
    <w:p>
      <w:pPr>
        <w:ind w:left="1300" w:hanging="971"/>
        <w:spacing w:after="0" w:line="263" w:lineRule="auto"/>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Clause 5.2.2 of the Agreement, as amended by Letter Agreement No. 2, is amended by deleting in its entirety the text located between ***, and replacing the same with the following quoted text:</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QUOTE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UNQUOTE</w:t>
      </w:r>
    </w:p>
    <w:p>
      <w:pPr>
        <w:spacing w:after="0" w:line="214" w:lineRule="exact"/>
        <w:rPr>
          <w:sz w:val="20"/>
          <w:szCs w:val="20"/>
          <w:color w:val="auto"/>
        </w:rPr>
      </w:pPr>
    </w:p>
    <w:p>
      <w:pPr>
        <w:ind w:left="1300" w:hanging="968"/>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 No. 3 (credit matters)</w:t>
      </w:r>
    </w:p>
    <w:p>
      <w:pPr>
        <w:spacing w:after="0" w:line="22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following quoted text is added at the end of Paragraph 1.2 of Letter Agreement No.3:</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620" w:type="dxa"/>
            <w:vAlign w:val="bottom"/>
          </w:tcPr>
          <w:p>
            <w:pPr>
              <w:spacing w:after="0"/>
              <w:rPr>
                <w:sz w:val="23"/>
                <w:szCs w:val="23"/>
                <w:color w:val="auto"/>
              </w:rPr>
            </w:pPr>
          </w:p>
        </w:tc>
        <w:tc>
          <w:tcPr>
            <w:tcW w:w="9800" w:type="dxa"/>
            <w:vAlign w:val="bottom"/>
          </w:tcPr>
          <w:p>
            <w:pPr>
              <w:ind w:left="1000"/>
              <w:spacing w:after="0"/>
              <w:rPr>
                <w:sz w:val="20"/>
                <w:szCs w:val="20"/>
                <w:color w:val="auto"/>
              </w:rPr>
            </w:pPr>
            <w:r>
              <w:rPr>
                <w:rFonts w:ascii="Arial" w:cs="Arial" w:eastAsia="Arial" w:hAnsi="Arial"/>
                <w:sz w:val="22"/>
                <w:szCs w:val="22"/>
                <w:color w:val="auto"/>
              </w:rPr>
              <w:t>QUOTE</w:t>
            </w:r>
          </w:p>
        </w:tc>
      </w:tr>
      <w:tr>
        <w:trPr>
          <w:trHeight w:val="473"/>
        </w:trPr>
        <w:tc>
          <w:tcPr>
            <w:tcW w:w="620" w:type="dxa"/>
            <w:vAlign w:val="bottom"/>
          </w:tcPr>
          <w:p>
            <w:pPr>
              <w:spacing w:after="0"/>
              <w:rPr>
                <w:sz w:val="24"/>
                <w:szCs w:val="24"/>
                <w:color w:val="auto"/>
              </w:rPr>
            </w:pPr>
          </w:p>
        </w:tc>
        <w:tc>
          <w:tcPr>
            <w:tcW w:w="9800" w:type="dxa"/>
            <w:vAlign w:val="bottom"/>
          </w:tcPr>
          <w:p>
            <w:pPr>
              <w:ind w:left="1640"/>
              <w:spacing w:after="0"/>
              <w:rPr>
                <w:sz w:val="20"/>
                <w:szCs w:val="20"/>
                <w:color w:val="auto"/>
              </w:rPr>
            </w:pPr>
            <w:r>
              <w:rPr>
                <w:rFonts w:ascii="Arial" w:cs="Arial" w:eastAsia="Arial" w:hAnsi="Arial"/>
                <w:sz w:val="22"/>
                <w:szCs w:val="22"/>
                <w:color w:val="auto"/>
              </w:rPr>
              <w:t>***</w:t>
            </w:r>
          </w:p>
        </w:tc>
      </w:tr>
      <w:tr>
        <w:trPr>
          <w:trHeight w:val="473"/>
        </w:trPr>
        <w:tc>
          <w:tcPr>
            <w:tcW w:w="620" w:type="dxa"/>
            <w:vAlign w:val="bottom"/>
          </w:tcPr>
          <w:p>
            <w:pPr>
              <w:spacing w:after="0"/>
              <w:rPr>
                <w:sz w:val="24"/>
                <w:szCs w:val="24"/>
                <w:color w:val="auto"/>
              </w:rPr>
            </w:pPr>
          </w:p>
        </w:tc>
        <w:tc>
          <w:tcPr>
            <w:tcW w:w="9800" w:type="dxa"/>
            <w:vAlign w:val="bottom"/>
          </w:tcPr>
          <w:p>
            <w:pPr>
              <w:ind w:left="1000"/>
              <w:spacing w:after="0"/>
              <w:rPr>
                <w:sz w:val="20"/>
                <w:szCs w:val="20"/>
                <w:color w:val="auto"/>
              </w:rPr>
            </w:pPr>
            <w:r>
              <w:rPr>
                <w:rFonts w:ascii="Arial" w:cs="Arial" w:eastAsia="Arial" w:hAnsi="Arial"/>
                <w:sz w:val="22"/>
                <w:szCs w:val="22"/>
                <w:color w:val="auto"/>
              </w:rPr>
              <w:t>UNQUOTE</w:t>
            </w:r>
          </w:p>
        </w:tc>
      </w:tr>
      <w:tr>
        <w:trPr>
          <w:trHeight w:val="689"/>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6.2</w:t>
            </w:r>
          </w:p>
        </w:tc>
        <w:tc>
          <w:tcPr>
            <w:tcW w:w="9800" w:type="dxa"/>
            <w:vAlign w:val="bottom"/>
          </w:tcPr>
          <w:p>
            <w:pPr>
              <w:ind w:left="340"/>
              <w:spacing w:after="0"/>
              <w:rPr>
                <w:sz w:val="20"/>
                <w:szCs w:val="20"/>
                <w:color w:val="auto"/>
              </w:rPr>
            </w:pPr>
            <w:r>
              <w:rPr>
                <w:rFonts w:ascii="Arial" w:cs="Arial" w:eastAsia="Arial" w:hAnsi="Arial"/>
                <w:sz w:val="22"/>
                <w:szCs w:val="22"/>
                <w:color w:val="auto"/>
                <w:w w:val="89"/>
              </w:rPr>
              <w:t>Paragraph 1.3 of Letter Agreement No.3 is deleted in its entirety and replaced with the following quoted text:</w:t>
            </w:r>
          </w:p>
        </w:tc>
      </w:tr>
      <w:tr>
        <w:trPr>
          <w:trHeight w:val="473"/>
        </w:trPr>
        <w:tc>
          <w:tcPr>
            <w:tcW w:w="6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22"/>
                <w:szCs w:val="22"/>
                <w:color w:val="auto"/>
              </w:rPr>
              <w:t>QUOTE</w:t>
            </w:r>
          </w:p>
        </w:tc>
      </w:tr>
      <w:tr>
        <w:trPr>
          <w:trHeight w:val="473"/>
        </w:trPr>
        <w:tc>
          <w:tcPr>
            <w:tcW w:w="620" w:type="dxa"/>
            <w:vAlign w:val="bottom"/>
          </w:tcPr>
          <w:p>
            <w:pPr>
              <w:spacing w:after="0"/>
              <w:rPr>
                <w:sz w:val="24"/>
                <w:szCs w:val="24"/>
                <w:color w:val="auto"/>
              </w:rPr>
            </w:pPr>
          </w:p>
        </w:tc>
        <w:tc>
          <w:tcPr>
            <w:tcW w:w="9800" w:type="dxa"/>
            <w:vAlign w:val="bottom"/>
          </w:tcPr>
          <w:p>
            <w:pPr>
              <w:ind w:left="1000"/>
              <w:spacing w:after="0"/>
              <w:rPr>
                <w:sz w:val="20"/>
                <w:szCs w:val="20"/>
                <w:color w:val="auto"/>
              </w:rPr>
            </w:pPr>
            <w:r>
              <w:rPr>
                <w:rFonts w:ascii="Arial" w:cs="Arial" w:eastAsia="Arial" w:hAnsi="Arial"/>
                <w:sz w:val="22"/>
                <w:szCs w:val="22"/>
                <w:color w:val="auto"/>
              </w:rPr>
              <w:t>***</w:t>
            </w:r>
          </w:p>
        </w:tc>
      </w:tr>
    </w:tbl>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UNQUOTE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2"/>
              </w:rPr>
              <w:t>CT1706024 - Amended and Restated A350-900 Purchase Agreement - Amendment No. 2 final</w:t>
            </w:r>
          </w:p>
        </w:tc>
        <w:tc>
          <w:tcPr>
            <w:tcW w:w="700" w:type="dxa"/>
            <w:vAlign w:val="bottom"/>
          </w:tcPr>
          <w:p>
            <w:pPr>
              <w:ind w:left="180"/>
              <w:spacing w:after="0"/>
              <w:rPr>
                <w:sz w:val="20"/>
                <w:szCs w:val="20"/>
                <w:color w:val="auto"/>
              </w:rPr>
            </w:pPr>
            <w:r>
              <w:rPr>
                <w:rFonts w:ascii="Arial" w:cs="Arial" w:eastAsia="Arial" w:hAnsi="Arial"/>
                <w:sz w:val="18"/>
                <w:szCs w:val="18"/>
                <w:color w:val="auto"/>
                <w:w w:val="94"/>
              </w:rPr>
              <w:t>AM2-6</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AIRBUS S.A.S. &amp; UNITED AIRLINES, INC. - PROPRIETARY AND CONFIDENTIAL</w:t>
            </w:r>
          </w:p>
        </w:tc>
        <w:tc>
          <w:tcPr>
            <w:tcW w:w="700" w:type="dxa"/>
            <w:vAlign w:val="bottom"/>
          </w:tcPr>
          <w:p>
            <w:pPr>
              <w:spacing w:after="0"/>
              <w:rPr>
                <w:sz w:val="20"/>
                <w:szCs w:val="20"/>
                <w:color w:val="auto"/>
              </w:rPr>
            </w:pPr>
          </w:p>
        </w:tc>
      </w:tr>
    </w:tbl>
    <w:p>
      <w:pPr>
        <w:sectPr>
          <w:pgSz w:w="11900" w:h="16838" w:orient="portrait"/>
          <w:cols w:equalWidth="0" w:num="1">
            <w:col w:w="11420"/>
          </w:cols>
          <w:pgMar w:left="240" w:top="604" w:right="239" w:bottom="1440" w:gutter="0" w:footer="0" w:header="0"/>
        </w:sectPr>
      </w:pPr>
    </w:p>
    <w:bookmarkStart w:id="133" w:name="page134"/>
    <w:bookmarkEnd w:id="133"/>
    <w:p>
      <w:pPr>
        <w:ind w:left="860" w:hanging="528"/>
        <w:spacing w:after="0"/>
        <w:tabs>
          <w:tab w:leader="none" w:pos="860" w:val="left"/>
        </w:tabs>
        <w:numPr>
          <w:ilvl w:val="0"/>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 No. 4 (***)</w:t>
      </w:r>
    </w:p>
    <w:p>
      <w:pPr>
        <w:spacing w:after="0" w:line="23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u w:val="single" w:color="auto"/>
          <w:color w:val="auto"/>
        </w:rPr>
        <w:t>*** Aircraft</w:t>
      </w:r>
    </w:p>
    <w:p>
      <w:pPr>
        <w:spacing w:after="0" w:line="233"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color w:val="auto"/>
        </w:rPr>
        <w:t>The table in Paragraph 2.2 of Letter Agreement No. 4 is deleted in its entirety and replaced with the following table: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QUOTE</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UNQUOTE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u w:val="single" w:color="auto"/>
          <w:color w:val="auto"/>
        </w:rPr>
        <w:t>***</w:t>
      </w:r>
    </w:p>
    <w:p>
      <w:pPr>
        <w:spacing w:after="0" w:line="220" w:lineRule="exact"/>
        <w:rPr>
          <w:sz w:val="20"/>
          <w:szCs w:val="20"/>
          <w:color w:val="auto"/>
        </w:rPr>
      </w:pPr>
    </w:p>
    <w:p>
      <w:pPr>
        <w:ind w:left="1300" w:hanging="971"/>
        <w:spacing w:after="0" w:line="263" w:lineRule="auto"/>
        <w:tabs>
          <w:tab w:leader="none" w:pos="1280" w:val="left"/>
        </w:tabs>
        <w:rPr>
          <w:sz w:val="20"/>
          <w:szCs w:val="20"/>
          <w:color w:val="auto"/>
        </w:rPr>
      </w:pPr>
      <w:r>
        <w:rPr>
          <w:rFonts w:ascii="Arial" w:cs="Arial" w:eastAsia="Arial" w:hAnsi="Arial"/>
          <w:sz w:val="22"/>
          <w:szCs w:val="22"/>
          <w:color w:val="auto"/>
        </w:rPr>
        <w:t>7.2.1</w:t>
      </w:r>
      <w:r>
        <w:rPr>
          <w:sz w:val="20"/>
          <w:szCs w:val="20"/>
          <w:color w:val="auto"/>
        </w:rPr>
        <w:tab/>
      </w:r>
      <w:r>
        <w:rPr>
          <w:rFonts w:ascii="Arial" w:cs="Arial" w:eastAsia="Arial" w:hAnsi="Arial"/>
          <w:sz w:val="22"/>
          <w:szCs w:val="22"/>
          <w:color w:val="auto"/>
        </w:rPr>
        <w:t>Sub-paragraph (ii) of Paragraph 3.1.3 of Letter Agreement No. 4 is deleted in its entirety and replaced with the following quoted text:</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QUOTE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UNQUOTE</w:t>
      </w:r>
    </w:p>
    <w:p>
      <w:pPr>
        <w:spacing w:after="0" w:line="220" w:lineRule="exact"/>
        <w:rPr>
          <w:sz w:val="20"/>
          <w:szCs w:val="20"/>
          <w:color w:val="auto"/>
        </w:rPr>
      </w:pPr>
    </w:p>
    <w:p>
      <w:pPr>
        <w:ind w:left="1300" w:right="20" w:hanging="971"/>
        <w:spacing w:after="0" w:line="263" w:lineRule="auto"/>
        <w:tabs>
          <w:tab w:leader="none" w:pos="1280" w:val="left"/>
        </w:tabs>
        <w:rPr>
          <w:sz w:val="20"/>
          <w:szCs w:val="20"/>
          <w:color w:val="auto"/>
        </w:rPr>
      </w:pPr>
      <w:r>
        <w:rPr>
          <w:rFonts w:ascii="Arial" w:cs="Arial" w:eastAsia="Arial" w:hAnsi="Arial"/>
          <w:sz w:val="22"/>
          <w:szCs w:val="22"/>
          <w:color w:val="auto"/>
        </w:rPr>
        <w:t>7.2.2</w:t>
      </w:r>
      <w:r>
        <w:rPr>
          <w:sz w:val="20"/>
          <w:szCs w:val="20"/>
          <w:color w:val="auto"/>
        </w:rPr>
        <w:tab/>
      </w:r>
      <w:r>
        <w:rPr>
          <w:rFonts w:ascii="Arial" w:cs="Arial" w:eastAsia="Arial" w:hAnsi="Arial"/>
          <w:sz w:val="22"/>
          <w:szCs w:val="22"/>
          <w:color w:val="auto"/>
        </w:rPr>
        <w:t>Sub-paragraph (iv) of Paragraph 3.1.3 of Letter Agreement No. 4 is deleted in its entirety and replaced with the following quoted text:</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QUOTE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UNQUOTE</w:t>
      </w:r>
    </w:p>
    <w:p>
      <w:pPr>
        <w:spacing w:after="0" w:line="220" w:lineRule="exact"/>
        <w:rPr>
          <w:sz w:val="20"/>
          <w:szCs w:val="20"/>
          <w:color w:val="auto"/>
        </w:rPr>
      </w:pPr>
    </w:p>
    <w:p>
      <w:pPr>
        <w:ind w:left="1300" w:hanging="971"/>
        <w:spacing w:after="0" w:line="263" w:lineRule="auto"/>
        <w:tabs>
          <w:tab w:leader="none" w:pos="1280" w:val="left"/>
        </w:tabs>
        <w:rPr>
          <w:sz w:val="20"/>
          <w:szCs w:val="20"/>
          <w:color w:val="auto"/>
        </w:rPr>
      </w:pPr>
      <w:r>
        <w:rPr>
          <w:rFonts w:ascii="Arial" w:cs="Arial" w:eastAsia="Arial" w:hAnsi="Arial"/>
          <w:sz w:val="22"/>
          <w:szCs w:val="22"/>
          <w:color w:val="auto"/>
        </w:rPr>
        <w:t>7.2.3</w:t>
      </w:r>
      <w:r>
        <w:rPr>
          <w:sz w:val="20"/>
          <w:szCs w:val="20"/>
          <w:color w:val="auto"/>
        </w:rPr>
        <w:tab/>
      </w:r>
      <w:r>
        <w:rPr>
          <w:rFonts w:ascii="Arial" w:cs="Arial" w:eastAsia="Arial" w:hAnsi="Arial"/>
          <w:sz w:val="22"/>
          <w:szCs w:val="22"/>
          <w:color w:val="auto"/>
        </w:rPr>
        <w:t>Sub-paragraph (ii) of the part of Paragraph 3.2.1 of Letter Agreement No. 4 which deals with *** is deleted in its entirety and replaced with the following quoted text:</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QUOTE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UNQUOTE</w:t>
      </w:r>
    </w:p>
    <w:p>
      <w:pPr>
        <w:spacing w:after="0" w:line="213" w:lineRule="exact"/>
        <w:rPr>
          <w:sz w:val="20"/>
          <w:szCs w:val="20"/>
          <w:color w:val="auto"/>
        </w:rPr>
      </w:pPr>
    </w:p>
    <w:p>
      <w:pPr>
        <w:ind w:right="3680"/>
        <w:spacing w:after="0" w:line="277" w:lineRule="auto"/>
        <w:rPr>
          <w:sz w:val="20"/>
          <w:szCs w:val="20"/>
          <w:color w:val="auto"/>
        </w:rPr>
      </w:pPr>
      <w:r>
        <w:rPr>
          <w:rFonts w:ascii="Arial" w:cs="Arial" w:eastAsia="Arial" w:hAnsi="Arial"/>
          <w:sz w:val="18"/>
          <w:szCs w:val="18"/>
          <w:color w:val="auto"/>
        </w:rPr>
        <w:t>CT1706024 - Amended and Restated A350-900 Purchase Agreement - Amendment No. 2 final AM2-7 AIRBUS S.A.S. &amp; UNITED AIRLINES, INC. - PROPRIETARY AND CONFIDENTIAL</w:t>
      </w:r>
    </w:p>
    <w:p>
      <w:pPr>
        <w:sectPr>
          <w:pgSz w:w="11900" w:h="16838" w:orient="portrait"/>
          <w:cols w:equalWidth="0" w:num="1">
            <w:col w:w="11420"/>
          </w:cols>
          <w:pgMar w:left="240" w:top="558" w:right="239" w:bottom="1440" w:gutter="0" w:footer="0" w:header="0"/>
        </w:sectPr>
      </w:pPr>
    </w:p>
    <w:bookmarkStart w:id="134" w:name="page135"/>
    <w:bookmarkEnd w:id="134"/>
    <w:p>
      <w:pPr>
        <w:ind w:left="340"/>
        <w:spacing w:after="0"/>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u w:val="single" w:color="auto"/>
          <w:color w:val="auto"/>
        </w:rPr>
        <w:t>***</w:t>
      </w:r>
    </w:p>
    <w:p>
      <w:pPr>
        <w:spacing w:after="0" w:line="22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7.3.1</w:t>
      </w:r>
      <w:r>
        <w:rPr>
          <w:sz w:val="20"/>
          <w:szCs w:val="20"/>
          <w:color w:val="auto"/>
        </w:rPr>
        <w:tab/>
      </w:r>
      <w:r>
        <w:rPr>
          <w:rFonts w:ascii="Arial" w:cs="Arial" w:eastAsia="Arial" w:hAnsi="Arial"/>
          <w:sz w:val="19"/>
          <w:szCs w:val="19"/>
          <w:color w:val="auto"/>
        </w:rPr>
        <w:t>Paragraph 4 of Letter Agreement No. 4 is deleted in its entirety and voided.</w:t>
      </w:r>
    </w:p>
    <w:p>
      <w:pPr>
        <w:spacing w:after="0" w:line="214" w:lineRule="exact"/>
        <w:rPr>
          <w:sz w:val="20"/>
          <w:szCs w:val="20"/>
          <w:color w:val="auto"/>
        </w:rPr>
      </w:pPr>
    </w:p>
    <w:p>
      <w:pPr>
        <w:ind w:left="1300" w:hanging="968"/>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 No. 6 (specification matters)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8.1</w:t>
            </w:r>
          </w:p>
        </w:tc>
        <w:tc>
          <w:tcPr>
            <w:tcW w:w="10460" w:type="dxa"/>
            <w:vAlign w:val="bottom"/>
          </w:tcPr>
          <w:p>
            <w:pPr>
              <w:ind w:left="340"/>
              <w:spacing w:after="0"/>
              <w:rPr>
                <w:sz w:val="20"/>
                <w:szCs w:val="20"/>
                <w:color w:val="auto"/>
              </w:rPr>
            </w:pPr>
            <w:r>
              <w:rPr>
                <w:rFonts w:ascii="Arial" w:cs="Arial" w:eastAsia="Arial" w:hAnsi="Arial"/>
                <w:sz w:val="22"/>
                <w:szCs w:val="22"/>
                <w:color w:val="auto"/>
              </w:rPr>
              <w:t>The last paragraph of Clause 2.1.1.1 (as amended by Letter Agreement No. 6) is deleted in its entirety.</w:t>
            </w: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8.2</w:t>
            </w:r>
          </w:p>
        </w:tc>
        <w:tc>
          <w:tcPr>
            <w:tcW w:w="10460" w:type="dxa"/>
            <w:vAlign w:val="bottom"/>
          </w:tcPr>
          <w:p>
            <w:pPr>
              <w:ind w:left="340"/>
              <w:spacing w:after="0"/>
              <w:rPr>
                <w:sz w:val="20"/>
                <w:szCs w:val="20"/>
                <w:color w:val="auto"/>
              </w:rPr>
            </w:pPr>
            <w:r>
              <w:rPr>
                <w:rFonts w:ascii="Arial" w:cs="Arial" w:eastAsia="Arial" w:hAnsi="Arial"/>
                <w:sz w:val="22"/>
                <w:szCs w:val="22"/>
                <w:color w:val="auto"/>
                <w:w w:val="98"/>
              </w:rPr>
              <w:t>The following quoted text is added at the end of Clause 2.1.1.2 (as amended by Letter Agreement No. 6):</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QUOTE</w:t>
            </w:r>
          </w:p>
        </w:tc>
      </w:tr>
      <w:tr>
        <w:trPr>
          <w:trHeight w:val="473"/>
        </w:trPr>
        <w:tc>
          <w:tcPr>
            <w:tcW w:w="620" w:type="dxa"/>
            <w:vAlign w:val="bottom"/>
          </w:tcPr>
          <w:p>
            <w:pPr>
              <w:spacing w:after="0"/>
              <w:rPr>
                <w:sz w:val="24"/>
                <w:szCs w:val="24"/>
                <w:color w:val="auto"/>
              </w:rPr>
            </w:pPr>
          </w:p>
        </w:tc>
        <w:tc>
          <w:tcPr>
            <w:tcW w:w="10460" w:type="dxa"/>
            <w:vAlign w:val="bottom"/>
          </w:tcPr>
          <w:p>
            <w:pPr>
              <w:ind w:left="2280"/>
              <w:spacing w:after="0"/>
              <w:rPr>
                <w:sz w:val="20"/>
                <w:szCs w:val="20"/>
                <w:color w:val="auto"/>
              </w:rPr>
            </w:pPr>
            <w:r>
              <w:rPr>
                <w:rFonts w:ascii="Arial" w:cs="Arial" w:eastAsia="Arial" w:hAnsi="Arial"/>
                <w:sz w:val="22"/>
                <w:szCs w:val="22"/>
                <w:color w:val="auto"/>
              </w:rPr>
              <w:t>***</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UNQUOTE</w:t>
            </w:r>
          </w:p>
        </w:tc>
      </w:tr>
      <w:tr>
        <w:trPr>
          <w:trHeight w:val="45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8.3</w:t>
            </w:r>
          </w:p>
        </w:tc>
        <w:tc>
          <w:tcPr>
            <w:tcW w:w="10460" w:type="dxa"/>
            <w:vAlign w:val="bottom"/>
          </w:tcPr>
          <w:p>
            <w:pPr>
              <w:ind w:left="340"/>
              <w:spacing w:after="0"/>
              <w:rPr>
                <w:sz w:val="20"/>
                <w:szCs w:val="20"/>
                <w:color w:val="auto"/>
              </w:rPr>
            </w:pPr>
            <w:r>
              <w:rPr>
                <w:rFonts w:ascii="Arial" w:cs="Arial" w:eastAsia="Arial" w:hAnsi="Arial"/>
                <w:sz w:val="22"/>
                <w:szCs w:val="22"/>
                <w:color w:val="auto"/>
                <w:w w:val="93"/>
              </w:rPr>
              <w:t>Clause 2.1.1.3 (as amended by Letter Agreement No. 6) is deleted in its entirety and replaced with the following</w:t>
            </w:r>
          </w:p>
        </w:tc>
      </w:tr>
      <w:tr>
        <w:trPr>
          <w:trHeight w:val="275"/>
        </w:trPr>
        <w:tc>
          <w:tcPr>
            <w:tcW w:w="620" w:type="dxa"/>
            <w:vAlign w:val="bottom"/>
          </w:tcPr>
          <w:p>
            <w:pPr>
              <w:spacing w:after="0"/>
              <w:rPr>
                <w:sz w:val="23"/>
                <w:szCs w:val="23"/>
                <w:color w:val="auto"/>
              </w:rPr>
            </w:pPr>
          </w:p>
        </w:tc>
        <w:tc>
          <w:tcPr>
            <w:tcW w:w="10460" w:type="dxa"/>
            <w:vAlign w:val="bottom"/>
          </w:tcPr>
          <w:p>
            <w:pPr>
              <w:ind w:left="340"/>
              <w:spacing w:after="0"/>
              <w:rPr>
                <w:sz w:val="20"/>
                <w:szCs w:val="20"/>
                <w:color w:val="auto"/>
              </w:rPr>
            </w:pPr>
            <w:r>
              <w:rPr>
                <w:rFonts w:ascii="Arial" w:cs="Arial" w:eastAsia="Arial" w:hAnsi="Arial"/>
                <w:sz w:val="22"/>
                <w:szCs w:val="22"/>
                <w:color w:val="auto"/>
              </w:rPr>
              <w:t>quoted text:</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QUOTE</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UNQUOTE</w:t>
            </w:r>
          </w:p>
        </w:tc>
      </w:tr>
      <w:tr>
        <w:trPr>
          <w:trHeight w:val="45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8.4</w:t>
            </w:r>
          </w:p>
        </w:tc>
        <w:tc>
          <w:tcPr>
            <w:tcW w:w="10460" w:type="dxa"/>
            <w:vAlign w:val="bottom"/>
          </w:tcPr>
          <w:p>
            <w:pPr>
              <w:ind w:left="340"/>
              <w:spacing w:after="0"/>
              <w:rPr>
                <w:sz w:val="20"/>
                <w:szCs w:val="20"/>
                <w:color w:val="auto"/>
              </w:rPr>
            </w:pPr>
            <w:r>
              <w:rPr>
                <w:rFonts w:ascii="Arial" w:cs="Arial" w:eastAsia="Arial" w:hAnsi="Arial"/>
                <w:sz w:val="22"/>
                <w:szCs w:val="22"/>
                <w:color w:val="auto"/>
                <w:w w:val="94"/>
              </w:rPr>
              <w:t>Clause 2.1.2 (as amended by Letter Agreement No. 6) is deleted in its entirety and replaced with the following</w:t>
            </w:r>
          </w:p>
        </w:tc>
      </w:tr>
      <w:tr>
        <w:trPr>
          <w:trHeight w:val="275"/>
        </w:trPr>
        <w:tc>
          <w:tcPr>
            <w:tcW w:w="620" w:type="dxa"/>
            <w:vAlign w:val="bottom"/>
          </w:tcPr>
          <w:p>
            <w:pPr>
              <w:spacing w:after="0"/>
              <w:rPr>
                <w:sz w:val="23"/>
                <w:szCs w:val="23"/>
                <w:color w:val="auto"/>
              </w:rPr>
            </w:pPr>
          </w:p>
        </w:tc>
        <w:tc>
          <w:tcPr>
            <w:tcW w:w="10460" w:type="dxa"/>
            <w:vAlign w:val="bottom"/>
          </w:tcPr>
          <w:p>
            <w:pPr>
              <w:ind w:left="340"/>
              <w:spacing w:after="0"/>
              <w:rPr>
                <w:sz w:val="20"/>
                <w:szCs w:val="20"/>
                <w:color w:val="auto"/>
              </w:rPr>
            </w:pPr>
            <w:r>
              <w:rPr>
                <w:rFonts w:ascii="Arial" w:cs="Arial" w:eastAsia="Arial" w:hAnsi="Arial"/>
                <w:sz w:val="22"/>
                <w:szCs w:val="22"/>
                <w:color w:val="auto"/>
              </w:rPr>
              <w:t>quoted text:</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QUOTE</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w:t>
            </w:r>
          </w:p>
        </w:tc>
      </w:tr>
      <w:tr>
        <w:trPr>
          <w:trHeight w:val="473"/>
        </w:trPr>
        <w:tc>
          <w:tcPr>
            <w:tcW w:w="62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22"/>
                <w:szCs w:val="22"/>
                <w:color w:val="auto"/>
              </w:rPr>
              <w:t>UNQUOTE</w:t>
            </w:r>
          </w:p>
        </w:tc>
      </w:tr>
      <w:tr>
        <w:trPr>
          <w:trHeight w:val="45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8.5</w:t>
            </w:r>
          </w:p>
        </w:tc>
        <w:tc>
          <w:tcPr>
            <w:tcW w:w="10460" w:type="dxa"/>
            <w:vAlign w:val="bottom"/>
          </w:tcPr>
          <w:p>
            <w:pPr>
              <w:ind w:left="340"/>
              <w:spacing w:after="0"/>
              <w:rPr>
                <w:sz w:val="20"/>
                <w:szCs w:val="20"/>
                <w:color w:val="auto"/>
              </w:rPr>
            </w:pPr>
            <w:r>
              <w:rPr>
                <w:rFonts w:ascii="Arial" w:cs="Arial" w:eastAsia="Arial" w:hAnsi="Arial"/>
                <w:sz w:val="22"/>
                <w:szCs w:val="22"/>
                <w:color w:val="auto"/>
                <w:w w:val="91"/>
              </w:rPr>
              <w:t>The first paragraph of Clause 2.1.3 (as amended by Letter Agreement No. 6) is deleted in its entirety and replaced</w:t>
            </w:r>
          </w:p>
        </w:tc>
      </w:tr>
      <w:tr>
        <w:trPr>
          <w:trHeight w:val="275"/>
        </w:trPr>
        <w:tc>
          <w:tcPr>
            <w:tcW w:w="620" w:type="dxa"/>
            <w:vAlign w:val="bottom"/>
          </w:tcPr>
          <w:p>
            <w:pPr>
              <w:spacing w:after="0"/>
              <w:rPr>
                <w:sz w:val="23"/>
                <w:szCs w:val="23"/>
                <w:color w:val="auto"/>
              </w:rPr>
            </w:pPr>
          </w:p>
        </w:tc>
        <w:tc>
          <w:tcPr>
            <w:tcW w:w="10460" w:type="dxa"/>
            <w:vAlign w:val="bottom"/>
          </w:tcPr>
          <w:p>
            <w:pPr>
              <w:ind w:left="340"/>
              <w:spacing w:after="0"/>
              <w:rPr>
                <w:sz w:val="20"/>
                <w:szCs w:val="20"/>
                <w:color w:val="auto"/>
              </w:rPr>
            </w:pPr>
            <w:r>
              <w:rPr>
                <w:rFonts w:ascii="Arial" w:cs="Arial" w:eastAsia="Arial" w:hAnsi="Arial"/>
                <w:sz w:val="22"/>
                <w:szCs w:val="22"/>
                <w:color w:val="auto"/>
              </w:rPr>
              <w:t>with the following quoted text:</w:t>
            </w:r>
          </w:p>
        </w:tc>
      </w:tr>
    </w:tbl>
    <w:p>
      <w:pPr>
        <w:spacing w:after="0" w:line="1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QUOTE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UNQUOTE</w:t>
      </w:r>
    </w:p>
    <w:p>
      <w:pPr>
        <w:spacing w:after="0" w:line="213" w:lineRule="exact"/>
        <w:rPr>
          <w:sz w:val="20"/>
          <w:szCs w:val="20"/>
          <w:color w:val="auto"/>
        </w:rPr>
      </w:pPr>
    </w:p>
    <w:p>
      <w:pPr>
        <w:ind w:right="3680"/>
        <w:spacing w:after="0" w:line="277" w:lineRule="auto"/>
        <w:rPr>
          <w:sz w:val="20"/>
          <w:szCs w:val="20"/>
          <w:color w:val="auto"/>
        </w:rPr>
      </w:pPr>
      <w:r>
        <w:rPr>
          <w:rFonts w:ascii="Arial" w:cs="Arial" w:eastAsia="Arial" w:hAnsi="Arial"/>
          <w:sz w:val="18"/>
          <w:szCs w:val="18"/>
          <w:color w:val="auto"/>
        </w:rPr>
        <w:t>CT1706024 - Amended and Restated A350-900 Purchase Agreement - Amendment No. 2 final AM2-8 AIRBUS S.A.S. &amp; UNITED AIRLINES, INC. - PROPRIETARY AND CONFIDENTIAL</w:t>
      </w:r>
    </w:p>
    <w:p>
      <w:pPr>
        <w:sectPr>
          <w:pgSz w:w="11900" w:h="16838" w:orient="portrait"/>
          <w:cols w:equalWidth="0" w:num="1">
            <w:col w:w="11420"/>
          </w:cols>
          <w:pgMar w:left="240" w:top="780" w:right="239" w:bottom="1440" w:gutter="0" w:footer="0" w:header="0"/>
        </w:sectPr>
      </w:pPr>
    </w:p>
    <w:bookmarkStart w:id="135" w:name="page136"/>
    <w:bookmarkEnd w:id="135"/>
    <w:p>
      <w:pPr>
        <w:ind w:left="340"/>
        <w:spacing w:after="0"/>
        <w:tabs>
          <w:tab w:leader="none" w:pos="12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color w:val="auto"/>
        </w:rPr>
        <w:t>The third paragraph of Clause 2.1.3 (as amended by Letter Agreement No. 6) is amended by ***.</w:t>
      </w:r>
    </w:p>
    <w:p>
      <w:pPr>
        <w:spacing w:after="0" w:line="22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color w:val="auto"/>
        </w:rPr>
        <w:t>Clauses 2.5.1 and 2.5.2 (as amended by Letter Agreement No. 6) are amended by ***.</w:t>
      </w:r>
    </w:p>
    <w:p>
      <w:pPr>
        <w:spacing w:after="0" w:line="214" w:lineRule="exact"/>
        <w:rPr>
          <w:sz w:val="20"/>
          <w:szCs w:val="20"/>
          <w:color w:val="auto"/>
        </w:rPr>
      </w:pPr>
    </w:p>
    <w:p>
      <w:pPr>
        <w:ind w:left="1300" w:hanging="968"/>
        <w:spacing w:after="0"/>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 No. 14 (aircraft order matters)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9.1</w:t>
            </w: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w w:val="92"/>
              </w:rPr>
              <w:t>Paragraph 1.1 (i) of Letter Agreement No. 14 is deleted in its entirety and replaced with the following quoted text:</w:t>
            </w:r>
          </w:p>
        </w:tc>
      </w:tr>
      <w:tr>
        <w:trPr>
          <w:trHeight w:val="473"/>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220"/>
              <w:spacing w:after="0"/>
              <w:rPr>
                <w:sz w:val="20"/>
                <w:szCs w:val="20"/>
                <w:color w:val="auto"/>
              </w:rPr>
            </w:pPr>
            <w:r>
              <w:rPr>
                <w:rFonts w:ascii="Arial" w:cs="Arial" w:eastAsia="Arial" w:hAnsi="Arial"/>
                <w:sz w:val="22"/>
                <w:szCs w:val="22"/>
                <w:color w:val="auto"/>
              </w:rPr>
              <w:t>QUOTE</w:t>
            </w:r>
          </w:p>
        </w:tc>
      </w:tr>
      <w:tr>
        <w:trPr>
          <w:trHeight w:val="455"/>
        </w:trPr>
        <w:tc>
          <w:tcPr>
            <w:tcW w:w="6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22"/>
                <w:szCs w:val="22"/>
                <w:color w:val="auto"/>
              </w:rPr>
              <w:t>(i)</w:t>
            </w:r>
          </w:p>
        </w:tc>
        <w:tc>
          <w:tcPr>
            <w:tcW w:w="9680" w:type="dxa"/>
            <w:vAlign w:val="bottom"/>
          </w:tcPr>
          <w:p>
            <w:pPr>
              <w:ind w:left="220"/>
              <w:spacing w:after="0"/>
              <w:rPr>
                <w:sz w:val="20"/>
                <w:szCs w:val="20"/>
                <w:color w:val="auto"/>
              </w:rPr>
            </w:pPr>
            <w:r>
              <w:rPr>
                <w:rFonts w:ascii="Arial" w:cs="Arial" w:eastAsia="Arial" w:hAnsi="Arial"/>
                <w:sz w:val="22"/>
                <w:szCs w:val="22"/>
                <w:color w:val="auto"/>
                <w:w w:val="95"/>
              </w:rPr>
              <w:t>The *** is only granted to the Buyer for *** of the Aircraft which are included in the Buyer’s *** order of</w:t>
            </w:r>
          </w:p>
        </w:tc>
      </w:tr>
      <w:tr>
        <w:trPr>
          <w:trHeight w:val="275"/>
        </w:trPr>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80" w:type="dxa"/>
            <w:vAlign w:val="bottom"/>
          </w:tcPr>
          <w:p>
            <w:pPr>
              <w:ind w:left="220"/>
              <w:spacing w:after="0"/>
              <w:rPr>
                <w:sz w:val="20"/>
                <w:szCs w:val="20"/>
                <w:color w:val="auto"/>
              </w:rPr>
            </w:pPr>
            <w:r>
              <w:rPr>
                <w:rFonts w:ascii="Arial" w:cs="Arial" w:eastAsia="Arial" w:hAnsi="Arial"/>
                <w:sz w:val="22"/>
                <w:szCs w:val="22"/>
                <w:color w:val="auto"/>
              </w:rPr>
              <w:t>forty-five (45) Aircraft, as follows (each a “***”):</w:t>
            </w:r>
          </w:p>
        </w:tc>
      </w:tr>
      <w:tr>
        <w:trPr>
          <w:trHeight w:val="473"/>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22"/>
                <w:szCs w:val="22"/>
                <w:color w:val="auto"/>
              </w:rPr>
              <w:t>a.  Aircraft ***,</w:t>
            </w:r>
          </w:p>
        </w:tc>
      </w:tr>
      <w:tr>
        <w:trPr>
          <w:trHeight w:val="486"/>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22"/>
                <w:szCs w:val="22"/>
                <w:color w:val="auto"/>
              </w:rPr>
              <w:t>b.  *** Aircraft with a Scheduled Delivery ***,</w:t>
            </w:r>
          </w:p>
        </w:tc>
      </w:tr>
      <w:tr>
        <w:trPr>
          <w:trHeight w:val="486"/>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22"/>
                <w:szCs w:val="22"/>
                <w:color w:val="auto"/>
              </w:rPr>
              <w:t>c.  *** Aircraft with a Scheduled Delivery ***,</w:t>
            </w:r>
          </w:p>
        </w:tc>
      </w:tr>
      <w:tr>
        <w:trPr>
          <w:trHeight w:val="486"/>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22"/>
                <w:szCs w:val="22"/>
                <w:color w:val="auto"/>
              </w:rPr>
              <w:t>d.  *** Aircraft with a Scheduled Delivery ***,</w:t>
            </w:r>
          </w:p>
        </w:tc>
      </w:tr>
      <w:tr>
        <w:trPr>
          <w:trHeight w:val="486"/>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22"/>
                <w:szCs w:val="22"/>
                <w:color w:val="auto"/>
              </w:rPr>
              <w:t>e.  *** Aircraft with a Scheduled Delivery ***,</w:t>
            </w:r>
          </w:p>
        </w:tc>
      </w:tr>
      <w:tr>
        <w:trPr>
          <w:trHeight w:val="486"/>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22"/>
                <w:szCs w:val="22"/>
                <w:color w:val="auto"/>
              </w:rPr>
              <w:t>f.  *** Aircraft with a Scheduled Delivery ***.</w:t>
            </w:r>
          </w:p>
        </w:tc>
      </w:tr>
      <w:tr>
        <w:trPr>
          <w:trHeight w:val="486"/>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80" w:type="dxa"/>
            <w:vAlign w:val="bottom"/>
          </w:tcPr>
          <w:p>
            <w:pPr>
              <w:ind w:left="220"/>
              <w:spacing w:after="0"/>
              <w:rPr>
                <w:sz w:val="20"/>
                <w:szCs w:val="20"/>
                <w:color w:val="auto"/>
              </w:rPr>
            </w:pPr>
            <w:r>
              <w:rPr>
                <w:rFonts w:ascii="Arial" w:cs="Arial" w:eastAsia="Arial" w:hAnsi="Arial"/>
                <w:sz w:val="22"/>
                <w:szCs w:val="22"/>
                <w:color w:val="auto"/>
              </w:rPr>
              <w:t>UNQUOTE</w:t>
            </w:r>
          </w:p>
        </w:tc>
      </w:tr>
      <w:tr>
        <w:trPr>
          <w:trHeight w:val="45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9.2</w:t>
            </w: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w w:val="91"/>
              </w:rPr>
              <w:t>The Decision Window, as such term is defined in Paragraph 1.1 (ii) of Letter Agreement No. 14, is amended to be</w:t>
            </w:r>
          </w:p>
        </w:tc>
      </w:tr>
      <w:tr>
        <w:trPr>
          <w:trHeight w:val="275"/>
        </w:trPr>
        <w:tc>
          <w:tcPr>
            <w:tcW w:w="620" w:type="dxa"/>
            <w:vAlign w:val="bottom"/>
          </w:tcPr>
          <w:p>
            <w:pPr>
              <w:spacing w:after="0"/>
              <w:rPr>
                <w:sz w:val="23"/>
                <w:szCs w:val="23"/>
                <w:color w:val="auto"/>
              </w:rPr>
            </w:pP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rPr>
              <w:t>the period between *** and ***.</w:t>
            </w:r>
          </w:p>
        </w:tc>
      </w:tr>
      <w:tr>
        <w:trPr>
          <w:trHeight w:val="455"/>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9.3</w:t>
            </w: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w w:val="94"/>
              </w:rPr>
              <w:t>The date by which the *** Agreement shall enter in full force and effect, as set out in Paragraph 2.2 (i) of Letter</w:t>
            </w:r>
          </w:p>
        </w:tc>
      </w:tr>
      <w:tr>
        <w:trPr>
          <w:trHeight w:val="275"/>
        </w:trPr>
        <w:tc>
          <w:tcPr>
            <w:tcW w:w="620" w:type="dxa"/>
            <w:vAlign w:val="bottom"/>
          </w:tcPr>
          <w:p>
            <w:pPr>
              <w:spacing w:after="0"/>
              <w:rPr>
                <w:sz w:val="23"/>
                <w:szCs w:val="23"/>
                <w:color w:val="auto"/>
              </w:rPr>
            </w:pP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rPr>
              <w:t>Agreement No. 14, is amended to be ***.</w:t>
            </w: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9.4</w:t>
            </w: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rPr>
              <w:t>***, as set out in Paragraph 2.2 (iii) of Letter Agreement No. 14, is amended to read ***.</w:t>
            </w: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9.5</w:t>
            </w: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rPr>
              <w:t>***, as set out in Paragraph 2.3 (iii) of Letter Agreement No. 14, is amended to read ***.</w:t>
            </w:r>
          </w:p>
        </w:tc>
      </w:tr>
      <w:tr>
        <w:trPr>
          <w:trHeight w:val="473"/>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9.6</w:t>
            </w:r>
          </w:p>
        </w:tc>
        <w:tc>
          <w:tcPr>
            <w:tcW w:w="10460" w:type="dxa"/>
            <w:vAlign w:val="bottom"/>
            <w:gridSpan w:val="2"/>
          </w:tcPr>
          <w:p>
            <w:pPr>
              <w:ind w:left="340"/>
              <w:spacing w:after="0"/>
              <w:rPr>
                <w:sz w:val="20"/>
                <w:szCs w:val="20"/>
                <w:color w:val="auto"/>
              </w:rPr>
            </w:pPr>
            <w:r>
              <w:rPr>
                <w:rFonts w:ascii="Arial" w:cs="Arial" w:eastAsia="Arial" w:hAnsi="Arial"/>
                <w:sz w:val="22"/>
                <w:szCs w:val="22"/>
                <w:color w:val="auto"/>
              </w:rPr>
              <w:t>The date up to ***, as set out in Paragraph 2.3 of Letter Agreement No. 14, is amended to read ***.</w:t>
            </w:r>
          </w:p>
        </w:tc>
      </w:tr>
    </w:tbl>
    <w:p>
      <w:pPr>
        <w:spacing w:after="0" w:line="192" w:lineRule="exact"/>
        <w:rPr>
          <w:sz w:val="20"/>
          <w:szCs w:val="20"/>
          <w:color w:val="auto"/>
        </w:rPr>
      </w:pPr>
    </w:p>
    <w:p>
      <w:pPr>
        <w:ind w:left="1300" w:hanging="968"/>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EXIBIT B-2</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2"/>
              </w:rPr>
              <w:t>CT1706024 - Amended and Restated A350-900 Purchase Agreement - Amendment No. 2 final</w:t>
            </w:r>
          </w:p>
        </w:tc>
        <w:tc>
          <w:tcPr>
            <w:tcW w:w="700" w:type="dxa"/>
            <w:vAlign w:val="bottom"/>
          </w:tcPr>
          <w:p>
            <w:pPr>
              <w:ind w:left="180"/>
              <w:spacing w:after="0"/>
              <w:rPr>
                <w:sz w:val="20"/>
                <w:szCs w:val="20"/>
                <w:color w:val="auto"/>
              </w:rPr>
            </w:pPr>
            <w:r>
              <w:rPr>
                <w:rFonts w:ascii="Arial" w:cs="Arial" w:eastAsia="Arial" w:hAnsi="Arial"/>
                <w:sz w:val="18"/>
                <w:szCs w:val="18"/>
                <w:color w:val="auto"/>
                <w:w w:val="94"/>
              </w:rPr>
              <w:t>AM2-9</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AIRBUS S.A.S. &amp; UNITED AIRLINES, INC. - PROPRIETARY AND CONFIDENTIAL</w:t>
            </w:r>
          </w:p>
        </w:tc>
        <w:tc>
          <w:tcPr>
            <w:tcW w:w="700" w:type="dxa"/>
            <w:vAlign w:val="bottom"/>
          </w:tcPr>
          <w:p>
            <w:pPr>
              <w:spacing w:after="0"/>
              <w:rPr>
                <w:sz w:val="20"/>
                <w:szCs w:val="20"/>
                <w:color w:val="auto"/>
              </w:rPr>
            </w:pPr>
          </w:p>
        </w:tc>
      </w:tr>
    </w:tbl>
    <w:p>
      <w:pPr>
        <w:sectPr>
          <w:pgSz w:w="11900" w:h="16838" w:orient="portrait"/>
          <w:cols w:equalWidth="0" w:num="1">
            <w:col w:w="11420"/>
          </w:cols>
          <w:pgMar w:left="240" w:top="820" w:right="239" w:bottom="1440" w:gutter="0" w:footer="0" w:header="0"/>
        </w:sectPr>
      </w:pPr>
    </w:p>
    <w:bookmarkStart w:id="136" w:name="page137"/>
    <w:bookmarkEnd w:id="136"/>
    <w:p>
      <w:pPr>
        <w:ind w:left="340"/>
        <w:spacing w:after="0"/>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The reference reading *** of the Agreement is amended to read ***.</w:t>
      </w:r>
    </w:p>
    <w:p>
      <w:pPr>
        <w:spacing w:after="0" w:line="22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The reference reading *** of the Agreement is amended to read ***.</w:t>
      </w:r>
    </w:p>
    <w:p>
      <w:pPr>
        <w:spacing w:after="0" w:line="22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The reference reading *** of the Agreement is amended to read ***.</w:t>
      </w:r>
    </w:p>
    <w:p>
      <w:pPr>
        <w:spacing w:after="0" w:line="214" w:lineRule="exact"/>
        <w:rPr>
          <w:sz w:val="20"/>
          <w:szCs w:val="20"/>
          <w:color w:val="auto"/>
        </w:rPr>
      </w:pPr>
    </w:p>
    <w:p>
      <w:pPr>
        <w:ind w:left="1300" w:hanging="968"/>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THE AMENDMENT</w:t>
      </w:r>
    </w:p>
    <w:p>
      <w:pPr>
        <w:spacing w:after="0" w:line="226"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color w:val="auto"/>
        </w:rPr>
        <w:t>The Agreement will be deemed amended to the extent herein provided, and, except as specifically amended hereby, will continue in full force and effect in accordance with its original terms. This Amendment No. 2 supersedes any previous understandings, commitments, or representations whatsoever, whether oral or written, related to the subject matter of this Amendment No. 2.</w:t>
      </w:r>
    </w:p>
    <w:p>
      <w:pPr>
        <w:spacing w:after="0" w:line="188"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2"/>
          <w:szCs w:val="22"/>
          <w:color w:val="auto"/>
        </w:rPr>
        <w:t>Both parties agree that this Amendment No. 2 will constitute an integral, non-severable part of the Agreement, that the provisions of the Agreement are hereby incorporated herein by reference, and that this Amendment No. 2 will be governed by the provisions of the Agreement, except that if the Agreement and this Amendment No. 2 have specific provisions that are inconsistent, the specific provisions contained in this Amendment No. 2 will govern.</w:t>
      </w:r>
    </w:p>
    <w:p>
      <w:pPr>
        <w:spacing w:after="0" w:line="186" w:lineRule="exact"/>
        <w:rPr>
          <w:sz w:val="20"/>
          <w:szCs w:val="20"/>
          <w:color w:val="auto"/>
        </w:rPr>
      </w:pPr>
    </w:p>
    <w:p>
      <w:pPr>
        <w:ind w:left="1300" w:hanging="968"/>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p>
    <w:p>
      <w:pPr>
        <w:spacing w:after="0" w:line="226" w:lineRule="exact"/>
        <w:rPr>
          <w:sz w:val="20"/>
          <w:szCs w:val="20"/>
          <w:color w:val="auto"/>
        </w:rPr>
      </w:pPr>
    </w:p>
    <w:p>
      <w:pPr>
        <w:ind w:left="1300" w:right="20" w:firstLine="648"/>
        <w:spacing w:after="0" w:line="263" w:lineRule="auto"/>
        <w:rPr>
          <w:sz w:val="20"/>
          <w:szCs w:val="20"/>
          <w:color w:val="auto"/>
        </w:rPr>
      </w:pPr>
      <w:r>
        <w:rPr>
          <w:rFonts w:ascii="Arial" w:cs="Arial" w:eastAsia="Arial" w:hAnsi="Arial"/>
          <w:sz w:val="22"/>
          <w:szCs w:val="22"/>
          <w:color w:val="auto"/>
        </w:rPr>
        <w:t>This Amendment No. 2 and the rights and obligations of the parties will be subject to the provisions of Clause 21 of the Agreement.</w:t>
      </w:r>
    </w:p>
    <w:p>
      <w:pPr>
        <w:spacing w:after="0" w:line="169" w:lineRule="exact"/>
        <w:rPr>
          <w:sz w:val="20"/>
          <w:szCs w:val="20"/>
          <w:color w:val="auto"/>
        </w:rPr>
      </w:pPr>
    </w:p>
    <w:p>
      <w:pPr>
        <w:ind w:left="1300" w:hanging="968"/>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p>
    <w:p>
      <w:pPr>
        <w:spacing w:after="0" w:line="22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This Amendment No. 2 is subject to the terms and conditions of Clause 22.10 of the Agreement.</w:t>
      </w:r>
    </w:p>
    <w:p>
      <w:pPr>
        <w:spacing w:after="0" w:line="214" w:lineRule="exact"/>
        <w:rPr>
          <w:sz w:val="20"/>
          <w:szCs w:val="20"/>
          <w:color w:val="auto"/>
        </w:rPr>
      </w:pPr>
    </w:p>
    <w:p>
      <w:pPr>
        <w:ind w:left="1300" w:hanging="968"/>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p>
    <w:p>
      <w:pPr>
        <w:spacing w:after="0" w:line="22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governing law shall be as set forth in Clause 22.6 of the Agreement.</w:t>
      </w:r>
    </w:p>
    <w:p>
      <w:pPr>
        <w:spacing w:after="0" w:line="214" w:lineRule="exact"/>
        <w:rPr>
          <w:sz w:val="20"/>
          <w:szCs w:val="20"/>
          <w:color w:val="auto"/>
        </w:rPr>
      </w:pPr>
    </w:p>
    <w:p>
      <w:pPr>
        <w:ind w:left="1300" w:hanging="968"/>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p>
    <w:p>
      <w:pPr>
        <w:spacing w:after="0" w:line="226"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This Amendment No. 2 may be executed by the parties hereto in separate counterparts, each of which when so executed and delivered will be an original, but all such counterparts will together constitute one and the same instrument.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2"/>
              </w:rPr>
              <w:t>CT1706024 - Amended and Restated A350-900 Purchase Agreement - Amendment No. 2 final</w:t>
            </w:r>
          </w:p>
        </w:tc>
        <w:tc>
          <w:tcPr>
            <w:tcW w:w="800" w:type="dxa"/>
            <w:vAlign w:val="bottom"/>
          </w:tcPr>
          <w:p>
            <w:pPr>
              <w:ind w:left="180"/>
              <w:spacing w:after="0"/>
              <w:rPr>
                <w:sz w:val="20"/>
                <w:szCs w:val="20"/>
                <w:color w:val="auto"/>
              </w:rPr>
            </w:pPr>
            <w:r>
              <w:rPr>
                <w:rFonts w:ascii="Arial" w:cs="Arial" w:eastAsia="Arial" w:hAnsi="Arial"/>
                <w:sz w:val="18"/>
                <w:szCs w:val="18"/>
                <w:color w:val="auto"/>
                <w:w w:val="95"/>
              </w:rPr>
              <w:t>AM2-10</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AIRBUS S.A.S. &amp; UNITED AIRLINES, INC. - PROPRIETARY AND CONFIDENTIAL</w:t>
            </w:r>
          </w:p>
        </w:tc>
        <w:tc>
          <w:tcPr>
            <w:tcW w:w="800" w:type="dxa"/>
            <w:vAlign w:val="bottom"/>
          </w:tcPr>
          <w:p>
            <w:pPr>
              <w:spacing w:after="0"/>
              <w:rPr>
                <w:sz w:val="20"/>
                <w:szCs w:val="20"/>
                <w:color w:val="auto"/>
              </w:rPr>
            </w:pPr>
          </w:p>
        </w:tc>
      </w:tr>
    </w:tbl>
    <w:p>
      <w:pPr>
        <w:sectPr>
          <w:pgSz w:w="11900" w:h="16838" w:orient="portrait"/>
          <w:cols w:equalWidth="0" w:num="1">
            <w:col w:w="11420"/>
          </w:cols>
          <w:pgMar w:left="240" w:top="348" w:right="239" w:bottom="1440" w:gutter="0" w:footer="0" w:header="0"/>
        </w:sectPr>
      </w:pPr>
    </w:p>
    <w:bookmarkStart w:id="137" w:name="page138"/>
    <w:bookmarkEnd w:id="137"/>
    <w:p>
      <w:pPr>
        <w:ind w:left="340"/>
        <w:spacing w:after="0"/>
        <w:rPr>
          <w:sz w:val="20"/>
          <w:szCs w:val="20"/>
          <w:color w:val="auto"/>
        </w:rPr>
      </w:pPr>
      <w:r>
        <w:rPr>
          <w:rFonts w:ascii="Arial" w:cs="Arial" w:eastAsia="Arial" w:hAnsi="Arial"/>
          <w:sz w:val="18"/>
          <w:szCs w:val="18"/>
          <w:color w:val="auto"/>
        </w:rPr>
        <w:t xml:space="preserve">IN WITNESS WHEREOF, this Amendment </w:t>
      </w:r>
      <w:r>
        <w:rPr>
          <w:rFonts w:ascii="Arial" w:cs="Arial" w:eastAsia="Arial" w:hAnsi="Arial"/>
          <w:sz w:val="16"/>
          <w:szCs w:val="16"/>
          <w:color w:val="auto"/>
        </w:rPr>
        <w:t>No. 2</w:t>
      </w:r>
      <w:r>
        <w:rPr>
          <w:rFonts w:ascii="Arial" w:cs="Arial" w:eastAsia="Arial" w:hAnsi="Arial"/>
          <w:sz w:val="18"/>
          <w:szCs w:val="18"/>
          <w:color w:val="auto"/>
        </w:rPr>
        <w:t xml:space="preserve"> was entered into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UNITED AIRLINES, INC.</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Gerald Laderman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Gerald Laderman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Executive Vice President &amp;</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AIRBUS S.A.S.</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Benoit de Saint Exupéry</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Benoit de Saint Exupéry</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2"/>
              </w:rPr>
              <w:t>CT1706024 - Amended and Restated A350-900 Purchase Agreement - Amendment No. 2 final</w:t>
            </w:r>
          </w:p>
        </w:tc>
        <w:tc>
          <w:tcPr>
            <w:tcW w:w="780" w:type="dxa"/>
            <w:vAlign w:val="bottom"/>
          </w:tcPr>
          <w:p>
            <w:pPr>
              <w:ind w:left="180"/>
              <w:spacing w:after="0"/>
              <w:rPr>
                <w:sz w:val="20"/>
                <w:szCs w:val="20"/>
                <w:color w:val="auto"/>
              </w:rPr>
            </w:pPr>
            <w:r>
              <w:rPr>
                <w:rFonts w:ascii="Arial" w:cs="Arial" w:eastAsia="Arial" w:hAnsi="Arial"/>
                <w:sz w:val="18"/>
                <w:szCs w:val="18"/>
                <w:color w:val="auto"/>
                <w:w w:val="91"/>
              </w:rPr>
              <w:t>AM2-11</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AIRBUS S.A.S. &amp; UNITED AIRLINES, INC. - PROPRIETARY AND CONFIDENTIAL</w:t>
            </w:r>
          </w:p>
        </w:tc>
        <w:tc>
          <w:tcPr>
            <w:tcW w:w="780" w:type="dxa"/>
            <w:vAlign w:val="bottom"/>
          </w:tcPr>
          <w:p>
            <w:pPr>
              <w:spacing w:after="0"/>
              <w:rPr>
                <w:sz w:val="20"/>
                <w:szCs w:val="20"/>
                <w:color w:val="auto"/>
              </w:rPr>
            </w:pPr>
          </w:p>
        </w:tc>
      </w:tr>
    </w:tbl>
    <w:p>
      <w:pPr>
        <w:sectPr>
          <w:pgSz w:w="11900" w:h="16838" w:orient="portrait"/>
          <w:cols w:equalWidth="0" w:num="1">
            <w:col w:w="10219"/>
          </w:cols>
          <w:pgMar w:left="240" w:top="811" w:right="1440" w:bottom="1440" w:gutter="0" w:footer="0" w:header="0"/>
        </w:sectPr>
      </w:pPr>
    </w:p>
    <w:bookmarkStart w:id="138" w:name="page139"/>
    <w:bookmarkEnd w:id="138"/>
    <w:p>
      <w:pPr>
        <w:ind w:left="4520"/>
        <w:spacing w:after="0"/>
        <w:rPr>
          <w:sz w:val="20"/>
          <w:szCs w:val="20"/>
          <w:color w:val="auto"/>
        </w:rPr>
      </w:pPr>
      <w:r>
        <w:rPr>
          <w:rFonts w:ascii="Arial" w:cs="Arial" w:eastAsia="Arial" w:hAnsi="Arial"/>
          <w:sz w:val="22"/>
          <w:szCs w:val="22"/>
          <w:color w:val="auto"/>
        </w:rPr>
        <w:t>AMENDED AND RESTATED</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LETTER AGREEMENT NO. 7</w:t>
      </w:r>
    </w:p>
    <w:p>
      <w:pPr>
        <w:spacing w:after="0" w:line="20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TO THE AMENDED AND RESTATED</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A350-900 PURCHASE AGREEMENT</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of December 3, 2019</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UNITED AIRLINES, INC.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233 South Wacker Drive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Chicago, Illinois 60606</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USA</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Dear Ladies and Gentlemen,</w:t>
      </w:r>
    </w:p>
    <w:p>
      <w:pPr>
        <w:spacing w:after="0" w:line="214" w:lineRule="exact"/>
        <w:rPr>
          <w:sz w:val="20"/>
          <w:szCs w:val="20"/>
          <w:color w:val="auto"/>
        </w:rPr>
      </w:pPr>
    </w:p>
    <w:p>
      <w:pPr>
        <w:jc w:val="both"/>
        <w:ind w:left="340"/>
        <w:spacing w:after="0" w:line="291" w:lineRule="auto"/>
        <w:rPr>
          <w:sz w:val="20"/>
          <w:szCs w:val="20"/>
          <w:color w:val="auto"/>
        </w:rPr>
      </w:pPr>
      <w:r>
        <w:rPr>
          <w:rFonts w:ascii="Arial" w:cs="Arial" w:eastAsia="Arial" w:hAnsi="Arial"/>
          <w:sz w:val="19"/>
          <w:szCs w:val="19"/>
          <w:color w:val="auto"/>
        </w:rPr>
        <w:t>UNITED AIRLINES, INC. (the “</w:t>
      </w:r>
      <w:r>
        <w:rPr>
          <w:rFonts w:ascii="Arial" w:cs="Arial" w:eastAsia="Arial" w:hAnsi="Arial"/>
          <w:sz w:val="19"/>
          <w:szCs w:val="19"/>
          <w:b w:val="1"/>
          <w:bCs w:val="1"/>
          <w:color w:val="auto"/>
        </w:rPr>
        <w:t>Buyer</w:t>
      </w:r>
      <w:r>
        <w:rPr>
          <w:rFonts w:ascii="Arial" w:cs="Arial" w:eastAsia="Arial" w:hAnsi="Arial"/>
          <w:sz w:val="19"/>
          <w:szCs w:val="19"/>
          <w:color w:val="auto"/>
        </w:rPr>
        <w:t>”), and AIRBUS S.A.S. (the “</w:t>
      </w:r>
      <w:r>
        <w:rPr>
          <w:rFonts w:ascii="Arial" w:cs="Arial" w:eastAsia="Arial" w:hAnsi="Arial"/>
          <w:sz w:val="19"/>
          <w:szCs w:val="19"/>
          <w:b w:val="1"/>
          <w:bCs w:val="1"/>
          <w:color w:val="auto"/>
        </w:rPr>
        <w:t>Seller</w:t>
      </w:r>
      <w:r>
        <w:rPr>
          <w:rFonts w:ascii="Arial" w:cs="Arial" w:eastAsia="Arial" w:hAnsi="Arial"/>
          <w:sz w:val="19"/>
          <w:szCs w:val="19"/>
          <w:color w:val="auto"/>
        </w:rPr>
        <w:t>”), have entered into an Amended and Restated A350-900 Purchase Agreement dated as of September 1, 2017 (the “</w:t>
      </w:r>
      <w:r>
        <w:rPr>
          <w:rFonts w:ascii="Arial" w:cs="Arial" w:eastAsia="Arial" w:hAnsi="Arial"/>
          <w:sz w:val="19"/>
          <w:szCs w:val="19"/>
          <w:b w:val="1"/>
          <w:bCs w:val="1"/>
          <w:color w:val="auto"/>
        </w:rPr>
        <w:t>Agreement</w:t>
      </w:r>
      <w:r>
        <w:rPr>
          <w:rFonts w:ascii="Arial" w:cs="Arial" w:eastAsia="Arial" w:hAnsi="Arial"/>
          <w:sz w:val="19"/>
          <w:szCs w:val="19"/>
          <w:color w:val="auto"/>
        </w:rPr>
        <w:t>”), which covers, among other things, the sale by the Seller and the purchase by the Buyer of certain Aircraft, under the terms and conditions set forth in said Agreement. The Buyer and the Seller have agreed to set forth in this Amended and Restated Letter Agreement No. 7 (the “</w:t>
      </w:r>
      <w:r>
        <w:rPr>
          <w:rFonts w:ascii="Arial" w:cs="Arial" w:eastAsia="Arial" w:hAnsi="Arial"/>
          <w:sz w:val="19"/>
          <w:szCs w:val="19"/>
          <w:b w:val="1"/>
          <w:bCs w:val="1"/>
          <w:color w:val="auto"/>
        </w:rPr>
        <w:t>Letter Agreement</w:t>
      </w:r>
      <w:r>
        <w:rPr>
          <w:rFonts w:ascii="Arial" w:cs="Arial" w:eastAsia="Arial" w:hAnsi="Arial"/>
          <w:sz w:val="19"/>
          <w:szCs w:val="19"/>
          <w:color w:val="auto"/>
        </w:rPr>
        <w:t>”) certain additional terms and conditions regarding the sale of the Aircraft. Letter Agreement No. 7 dated as of September 1, 2017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spacing w:after="0" w:line="156" w:lineRule="exact"/>
        <w:rPr>
          <w:sz w:val="20"/>
          <w:szCs w:val="20"/>
          <w:color w:val="auto"/>
        </w:rPr>
      </w:pPr>
    </w:p>
    <w:p>
      <w:pPr>
        <w:jc w:val="both"/>
        <w:ind w:left="340"/>
        <w:spacing w:after="0" w:line="250" w:lineRule="auto"/>
        <w:rPr>
          <w:sz w:val="20"/>
          <w:szCs w:val="20"/>
          <w:color w:val="auto"/>
        </w:rPr>
      </w:pPr>
      <w:r>
        <w:rPr>
          <w:rFonts w:ascii="Arial" w:cs="Arial" w:eastAsia="Arial" w:hAnsi="Arial"/>
          <w:sz w:val="22"/>
          <w:szCs w:val="22"/>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1420"/>
          </w:cols>
          <w:pgMar w:left="240" w:top="604" w:right="2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b w:val="1"/>
          <w:bCs w:val="1"/>
          <w:u w:val="single" w:color="auto"/>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420" w:hanging="412"/>
        <w:spacing w:after="0"/>
        <w:tabs>
          <w:tab w:leader="none" w:pos="4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ASSIGNMENT</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CONFIDENTIALITY</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COUNTERPARTS</w:t>
      </w:r>
    </w:p>
    <w:p>
      <w:pPr>
        <w:spacing w:after="0" w:line="2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0219"/>
          </w:cols>
          <w:pgMar w:left="240" w:top="558" w:right="1440"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300" w:hanging="1292"/>
        <w:spacing w:after="0"/>
        <w:tabs>
          <w:tab w:leader="none" w:pos="130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ASSIGNMENT</w:t>
      </w:r>
    </w:p>
    <w:p>
      <w:pPr>
        <w:spacing w:after="0" w:line="216"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This Letter Agreement and the rights and obligations of the parties will be subject to the provisions of Clause 21 of the Agreement.</w:t>
      </w:r>
    </w:p>
    <w:p>
      <w:pPr>
        <w:spacing w:after="0" w:line="177" w:lineRule="exact"/>
        <w:rPr>
          <w:sz w:val="20"/>
          <w:szCs w:val="20"/>
          <w:color w:val="auto"/>
        </w:rPr>
      </w:pPr>
    </w:p>
    <w:p>
      <w:pPr>
        <w:ind w:left="1300" w:hanging="1292"/>
        <w:spacing w:after="0"/>
        <w:tabs>
          <w:tab w:leader="none" w:pos="130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CONFIDENTIALITY</w:t>
      </w:r>
    </w:p>
    <w:p>
      <w:pPr>
        <w:spacing w:after="0" w:line="216" w:lineRule="exact"/>
        <w:rPr>
          <w:sz w:val="20"/>
          <w:szCs w:val="20"/>
          <w:color w:val="auto"/>
        </w:rPr>
      </w:pPr>
    </w:p>
    <w:p>
      <w:pPr>
        <w:ind w:left="1300" w:right="20" w:firstLine="648"/>
        <w:spacing w:after="0" w:line="260" w:lineRule="auto"/>
        <w:rPr>
          <w:sz w:val="20"/>
          <w:szCs w:val="20"/>
          <w:color w:val="auto"/>
        </w:rPr>
      </w:pPr>
      <w:r>
        <w:rPr>
          <w:rFonts w:ascii="Arial" w:cs="Arial" w:eastAsia="Arial" w:hAnsi="Arial"/>
          <w:sz w:val="20"/>
          <w:szCs w:val="20"/>
          <w:color w:val="auto"/>
        </w:rPr>
        <w:t>This Letter Agreement and the rights and obligations of the parties will be subject to the provisions of Clause 22.10 of the Agreement.</w:t>
      </w:r>
    </w:p>
    <w:p>
      <w:pPr>
        <w:spacing w:after="0" w:line="177" w:lineRule="exact"/>
        <w:rPr>
          <w:sz w:val="20"/>
          <w:szCs w:val="20"/>
          <w:color w:val="auto"/>
        </w:rPr>
      </w:pPr>
    </w:p>
    <w:p>
      <w:pPr>
        <w:ind w:left="1300" w:hanging="1292"/>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COUNTERPARTS</w:t>
      </w:r>
    </w:p>
    <w:p>
      <w:pPr>
        <w:spacing w:after="0" w:line="215" w:lineRule="exact"/>
        <w:rPr>
          <w:rFonts w:ascii="Arial" w:cs="Arial" w:eastAsia="Arial" w:hAnsi="Arial"/>
          <w:sz w:val="20"/>
          <w:szCs w:val="20"/>
          <w:color w:val="auto"/>
        </w:rPr>
      </w:pPr>
    </w:p>
    <w:p>
      <w:pPr>
        <w:ind w:left="1300"/>
        <w:spacing w:after="0" w:line="287" w:lineRule="auto"/>
        <w:rPr>
          <w:rFonts w:ascii="Arial" w:cs="Arial" w:eastAsia="Arial" w:hAnsi="Arial"/>
          <w:sz w:val="20"/>
          <w:szCs w:val="20"/>
          <w:color w:val="auto"/>
        </w:rPr>
      </w:pPr>
      <w:r>
        <w:rPr>
          <w:rFonts w:ascii="Arial" w:cs="Arial" w:eastAsia="Arial" w:hAnsi="Arial"/>
          <w:sz w:val="19"/>
          <w:szCs w:val="19"/>
          <w:color w:val="auto"/>
        </w:rPr>
        <w:t>This Letter Agreement may be executed by the parties hereto in separate counterparts, each of which when so executed and delivered will be an original, but all such counterparts will together constitute but one and the same instrument.</w:t>
      </w:r>
    </w:p>
    <w:p>
      <w:pPr>
        <w:spacing w:after="0" w:line="38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1420"/>
          </w:cols>
          <w:pgMar w:left="240" w:top="784"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b w:val="1"/>
          <w:bCs w:val="1"/>
          <w:u w:val="single" w:color="auto"/>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420" w:hanging="412"/>
        <w:spacing w:after="0"/>
        <w:tabs>
          <w:tab w:leader="none" w:pos="4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ASSIGNMENT</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CONFIDENTIALITY</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COUNTERPARTS</w:t>
      </w:r>
    </w:p>
    <w:p>
      <w:pPr>
        <w:spacing w:after="0" w:line="2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0219"/>
          </w:cols>
          <w:pgMar w:left="240" w:top="787" w:right="1440"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300" w:hanging="1292"/>
        <w:spacing w:after="0"/>
        <w:tabs>
          <w:tab w:leader="none" w:pos="130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ASSIGNMENT</w:t>
      </w:r>
    </w:p>
    <w:p>
      <w:pPr>
        <w:spacing w:after="0" w:line="216"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This Letter Agreement and the rights and obligations of the parties will be subject to the provisions of Clause 21 of the Agreement.</w:t>
      </w:r>
    </w:p>
    <w:p>
      <w:pPr>
        <w:spacing w:after="0" w:line="177" w:lineRule="exact"/>
        <w:rPr>
          <w:sz w:val="20"/>
          <w:szCs w:val="20"/>
          <w:color w:val="auto"/>
        </w:rPr>
      </w:pPr>
    </w:p>
    <w:p>
      <w:pPr>
        <w:ind w:left="1300" w:hanging="1292"/>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CONFIDENTIALITY</w:t>
      </w:r>
    </w:p>
    <w:p>
      <w:pPr>
        <w:spacing w:after="0" w:line="216" w:lineRule="exact"/>
        <w:rPr>
          <w:sz w:val="20"/>
          <w:szCs w:val="20"/>
          <w:color w:val="auto"/>
        </w:rPr>
      </w:pPr>
    </w:p>
    <w:p>
      <w:pPr>
        <w:ind w:left="1300" w:right="20" w:firstLine="648"/>
        <w:spacing w:after="0" w:line="260" w:lineRule="auto"/>
        <w:rPr>
          <w:sz w:val="20"/>
          <w:szCs w:val="20"/>
          <w:color w:val="auto"/>
        </w:rPr>
      </w:pPr>
      <w:r>
        <w:rPr>
          <w:rFonts w:ascii="Arial" w:cs="Arial" w:eastAsia="Arial" w:hAnsi="Arial"/>
          <w:sz w:val="20"/>
          <w:szCs w:val="20"/>
          <w:color w:val="auto"/>
        </w:rPr>
        <w:t>This Letter Agreement and the rights and obligations of the parties will be subject to the provisions of Clause 22.10 of the Agreement.</w:t>
      </w:r>
    </w:p>
    <w:p>
      <w:pPr>
        <w:spacing w:after="0" w:line="177" w:lineRule="exact"/>
        <w:rPr>
          <w:sz w:val="20"/>
          <w:szCs w:val="20"/>
          <w:color w:val="auto"/>
        </w:rPr>
      </w:pPr>
    </w:p>
    <w:p>
      <w:pPr>
        <w:ind w:left="1300" w:hanging="1292"/>
        <w:spacing w:after="0"/>
        <w:tabs>
          <w:tab w:leader="none" w:pos="130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COUNTERPARTS</w:t>
      </w:r>
    </w:p>
    <w:p>
      <w:pPr>
        <w:spacing w:after="0" w:line="215" w:lineRule="exact"/>
        <w:rPr>
          <w:rFonts w:ascii="Arial" w:cs="Arial" w:eastAsia="Arial" w:hAnsi="Arial"/>
          <w:sz w:val="20"/>
          <w:szCs w:val="20"/>
          <w:color w:val="auto"/>
        </w:rPr>
      </w:pPr>
    </w:p>
    <w:p>
      <w:pPr>
        <w:ind w:left="1300"/>
        <w:spacing w:after="0" w:line="287" w:lineRule="auto"/>
        <w:rPr>
          <w:rFonts w:ascii="Arial" w:cs="Arial" w:eastAsia="Arial" w:hAnsi="Arial"/>
          <w:sz w:val="20"/>
          <w:szCs w:val="20"/>
          <w:color w:val="auto"/>
        </w:rPr>
      </w:pPr>
      <w:r>
        <w:rPr>
          <w:rFonts w:ascii="Arial" w:cs="Arial" w:eastAsia="Arial" w:hAnsi="Arial"/>
          <w:sz w:val="19"/>
          <w:szCs w:val="19"/>
          <w:color w:val="auto"/>
        </w:rPr>
        <w:t>This Letter Agreement may be executed by the parties hereto in separate counterparts, each of which when so executed and delivered will be an original, but all such counterparts will together constitute but one and the same instrument.</w:t>
      </w:r>
    </w:p>
    <w:p>
      <w:pPr>
        <w:spacing w:after="0" w:line="38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1420"/>
          </w:cols>
          <w:pgMar w:left="240" w:top="568" w:right="2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u w:val="single" w:color="auto"/>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420" w:hanging="412"/>
        <w:spacing w:after="0"/>
        <w:tabs>
          <w:tab w:leader="none" w:pos="4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ASSIGNMENT</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CONFIDENTIALITY</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COUNTERPARTS</w:t>
      </w:r>
    </w:p>
    <w:p>
      <w:pPr>
        <w:spacing w:after="0" w:line="2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0219"/>
          </w:cols>
          <w:pgMar w:left="240" w:top="1003" w:right="1440"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300" w:hanging="1292"/>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ASSIGNMENT</w:t>
      </w:r>
    </w:p>
    <w:p>
      <w:pPr>
        <w:spacing w:after="0" w:line="216"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This Letter Agreement and the rights and obligations of the parties will be subject to the provisions of Clause 21 of the Agreement.</w:t>
      </w:r>
    </w:p>
    <w:p>
      <w:pPr>
        <w:spacing w:after="0" w:line="177" w:lineRule="exact"/>
        <w:rPr>
          <w:sz w:val="20"/>
          <w:szCs w:val="20"/>
          <w:color w:val="auto"/>
        </w:rPr>
      </w:pPr>
    </w:p>
    <w:p>
      <w:pPr>
        <w:ind w:left="1300" w:hanging="1292"/>
        <w:spacing w:after="0"/>
        <w:tabs>
          <w:tab w:leader="none" w:pos="130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CONFIDENTIALITY</w:t>
      </w:r>
    </w:p>
    <w:p>
      <w:pPr>
        <w:spacing w:after="0" w:line="216" w:lineRule="exact"/>
        <w:rPr>
          <w:sz w:val="20"/>
          <w:szCs w:val="20"/>
          <w:color w:val="auto"/>
        </w:rPr>
      </w:pPr>
    </w:p>
    <w:p>
      <w:pPr>
        <w:ind w:left="1300" w:right="20" w:firstLine="648"/>
        <w:spacing w:after="0" w:line="260" w:lineRule="auto"/>
        <w:rPr>
          <w:sz w:val="20"/>
          <w:szCs w:val="20"/>
          <w:color w:val="auto"/>
        </w:rPr>
      </w:pPr>
      <w:r>
        <w:rPr>
          <w:rFonts w:ascii="Arial" w:cs="Arial" w:eastAsia="Arial" w:hAnsi="Arial"/>
          <w:sz w:val="20"/>
          <w:szCs w:val="20"/>
          <w:color w:val="auto"/>
        </w:rPr>
        <w:t>This Letter Agreement and the rights and obligations of the parties will be subject to the provisions of Clause 22.10 of the Agreement.</w:t>
      </w:r>
    </w:p>
    <w:p>
      <w:pPr>
        <w:spacing w:after="0" w:line="177" w:lineRule="exact"/>
        <w:rPr>
          <w:sz w:val="20"/>
          <w:szCs w:val="20"/>
          <w:color w:val="auto"/>
        </w:rPr>
      </w:pPr>
    </w:p>
    <w:p>
      <w:pPr>
        <w:ind w:left="1300" w:hanging="1292"/>
        <w:spacing w:after="0"/>
        <w:tabs>
          <w:tab w:leader="none" w:pos="130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COUNTERPARTS</w:t>
      </w:r>
    </w:p>
    <w:p>
      <w:pPr>
        <w:spacing w:after="0" w:line="215" w:lineRule="exact"/>
        <w:rPr>
          <w:rFonts w:ascii="Arial" w:cs="Arial" w:eastAsia="Arial" w:hAnsi="Arial"/>
          <w:sz w:val="20"/>
          <w:szCs w:val="20"/>
          <w:color w:val="auto"/>
        </w:rPr>
      </w:pPr>
    </w:p>
    <w:p>
      <w:pPr>
        <w:ind w:left="1300"/>
        <w:spacing w:after="0" w:line="287" w:lineRule="auto"/>
        <w:rPr>
          <w:rFonts w:ascii="Arial" w:cs="Arial" w:eastAsia="Arial" w:hAnsi="Arial"/>
          <w:sz w:val="20"/>
          <w:szCs w:val="20"/>
          <w:color w:val="auto"/>
        </w:rPr>
      </w:pPr>
      <w:r>
        <w:rPr>
          <w:rFonts w:ascii="Arial" w:cs="Arial" w:eastAsia="Arial" w:hAnsi="Arial"/>
          <w:sz w:val="19"/>
          <w:szCs w:val="19"/>
          <w:color w:val="auto"/>
        </w:rPr>
        <w:t>This Letter Agreement may be executed by the parties hereto in separate counterparts, each of which when so executed and delivered will be an original, but all such counterparts will together constitute but one and the same instrument.</w:t>
      </w:r>
    </w:p>
    <w:p>
      <w:pPr>
        <w:spacing w:after="0" w:line="38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1420"/>
          </w:cols>
          <w:pgMar w:left="240" w:top="568" w:right="23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22"/>
          <w:szCs w:val="22"/>
          <w:color w:val="auto"/>
        </w:rPr>
        <w:t>If the foregoing correctly sets forth your understanding, please execute the original and one (1) copy hereof in the space provided below and return a copy to the Seller.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AIRBUS S.A.S.</w:t>
      </w:r>
    </w:p>
    <w:p>
      <w:pPr>
        <w:spacing w:after="0" w:line="200" w:lineRule="exact"/>
        <w:rPr>
          <w:sz w:val="20"/>
          <w:szCs w:val="20"/>
          <w:color w:val="auto"/>
        </w:rPr>
      </w:pPr>
    </w:p>
    <w:p>
      <w:pPr>
        <w:spacing w:after="0" w:line="23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Benoit de Saint Exupéry</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Its: /s/ Benoit de Saint Exupéry</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Contracts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3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UNITED AIRLINES, INC.</w:t>
      </w:r>
    </w:p>
    <w:p>
      <w:pPr>
        <w:spacing w:after="0" w:line="200" w:lineRule="exact"/>
        <w:rPr>
          <w:sz w:val="20"/>
          <w:szCs w:val="20"/>
          <w:color w:val="auto"/>
        </w:rPr>
      </w:pPr>
    </w:p>
    <w:p>
      <w:pPr>
        <w:spacing w:after="0" w:line="23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By: /s/ Gerald Laderman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Its: Gerald Laderman</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Executive Vice President &amp;</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1420"/>
          </w:cols>
          <w:pgMar w:left="240" w:top="1225" w:right="239" w:bottom="1440" w:gutter="0" w:footer="0" w:header="0"/>
        </w:sectPr>
      </w:pPr>
    </w:p>
    <w:bookmarkStart w:id="146" w:name="page147"/>
    <w:bookmarkEnd w:id="146"/>
    <w:p>
      <w:pPr>
        <w:jc w:val="right"/>
        <w:ind w:right="719"/>
        <w:spacing w:after="0"/>
        <w:rPr>
          <w:sz w:val="20"/>
          <w:szCs w:val="20"/>
          <w:color w:val="auto"/>
        </w:rPr>
      </w:pPr>
      <w:r>
        <w:rPr>
          <w:rFonts w:ascii="Arial" w:cs="Arial" w:eastAsia="Arial" w:hAnsi="Arial"/>
          <w:sz w:val="20"/>
          <w:szCs w:val="20"/>
          <w:color w:val="auto"/>
        </w:rPr>
        <w:t>APPENDIX A TO PART 1 OF AMENDED AND RESTATED LETTER AGREEMENT NO. 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CT1706024 - Amended and Restated A350-900 Purchase Agreement - final</w:t>
      </w:r>
      <w:r>
        <w:rPr>
          <w:sz w:val="20"/>
          <w:szCs w:val="20"/>
          <w:color w:val="auto"/>
        </w:rPr>
        <w:tab/>
      </w:r>
      <w:r>
        <w:rPr>
          <w:rFonts w:ascii="Arial" w:cs="Arial" w:eastAsia="Arial" w:hAnsi="Arial"/>
          <w:sz w:val="17"/>
          <w:szCs w:val="17"/>
          <w:color w:val="auto"/>
        </w:rPr>
        <w:t>ARLA 7-9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AIRBUS S.A.S. &amp; UNITED AIRLINES, INC. - PROPRIETARY AND CONFIDENTIAL</w:t>
      </w:r>
    </w:p>
    <w:p>
      <w:pPr>
        <w:sectPr>
          <w:pgSz w:w="11900" w:h="16838" w:orient="portrait"/>
          <w:cols w:equalWidth="0" w:num="1">
            <w:col w:w="10219"/>
          </w:cols>
          <w:pgMar w:left="240" w:top="987" w:right="1440" w:bottom="1440" w:gutter="0" w:footer="0" w:header="0"/>
        </w:sectPr>
      </w:pPr>
    </w:p>
    <w:bookmarkStart w:id="147" w:name="page148"/>
    <w:bookmarkEnd w:id="147"/>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ind w:left="2040"/>
              <w:spacing w:after="0"/>
              <w:rPr>
                <w:sz w:val="20"/>
                <w:szCs w:val="20"/>
                <w:color w:val="auto"/>
              </w:rPr>
            </w:pPr>
            <w:r>
              <w:rPr>
                <w:rFonts w:ascii="Arial" w:cs="Arial" w:eastAsia="Arial" w:hAnsi="Arial"/>
                <w:sz w:val="18"/>
                <w:szCs w:val="18"/>
                <w:b w:val="1"/>
                <w:bCs w:val="1"/>
                <w:color w:val="auto"/>
                <w:w w:val="91"/>
              </w:rPr>
              <w:t>Exhibit 21</w:t>
            </w:r>
          </w:p>
        </w:tc>
      </w:tr>
      <w:tr>
        <w:trPr>
          <w:trHeight w:val="405"/>
        </w:trPr>
        <w:tc>
          <w:tcPr>
            <w:tcW w:w="480" w:type="dxa"/>
            <w:vAlign w:val="bottom"/>
          </w:tcPr>
          <w:p>
            <w:pPr>
              <w:spacing w:after="0"/>
              <w:rPr>
                <w:sz w:val="24"/>
                <w:szCs w:val="24"/>
                <w:color w:val="auto"/>
              </w:rPr>
            </w:pPr>
          </w:p>
        </w:tc>
        <w:tc>
          <w:tcPr>
            <w:tcW w:w="10900" w:type="dxa"/>
            <w:vAlign w:val="bottom"/>
            <w:gridSpan w:val="5"/>
          </w:tcPr>
          <w:p>
            <w:pPr>
              <w:jc w:val="center"/>
              <w:ind w:right="520"/>
              <w:spacing w:after="0"/>
              <w:rPr>
                <w:sz w:val="20"/>
                <w:szCs w:val="20"/>
                <w:color w:val="auto"/>
              </w:rPr>
            </w:pPr>
            <w:r>
              <w:rPr>
                <w:rFonts w:ascii="Arial" w:cs="Arial" w:eastAsia="Arial" w:hAnsi="Arial"/>
                <w:sz w:val="20"/>
                <w:szCs w:val="20"/>
                <w:b w:val="1"/>
                <w:bCs w:val="1"/>
                <w:color w:val="auto"/>
                <w:w w:val="90"/>
              </w:rPr>
              <w:t>United Airlines Holdings, Inc. and United Airlines, Inc. Subsidiaries</w:t>
            </w:r>
          </w:p>
        </w:tc>
      </w:tr>
      <w:tr>
        <w:trPr>
          <w:trHeight w:val="254"/>
        </w:trPr>
        <w:tc>
          <w:tcPr>
            <w:tcW w:w="4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640" w:type="dxa"/>
            <w:vAlign w:val="bottom"/>
            <w:tcBorders>
              <w:top w:val="single" w:sz="8" w:color="auto"/>
            </w:tcBorders>
          </w:tcPr>
          <w:p>
            <w:pPr>
              <w:jc w:val="center"/>
              <w:ind w:left="1"/>
              <w:spacing w:after="0"/>
              <w:rPr>
                <w:sz w:val="20"/>
                <w:szCs w:val="20"/>
                <w:color w:val="auto"/>
              </w:rPr>
            </w:pPr>
            <w:r>
              <w:rPr>
                <w:rFonts w:ascii="Arial" w:cs="Arial" w:eastAsia="Arial" w:hAnsi="Arial"/>
                <w:sz w:val="20"/>
                <w:szCs w:val="20"/>
                <w:color w:val="auto"/>
                <w:w w:val="89"/>
              </w:rPr>
              <w:t>(as of February 24, 2020)</w:t>
            </w:r>
          </w:p>
        </w:tc>
        <w:tc>
          <w:tcPr>
            <w:tcW w:w="100" w:type="dxa"/>
            <w:vAlign w:val="bottom"/>
            <w:tcBorders>
              <w:top w:val="single" w:sz="8" w:color="auto"/>
            </w:tcBorders>
          </w:tcPr>
          <w:p>
            <w:pPr>
              <w:spacing w:after="0"/>
              <w:rPr>
                <w:sz w:val="22"/>
                <w:szCs w:val="22"/>
                <w:color w:val="auto"/>
              </w:rPr>
            </w:pPr>
          </w:p>
        </w:tc>
        <w:tc>
          <w:tcPr>
            <w:tcW w:w="2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550"/>
        </w:trPr>
        <w:tc>
          <w:tcPr>
            <w:tcW w:w="480" w:type="dxa"/>
            <w:vAlign w:val="bottom"/>
          </w:tcPr>
          <w:p>
            <w:pPr>
              <w:spacing w:after="0"/>
              <w:rPr>
                <w:sz w:val="20"/>
                <w:szCs w:val="20"/>
                <w:color w:val="auto"/>
              </w:rPr>
            </w:pPr>
            <w:r>
              <w:rPr>
                <w:rFonts w:ascii="Arial" w:cs="Arial" w:eastAsia="Arial" w:hAnsi="Arial"/>
                <w:sz w:val="18"/>
                <w:szCs w:val="18"/>
                <w:b w:val="1"/>
                <w:bCs w:val="1"/>
                <w:color w:val="auto"/>
                <w:w w:val="91"/>
              </w:rPr>
              <w:t>Entity</w:t>
            </w:r>
          </w:p>
        </w:tc>
        <w:tc>
          <w:tcPr>
            <w:tcW w:w="7960" w:type="dxa"/>
            <w:vAlign w:val="bottom"/>
            <w:gridSpan w:val="2"/>
          </w:tcPr>
          <w:p>
            <w:pPr>
              <w:spacing w:after="0"/>
              <w:rPr>
                <w:sz w:val="24"/>
                <w:szCs w:val="24"/>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66"/>
        </w:trPr>
        <w:tc>
          <w:tcPr>
            <w:tcW w:w="8440" w:type="dxa"/>
            <w:vAlign w:val="bottom"/>
            <w:gridSpan w:val="3"/>
          </w:tcPr>
          <w:p>
            <w:pPr>
              <w:spacing w:after="0"/>
              <w:rPr>
                <w:sz w:val="20"/>
                <w:szCs w:val="20"/>
                <w:color w:val="auto"/>
              </w:rPr>
            </w:pPr>
            <w:r>
              <w:rPr>
                <w:rFonts w:ascii="Arial" w:cs="Arial" w:eastAsia="Arial" w:hAnsi="Arial"/>
                <w:sz w:val="18"/>
                <w:szCs w:val="18"/>
                <w:color w:val="auto"/>
              </w:rPr>
              <w:t>United Airlines Holdings,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446"/>
        </w:trPr>
        <w:tc>
          <w:tcPr>
            <w:tcW w:w="8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Wholly-owned subsidiaries</w:t>
            </w:r>
            <w:r>
              <w:rPr>
                <w:rFonts w:ascii="Arial" w:cs="Arial" w:eastAsia="Arial" w:hAnsi="Arial"/>
                <w:sz w:val="18"/>
                <w:szCs w:val="18"/>
                <w:b w:val="1"/>
                <w:bCs w:val="1"/>
                <w:color w:val="auto"/>
              </w:rPr>
              <w:t>*</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6"/>
        </w:trPr>
        <w:tc>
          <w:tcPr>
            <w:tcW w:w="8440" w:type="dxa"/>
            <w:vAlign w:val="bottom"/>
            <w:gridSpan w:val="3"/>
          </w:tcPr>
          <w:p>
            <w:pPr>
              <w:spacing w:after="0"/>
              <w:rPr>
                <w:sz w:val="20"/>
                <w:szCs w:val="20"/>
                <w:color w:val="auto"/>
              </w:rPr>
            </w:pPr>
            <w:r>
              <w:rPr>
                <w:rFonts w:ascii="Arial" w:cs="Arial" w:eastAsia="Arial" w:hAnsi="Arial"/>
                <w:sz w:val="18"/>
                <w:szCs w:val="18"/>
                <w:color w:val="auto"/>
              </w:rPr>
              <w:t>United Airlines,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Air Wis Services,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Wisconsin</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Air Wisconsin,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Domicile Management Services, Inc. **</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Air Micronesia,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CAL Cargo, S.A. de C.V.**</w:t>
            </w:r>
          </w:p>
        </w:tc>
        <w:tc>
          <w:tcPr>
            <w:tcW w:w="294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CALFINCO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Century Casualty Company</w:t>
            </w:r>
          </w:p>
        </w:tc>
        <w:tc>
          <w:tcPr>
            <w:tcW w:w="2940" w:type="dxa"/>
            <w:vAlign w:val="bottom"/>
            <w:gridSpan w:val="3"/>
          </w:tcPr>
          <w:p>
            <w:pPr>
              <w:spacing w:after="0"/>
              <w:rPr>
                <w:sz w:val="20"/>
                <w:szCs w:val="20"/>
                <w:color w:val="auto"/>
              </w:rPr>
            </w:pPr>
            <w:r>
              <w:rPr>
                <w:rFonts w:ascii="Arial" w:cs="Arial" w:eastAsia="Arial" w:hAnsi="Arial"/>
                <w:sz w:val="18"/>
                <w:szCs w:val="18"/>
                <w:color w:val="auto"/>
              </w:rPr>
              <w:t>Vermont</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de Mexico, S.A.**</w:t>
            </w:r>
          </w:p>
        </w:tc>
        <w:tc>
          <w:tcPr>
            <w:tcW w:w="294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Domain Name Limited</w:t>
            </w:r>
          </w:p>
        </w:tc>
        <w:tc>
          <w:tcPr>
            <w:tcW w:w="2940" w:type="dxa"/>
            <w:vAlign w:val="bottom"/>
            <w:gridSpan w:val="3"/>
          </w:tcPr>
          <w:p>
            <w:pPr>
              <w:spacing w:after="0"/>
              <w:rPr>
                <w:sz w:val="20"/>
                <w:szCs w:val="20"/>
                <w:color w:val="auto"/>
              </w:rPr>
            </w:pPr>
            <w:r>
              <w:rPr>
                <w:rFonts w:ascii="Arial" w:cs="Arial" w:eastAsia="Arial" w:hAnsi="Arial"/>
                <w:sz w:val="18"/>
                <w:szCs w:val="18"/>
                <w:color w:val="auto"/>
              </w:rPr>
              <w:t>England</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Finance Trust II</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Fuel Purchasing Group,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Inc. Supplemental Retirement Plan for Pilots Trust Agreement</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Purchasing Holdings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Purchasing Services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Express,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Covia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Mileage Plus Holdings,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MPH I,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7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Mileage Plus Marketing,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Mileage Plus,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Presidents Club of Guam,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UABSPL Holdings,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UAL Benefits Management,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LP**</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Services C.V.**</w:t>
            </w:r>
          </w:p>
        </w:tc>
        <w:tc>
          <w:tcPr>
            <w:tcW w:w="294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7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Corporate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7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Corporate Center C.V.**</w:t>
            </w:r>
          </w:p>
        </w:tc>
        <w:tc>
          <w:tcPr>
            <w:tcW w:w="294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B.V.</w:t>
            </w:r>
          </w:p>
        </w:tc>
        <w:tc>
          <w:tcPr>
            <w:tcW w:w="294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Services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Aviation Fuels Corporation</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Airlines Business Services Private Limited**</w:t>
            </w:r>
          </w:p>
        </w:tc>
        <w:tc>
          <w:tcPr>
            <w:tcW w:w="294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Ground Express,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Travel Services,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Vacations,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*Subsidiaries of United Airlines Holdings, Inc. are wholly owned unless otherwise indicated</w:t>
      </w:r>
    </w:p>
    <w:p>
      <w:pPr>
        <w:sectPr>
          <w:pgSz w:w="11900" w:h="16838" w:orient="portrait"/>
          <w:cols w:equalWidth="0" w:num="1">
            <w:col w:w="11420"/>
          </w:cols>
          <w:pgMar w:left="240" w:top="553" w:right="239" w:bottom="1440" w:gutter="0" w:footer="0" w:header="0"/>
        </w:sectPr>
      </w:pPr>
    </w:p>
    <w:bookmarkStart w:id="148" w:name="page149"/>
    <w:bookmarkEnd w:id="148"/>
    <w:p>
      <w:pPr>
        <w:spacing w:after="0" w:line="272" w:lineRule="auto"/>
        <w:rPr>
          <w:sz w:val="20"/>
          <w:szCs w:val="20"/>
          <w:color w:val="auto"/>
        </w:rPr>
      </w:pPr>
      <w:r>
        <w:rPr>
          <w:rFonts w:ascii="Arial" w:cs="Arial" w:eastAsia="Arial" w:hAnsi="Arial"/>
          <w:sz w:val="18"/>
          <w:szCs w:val="18"/>
          <w:i w:val="1"/>
          <w:iCs w:val="1"/>
          <w:color w:val="auto"/>
        </w:rPr>
        <w:t>**Domicile Management Services Inc. is 99.9% owned by Air Wis Services, Inc. and 0.1% owned by United Airlines, Inc. CAL Cargo, S.A. de C.V. is 99.99% owned by United Airlines, Inc. and .01% owned by CALFINCO Inc. Continental Airlines de Mexico, S.A. is 99.9997% owned by United Airlines, Inc. and .0003% owned by private entities. Continental Airlines Purchasing Services LLC is 99% owned by Continental Airlines Purchasing Holdings LLC and 1% owned by United Airlines, Inc. UAL Benefits Management, Inc. has 100% of its Class A Common Stock owned by United Airlines, Inc. and 100% of its Class B Common Stock owned by Health Care Services Corporation. United Atlantic LP is 99.9% owned by United Airlines, Inc. and 0.1% owned by United Atlantic Services LLC. United Atlantic Services C.V. is 99.9% owned by United Atlantic LP and 0.1% owned by United Atlantic Services LLC. United Atlantic Corporate Center C.V. is 99.9% owned by United Atlantic Services C.V. and 0.1% owned by United Atlantic Corporate LLC. United Airlines Business Services Private Limited is 99.99% owned by United Airlines, Inc. and 0.01% owned by UABSPL Holdings, Inc. on behalf of United Airlines, Inc.</w:t>
      </w:r>
    </w:p>
    <w:p>
      <w:pPr>
        <w:sectPr>
          <w:pgSz w:w="11900" w:h="16838" w:orient="portrait"/>
          <w:cols w:equalWidth="0" w:num="1">
            <w:col w:w="11400"/>
          </w:cols>
          <w:pgMar w:left="240" w:top="555"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S-3 No. 333-221865),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S-4 No. 333-167801),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333-197815),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333-151778),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333-131434),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333-218637);</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our reports dated February 24, 2020, with respect to the consolidated financial statements of United Airlines Holdings, Inc. and the effectiveness of internal control over financial reporting of United Airlines Holdings, Inc., included in this Annual Report (Form 10-K) of United Airlines Holdings, Inc. for the year ended December 31,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87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S-3 No. 333-221865-01) and in the related Prospectus of our report dated February 24, 2020, with respect to the consolidated financial statements of United Airlines, Inc., included in this Annual Report (Form 10-K) of United Airlines, Inc. for the year ended December 31, 2019.</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877"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Oscar Munoz, certify that:</w:t>
      </w:r>
    </w:p>
    <w:p>
      <w:pPr>
        <w:spacing w:after="0" w:line="77" w:lineRule="exact"/>
        <w:rPr>
          <w:sz w:val="20"/>
          <w:szCs w:val="20"/>
          <w:color w:val="auto"/>
        </w:rPr>
      </w:pPr>
    </w:p>
    <w:p>
      <w:pPr>
        <w:ind w:left="460" w:hanging="438"/>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ended December 31, 2019 of United Airlines Holdings, Inc. (the "Company");</w:t>
      </w:r>
    </w:p>
    <w:p>
      <w:pPr>
        <w:spacing w:after="0" w:line="88" w:lineRule="exact"/>
        <w:rPr>
          <w:rFonts w:ascii="Arial" w:cs="Arial" w:eastAsia="Arial" w:hAnsi="Arial"/>
          <w:sz w:val="17"/>
          <w:szCs w:val="17"/>
          <w:color w:val="auto"/>
        </w:rPr>
      </w:pPr>
    </w:p>
    <w:p>
      <w:pPr>
        <w:jc w:val="both"/>
        <w:ind w:left="460" w:right="500" w:hanging="438"/>
        <w:spacing w:after="0" w:line="264"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ectPr>
          <w:pgSz w:w="11900" w:h="16838" w:orient="portrait"/>
          <w:cols w:equalWidth="0" w:num="1">
            <w:col w:w="11420"/>
          </w:cols>
          <w:pgMar w:left="240" w:top="553"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460" w:hanging="438"/>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ended December 31, 2019 of United Airlines Holdings, Inc. (the "Company");</w:t>
      </w:r>
    </w:p>
    <w:p>
      <w:pPr>
        <w:spacing w:after="0" w:line="88" w:lineRule="exact"/>
        <w:rPr>
          <w:rFonts w:ascii="Arial" w:cs="Arial" w:eastAsia="Arial" w:hAnsi="Arial"/>
          <w:sz w:val="17"/>
          <w:szCs w:val="17"/>
          <w:color w:val="auto"/>
        </w:rPr>
      </w:pPr>
    </w:p>
    <w:p>
      <w:pPr>
        <w:jc w:val="both"/>
        <w:ind w:left="460" w:right="500" w:hanging="438"/>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24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ectPr>
          <w:pgSz w:w="11900" w:h="16838" w:orient="portrait"/>
          <w:cols w:equalWidth="0" w:num="1">
            <w:col w:w="11420"/>
          </w:cols>
          <w:pgMar w:left="240" w:top="553"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Oscar Munoz, certify that:</w:t>
      </w:r>
    </w:p>
    <w:p>
      <w:pPr>
        <w:spacing w:after="0" w:line="77" w:lineRule="exact"/>
        <w:rPr>
          <w:sz w:val="20"/>
          <w:szCs w:val="20"/>
          <w:color w:val="auto"/>
        </w:rPr>
      </w:pPr>
    </w:p>
    <w:p>
      <w:pPr>
        <w:ind w:left="460" w:hanging="438"/>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2019 of United Airlines, Inc. (the "Company");</w:t>
      </w:r>
    </w:p>
    <w:p>
      <w:pPr>
        <w:spacing w:after="0" w:line="76"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ectPr>
          <w:pgSz w:w="11900" w:h="16838" w:orient="portrait"/>
          <w:cols w:equalWidth="0" w:num="1">
            <w:col w:w="11420"/>
          </w:cols>
          <w:pgMar w:left="240" w:top="770"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460" w:hanging="438"/>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2019 of United Airlines, Inc. (the "Company");</w:t>
      </w:r>
    </w:p>
    <w:p>
      <w:pPr>
        <w:spacing w:after="0" w:line="76"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24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ectPr>
          <w:pgSz w:w="11900" w:h="16838" w:orient="portrait"/>
          <w:cols w:equalWidth="0" w:num="1">
            <w:col w:w="11420"/>
          </w:cols>
          <w:pgMar w:left="240" w:top="77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Each undersigned officer certifies that to the best of his knowledge based on a review of the annual report on Form 10-K for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of United Airlines Holdings, Inc. (the "Report"):</w:t>
      </w:r>
    </w:p>
    <w:p>
      <w:pPr>
        <w:spacing w:after="0" w:line="62" w:lineRule="exact"/>
        <w:rPr>
          <w:sz w:val="20"/>
          <w:szCs w:val="20"/>
          <w:color w:val="auto"/>
        </w:rPr>
      </w:pPr>
    </w:p>
    <w:p>
      <w:pPr>
        <w:ind w:left="880" w:hanging="467"/>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880" w:right="620" w:hanging="467"/>
        <w:spacing w:after="0" w:line="277"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Holdings,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53"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Each undersigned officer certifies that to the best of his knowledge based on a review of the annual report on Form 10-K for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of United Airlines, Inc. (the "Report"):</w:t>
      </w:r>
    </w:p>
    <w:p>
      <w:pPr>
        <w:spacing w:after="0" w:line="62" w:lineRule="exact"/>
        <w:rPr>
          <w:sz w:val="20"/>
          <w:szCs w:val="20"/>
          <w:color w:val="auto"/>
        </w:rPr>
      </w:pPr>
    </w:p>
    <w:p>
      <w:pPr>
        <w:ind w:left="880" w:hanging="467"/>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880" w:right="620" w:hanging="467"/>
        <w:spacing w:after="0" w:line="277"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1)"/>
      <w:numFmt w:val="decimal"/>
      <w:start w:val="872"/>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1)"/>
      <w:numFmt w:val="lowerLetter"/>
      <w:start w:val="1"/>
    </w:lvl>
  </w:abstractNum>
  <w:abstractNum w:abstractNumId="6">
    <w:nsid w:val="235BA861"/>
    <w:multiLevelType w:val="hybridMultilevel"/>
    <w:lvl w:ilvl="0">
      <w:lvlJc w:val="left"/>
      <w:lvlText w:val="(%1)"/>
      <w:numFmt w:val="lowerLetter"/>
      <w:start w:val="1"/>
    </w:lvl>
  </w:abstractNum>
  <w:abstractNum w:abstractNumId="7">
    <w:nsid w:val="47398C89"/>
    <w:multiLevelType w:val="hybridMultilevel"/>
    <w:lvl w:ilvl="0">
      <w:lvlJc w:val="left"/>
      <w:lvlText w:val="(%1)"/>
      <w:numFmt w:val="lowerLetter"/>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1."/>
      <w:numFmt w:val="decimal"/>
      <w:start w:val="7"/>
    </w:lvl>
  </w:abstractNum>
  <w:abstractNum w:abstractNumId="10">
    <w:nsid w:val="741226BB"/>
    <w:multiLevelType w:val="hybridMultilevel"/>
    <w:lvl w:ilvl="0">
      <w:lvlJc w:val="left"/>
      <w:lvlText w:val="(%1)"/>
      <w:numFmt w:val="lowerLetter"/>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lowerLetter"/>
      <w:start w:val="1"/>
    </w:lvl>
  </w:abstractNum>
  <w:abstractNum w:abstractNumId="14">
    <w:nsid w:val="61574095"/>
    <w:multiLevelType w:val="hybridMultilevel"/>
    <w:lvl w:ilvl="0">
      <w:lvlJc w:val="left"/>
      <w:lvlText w:val="(%1)"/>
      <w:numFmt w:val="lowerLetter"/>
      <w:start w:val="1"/>
    </w:lvl>
  </w:abstractNum>
  <w:abstractNum w:abstractNumId="15">
    <w:nsid w:val="7E0C57B1"/>
    <w:multiLevelType w:val="hybridMultilevel"/>
    <w:lvl w:ilvl="0">
      <w:lvlJc w:val="left"/>
      <w:lvlText w:val="(%1)"/>
      <w:numFmt w:val="lowerLetter"/>
      <w:start w:val="1"/>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lowerLetter"/>
      <w:start w:val="1"/>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Letter"/>
      <w:start w:val="1"/>
    </w:lvl>
  </w:abstractNum>
  <w:abstractNum w:abstractNumId="21">
    <w:nsid w:val="25A70BF7"/>
    <w:multiLevelType w:val="hybridMultilevel"/>
    <w:lvl w:ilvl="0">
      <w:lvlJc w:val="left"/>
      <w:lvlText w:val="(%1)"/>
      <w:numFmt w:val="lowerLetter"/>
      <w:start w:val="1"/>
    </w:lvl>
  </w:abstractNum>
  <w:abstractNum w:abstractNumId="22">
    <w:nsid w:val="1DBABF00"/>
    <w:multiLevelType w:val="hybridMultilevel"/>
    <w:lvl w:ilvl="0">
      <w:lvlJc w:val="left"/>
      <w:lvlText w:val="(%1)"/>
      <w:numFmt w:val="lowerLetter"/>
      <w:start w:val="1"/>
    </w:lvl>
  </w:abstractNum>
  <w:abstractNum w:abstractNumId="23">
    <w:nsid w:val="4AD084E9"/>
    <w:multiLevelType w:val="hybridMultilevel"/>
    <w:lvl w:ilvl="0">
      <w:lvlJc w:val="left"/>
      <w:lvlText w:val="(%1)"/>
      <w:numFmt w:val="lowerLetter"/>
      <w:start w:val="3"/>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1)"/>
      <w:numFmt w:val="lowerLetter"/>
      <w:start w:val="5"/>
    </w:lvl>
  </w:abstractNum>
  <w:abstractNum w:abstractNumId="26">
    <w:nsid w:val="5DB70AE5"/>
    <w:multiLevelType w:val="hybridMultilevel"/>
    <w:lvl w:ilvl="0">
      <w:lvlJc w:val="left"/>
      <w:lvlText w:val="(%1)"/>
      <w:numFmt w:val="lowerLetter"/>
      <w:start w:val="6"/>
    </w:lvl>
  </w:abstractNum>
  <w:abstractNum w:abstractNumId="27">
    <w:nsid w:val="100F8FCA"/>
    <w:multiLevelType w:val="hybridMultilevel"/>
    <w:lvl w:ilvl="0">
      <w:lvlJc w:val="left"/>
      <w:lvlText w:val="(%1)"/>
      <w:numFmt w:val="lowerLetter"/>
      <w:start w:val="10"/>
    </w:lvl>
  </w:abstractNum>
  <w:abstractNum w:abstractNumId="28">
    <w:nsid w:val="6590700B"/>
    <w:multiLevelType w:val="hybridMultilevel"/>
    <w:lvl w:ilvl="0">
      <w:lvlJc w:val="left"/>
      <w:lvlText w:val="(%1)"/>
      <w:numFmt w:val="lowerLetter"/>
      <w:start w:val="12"/>
    </w:lvl>
  </w:abstractNum>
  <w:abstractNum w:abstractNumId="29">
    <w:nsid w:val="15014ACB"/>
    <w:multiLevelType w:val="hybridMultilevel"/>
    <w:lvl w:ilvl="0">
      <w:lvlJc w:val="left"/>
      <w:lvlText w:val="(%1)"/>
      <w:numFmt w:val="lowerLetter"/>
      <w:start w:val="1"/>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1)"/>
      <w:numFmt w:val="lowerLetter"/>
      <w:start w:val="1"/>
    </w:lvl>
  </w:abstractNum>
  <w:abstractNum w:abstractNumId="34">
    <w:nsid w:val="42C296BD"/>
    <w:multiLevelType w:val="hybridMultilevel"/>
    <w:lvl w:ilvl="0">
      <w:lvlJc w:val="left"/>
      <w:lvlText w:val="(%1)"/>
      <w:numFmt w:val="lowerLetter"/>
      <w:start w:val="1"/>
    </w:lvl>
  </w:abstractNum>
  <w:abstractNum w:abstractNumId="35">
    <w:nsid w:val="168E121F"/>
    <w:multiLevelType w:val="hybridMultilevel"/>
    <w:lvl w:ilvl="0">
      <w:lvlJc w:val="left"/>
      <w:lvlText w:val="(%1)"/>
      <w:numFmt w:val="lowerLetter"/>
      <w:start w:val="1"/>
    </w:lvl>
    <w:lvl w:ilvl="1">
      <w:lvlJc w:val="left"/>
      <w:lvlText w:val="(%2)"/>
      <w:numFmt w:val="decimal"/>
      <w:start w:val="1"/>
    </w:lvl>
  </w:abstractNum>
  <w:abstractNum w:abstractNumId="36">
    <w:nsid w:val="1EBA5D23"/>
    <w:multiLevelType w:val="hybridMultilevel"/>
    <w:lvl w:ilvl="0">
      <w:lvlJc w:val="left"/>
      <w:lvlText w:val="(%1)"/>
      <w:numFmt w:val="lowerLetter"/>
      <w:start w:val="2"/>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1."/>
      <w:numFmt w:val="upperLetter"/>
      <w:start w:val="1"/>
    </w:lvl>
  </w:abstractNum>
  <w:abstractNum w:abstractNumId="42">
    <w:nsid w:val="613EFDC5"/>
    <w:multiLevelType w:val="hybridMultilevel"/>
    <w:lvl w:ilvl="0">
      <w:lvlJc w:val="left"/>
      <w:lvlText w:val="%1."/>
      <w:numFmt w:val="upperLetter"/>
      <w:start w:val="6"/>
    </w:lvl>
  </w:abstractNum>
  <w:abstractNum w:abstractNumId="43">
    <w:nsid w:val="BF72B14"/>
    <w:multiLevelType w:val="hybridMultilevel"/>
    <w:lvl w:ilvl="0">
      <w:lvlJc w:val="left"/>
      <w:lvlText w:val="%1."/>
      <w:numFmt w:val="upperLetter"/>
      <w:start w:val="1"/>
    </w:lvl>
    <w:lvl w:ilvl="1">
      <w:lvlJc w:val="left"/>
      <w:lvlText w:val="(%2)"/>
      <w:numFmt w:val="decimal"/>
      <w:start w:val="2"/>
    </w:lvl>
  </w:abstractNum>
  <w:abstractNum w:abstractNumId="44">
    <w:nsid w:val="11447B7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5">
    <w:nsid w:val="42963E5A"/>
    <w:multiLevelType w:val="hybridMultilevel"/>
    <w:lvl w:ilvl="0">
      <w:lvlJc w:val="left"/>
      <w:lvlText w:val="%1."/>
      <w:numFmt w:val="lowerLetter"/>
      <w:start w:val="2"/>
    </w:lvl>
  </w:abstractNum>
  <w:abstractNum w:abstractNumId="46">
    <w:nsid w:val="A0382C5"/>
    <w:multiLevelType w:val="hybridMultilevel"/>
    <w:lvl w:ilvl="0">
      <w:lvlJc w:val="left"/>
      <w:lvlText w:val="%1."/>
      <w:numFmt w:val="upperLetter"/>
      <w:start w:val="3"/>
    </w:lvl>
    <w:lvl w:ilvl="1">
      <w:lvlJc w:val="left"/>
      <w:lvlText w:val="%2."/>
      <w:numFmt w:val="decimal"/>
      <w:start w:val="1"/>
    </w:lvl>
  </w:abstractNum>
  <w:abstractNum w:abstractNumId="47">
    <w:nsid w:val="8F2B15E"/>
    <w:multiLevelType w:val="hybridMultilevel"/>
    <w:lvl w:ilvl="0">
      <w:lvlJc w:val="left"/>
      <w:lvlText w:val="%1."/>
      <w:numFmt w:val="upperLetter"/>
      <w:start w:val="5"/>
    </w:lvl>
    <w:lvl w:ilvl="1">
      <w:lvlJc w:val="left"/>
      <w:lvlText w:val="%2."/>
      <w:numFmt w:val="decimal"/>
      <w:start w:val="1"/>
    </w:lvl>
  </w:abstractNum>
  <w:abstractNum w:abstractNumId="48">
    <w:nsid w:val="1A32234B"/>
    <w:multiLevelType w:val="hybridMultilevel"/>
    <w:lvl w:ilvl="0">
      <w:lvlJc w:val="left"/>
      <w:lvlText w:val="%1."/>
      <w:numFmt w:val="upperLetter"/>
      <w:start w:val="1"/>
    </w:lvl>
  </w:abstractNum>
  <w:abstractNum w:abstractNumId="49">
    <w:nsid w:val="3B0FD379"/>
    <w:multiLevelType w:val="hybridMultilevel"/>
    <w:lvl w:ilvl="0">
      <w:lvlJc w:val="left"/>
      <w:lvlText w:val="%1"/>
      <w:numFmt w:val="upperLetter"/>
      <w:start w:val="1"/>
    </w:lvl>
    <w:lvl w:ilvl="1">
      <w:lvlJc w:val="left"/>
      <w:lvlText w:val="%2."/>
      <w:numFmt w:val="upperLetter"/>
      <w:start w:val="22"/>
    </w:lvl>
  </w:abstractNum>
  <w:abstractNum w:abstractNumId="50">
    <w:nsid w:val="68EB2F63"/>
    <w:multiLevelType w:val="hybridMultilevel"/>
    <w:lvl w:ilvl="0">
      <w:lvlJc w:val="left"/>
      <w:lvlText w:val="%1."/>
      <w:numFmt w:val="upperLetter"/>
      <w:start w:val="1"/>
    </w:lvl>
    <w:lvl w:ilvl="1">
      <w:lvlJc w:val="left"/>
      <w:lvlText w:val="%2"/>
      <w:numFmt w:val="upperLetter"/>
      <w:start w:val="1"/>
    </w:lvl>
  </w:abstractNum>
  <w:abstractNum w:abstractNumId="51">
    <w:nsid w:val="4962813B"/>
    <w:multiLevelType w:val="hybridMultilevel"/>
    <w:lvl w:ilvl="0">
      <w:lvlJc w:val="left"/>
      <w:lvlText w:val="%1."/>
      <w:numFmt w:val="upperLetter"/>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1."/>
      <w:numFmt w:val="decimal"/>
      <w:start w:val="1"/>
    </w:lvl>
  </w:abstractNum>
  <w:abstractNum w:abstractNumId="56">
    <w:nsid w:val="1A27709E"/>
    <w:multiLevelType w:val="hybridMultilevel"/>
    <w:lvl w:ilvl="0">
      <w:lvlJc w:val="left"/>
      <w:lvlText w:val="%1."/>
      <w:numFmt w:val="decimal"/>
      <w:start w:val="2"/>
    </w:lvl>
  </w:abstractNum>
  <w:abstractNum w:abstractNumId="57">
    <w:nsid w:val="71EA1109"/>
    <w:multiLevelType w:val="hybridMultilevel"/>
    <w:lvl w:ilvl="0">
      <w:lvlJc w:val="left"/>
      <w:lvlText w:val="(%1)"/>
      <w:numFmt w:val="lowerLetter"/>
      <w:start w:val="2"/>
    </w:lvl>
  </w:abstractNum>
  <w:abstractNum w:abstractNumId="58">
    <w:nsid w:val="100F59DC"/>
    <w:multiLevelType w:val="hybridMultilevel"/>
    <w:lvl w:ilvl="0">
      <w:lvlJc w:val="left"/>
      <w:lvlText w:val="%1."/>
      <w:numFmt w:val="lowerRoman"/>
      <w:start w:val="1"/>
    </w:lvl>
  </w:abstractNum>
  <w:abstractNum w:abstractNumId="59">
    <w:nsid w:val="7FB7E0A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0">
    <w:nsid w:val="6EB5BD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1">
    <w:nsid w:val="6F6DD9AC"/>
    <w:multiLevelType w:val="hybridMultilevel"/>
    <w:lvl w:ilvl="0">
      <w:lvlJc w:val="left"/>
      <w:lvlText w:val="1"/>
      <w:numFmt w:val="bullet"/>
      <w:start w:val="1"/>
    </w:lvl>
  </w:abstractNum>
  <w:abstractNum w:abstractNumId="62">
    <w:nsid w:val="94211F2"/>
    <w:multiLevelType w:val="hybridMultilevel"/>
    <w:lvl w:ilvl="0">
      <w:lvlJc w:val="left"/>
      <w:lvlText w:val="2"/>
      <w:numFmt w:val="bullet"/>
      <w:start w:val="1"/>
    </w:lvl>
  </w:abstractNum>
  <w:abstractNum w:abstractNumId="63">
    <w:nsid w:val="885E1B"/>
    <w:multiLevelType w:val="hybridMultilevel"/>
    <w:lvl w:ilvl="0">
      <w:lvlJc w:val="left"/>
      <w:lvlText w:val="(%1)"/>
      <w:numFmt w:val="lowerLetter"/>
      <w:start w:val="2"/>
    </w:lvl>
  </w:abstractNum>
  <w:abstractNum w:abstractNumId="64">
    <w:nsid w:val="76272110"/>
    <w:multiLevelType w:val="hybridMultilevel"/>
    <w:lvl w:ilvl="0">
      <w:lvlJc w:val="left"/>
      <w:lvlText w:val="%1."/>
      <w:numFmt w:val="decimal"/>
      <w:start w:val="4"/>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3"/>
      <w:numFmt w:val="bullet"/>
      <w:start w:val="1"/>
    </w:lvl>
  </w:abstractNum>
  <w:abstractNum w:abstractNumId="67">
    <w:nsid w:val="14E17E33"/>
    <w:multiLevelType w:val="hybridMultilevel"/>
    <w:lvl w:ilvl="0">
      <w:lvlJc w:val="left"/>
      <w:lvlText w:val="(%1)"/>
      <w:numFmt w:val="lowerLetter"/>
      <w:start w:val="2"/>
    </w:lvl>
  </w:abstractNum>
  <w:abstractNum w:abstractNumId="68">
    <w:nsid w:val="3222E7CD"/>
    <w:multiLevelType w:val="hybridMultilevel"/>
    <w:lvl w:ilvl="0">
      <w:lvlJc w:val="left"/>
      <w:lvlText w:val="%1."/>
      <w:numFmt w:val="decimal"/>
      <w:start w:val="9"/>
    </w:lvl>
  </w:abstractNum>
  <w:abstractNum w:abstractNumId="69">
    <w:nsid w:val="74DE0EE3"/>
    <w:multiLevelType w:val="hybridMultilevel"/>
    <w:lvl w:ilvl="0">
      <w:lvlJc w:val="left"/>
      <w:lvlText w:val="(%1)"/>
      <w:numFmt w:val="lowerRoman"/>
      <w:start w:val="2"/>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1."/>
      <w:numFmt w:val="decimal"/>
      <w:start w:val="2"/>
    </w:lvl>
  </w:abstractNum>
  <w:abstractNum w:abstractNumId="72">
    <w:nsid w:val="46B7D447"/>
    <w:multiLevelType w:val="hybridMultilevel"/>
    <w:lvl w:ilvl="0">
      <w:lvlJc w:val="left"/>
      <w:lvlText w:val="(%1)"/>
      <w:numFmt w:val="lowerRoman"/>
      <w:start w:val="1"/>
    </w:lvl>
  </w:abstractNum>
  <w:abstractNum w:abstractNumId="73">
    <w:nsid w:val="4A2AC315"/>
    <w:multiLevelType w:val="hybridMultilevel"/>
    <w:lvl w:ilvl="0">
      <w:lvlJc w:val="left"/>
      <w:lvlText w:val="(%1)"/>
      <w:numFmt w:val="lowerRoman"/>
      <w:start w:val="2"/>
    </w:lvl>
  </w:abstractNum>
  <w:abstractNum w:abstractNumId="74">
    <w:nsid w:val="39EE015C"/>
    <w:multiLevelType w:val="hybridMultilevel"/>
    <w:lvl w:ilvl="0">
      <w:lvlJc w:val="left"/>
      <w:lvlText w:val="(%1)"/>
      <w:numFmt w:val="lowerRoman"/>
      <w:start w:val="3"/>
    </w:lvl>
  </w:abstractNum>
  <w:abstractNum w:abstractNumId="75">
    <w:nsid w:val="57FC4FBB"/>
    <w:multiLevelType w:val="hybridMultilevel"/>
    <w:lvl w:ilvl="0">
      <w:lvlJc w:val="left"/>
      <w:lvlText w:val="(%1)"/>
      <w:numFmt w:val="lowerRoman"/>
      <w:start w:val="1"/>
    </w:lvl>
  </w:abstractNum>
  <w:abstractNum w:abstractNumId="76">
    <w:nsid w:val="CC1016F"/>
    <w:multiLevelType w:val="hybridMultilevel"/>
    <w:lvl w:ilvl="0">
      <w:lvlJc w:val="left"/>
      <w:lvlText w:val="(%1)"/>
      <w:numFmt w:val="lowerRoman"/>
      <w:start w:val="2"/>
    </w:lvl>
  </w:abstractNum>
  <w:abstractNum w:abstractNumId="77">
    <w:nsid w:val="43F18422"/>
    <w:multiLevelType w:val="hybridMultilevel"/>
    <w:lvl w:ilvl="0">
      <w:lvlJc w:val="left"/>
      <w:lvlText w:val="%1."/>
      <w:numFmt w:val="decimal"/>
      <w:start w:val="3"/>
    </w:lvl>
  </w:abstractNum>
  <w:abstractNum w:abstractNumId="78">
    <w:nsid w:val="60EF0119"/>
    <w:multiLevelType w:val="hybridMultilevel"/>
    <w:lvl w:ilvl="0">
      <w:lvlJc w:val="left"/>
      <w:lvlText w:val="%1."/>
      <w:numFmt w:val="decimal"/>
      <w:start w:val="4"/>
    </w:lvl>
  </w:abstractNum>
  <w:abstractNum w:abstractNumId="79">
    <w:nsid w:val="26F324BA"/>
    <w:multiLevelType w:val="hybridMultilevel"/>
    <w:lvl w:ilvl="0">
      <w:lvlJc w:val="left"/>
      <w:lvlText w:val="%1."/>
      <w:numFmt w:val="decimal"/>
      <w:start w:val="5"/>
    </w:lvl>
  </w:abstractNum>
  <w:abstractNum w:abstractNumId="80">
    <w:nsid w:val="7F01579B"/>
    <w:multiLevelType w:val="hybridMultilevel"/>
    <w:lvl w:ilvl="0">
      <w:lvlJc w:val="left"/>
      <w:lvlText w:val="%1."/>
      <w:numFmt w:val="decimal"/>
      <w:start w:val="6"/>
    </w:lvl>
  </w:abstractNum>
  <w:abstractNum w:abstractNumId="81">
    <w:nsid w:val="49DA307D"/>
    <w:multiLevelType w:val="hybridMultilevel"/>
    <w:lvl w:ilvl="0">
      <w:lvlJc w:val="left"/>
      <w:lvlText w:val="%1."/>
      <w:numFmt w:val="decimal"/>
      <w:start w:val="7"/>
    </w:lvl>
  </w:abstractNum>
  <w:abstractNum w:abstractNumId="82">
    <w:nsid w:val="7055A5F5"/>
    <w:multiLevelType w:val="hybridMultilevel"/>
    <w:lvl w:ilvl="0">
      <w:lvlJc w:val="left"/>
      <w:lvlText w:val="%1."/>
      <w:numFmt w:val="decimal"/>
      <w:start w:val="8"/>
    </w:lvl>
  </w:abstractNum>
  <w:abstractNum w:abstractNumId="83">
    <w:nsid w:val="5FB8370B"/>
    <w:multiLevelType w:val="hybridMultilevel"/>
    <w:lvl w:ilvl="0">
      <w:lvlJc w:val="left"/>
      <w:lvlText w:val="%1."/>
      <w:numFmt w:val="decimal"/>
      <w:start w:val="9"/>
    </w:lvl>
  </w:abstractNum>
  <w:abstractNum w:abstractNumId="84">
    <w:nsid w:val="50801EE1"/>
    <w:multiLevelType w:val="hybridMultilevel"/>
    <w:lvl w:ilvl="0">
      <w:lvlJc w:val="left"/>
      <w:lvlText w:val="%1."/>
      <w:numFmt w:val="decimal"/>
      <w:start w:val="10"/>
    </w:lvl>
  </w:abstractNum>
  <w:abstractNum w:abstractNumId="85">
    <w:nsid w:val="488AC1A"/>
    <w:multiLevelType w:val="hybridMultilevel"/>
    <w:lvl w:ilvl="0">
      <w:lvlJc w:val="left"/>
      <w:lvlText w:val="%1."/>
      <w:numFmt w:val="decimal"/>
      <w:start w:val="11"/>
    </w:lvl>
  </w:abstractNum>
  <w:abstractNum w:abstractNumId="86">
    <w:nsid w:val="5FB8011C"/>
    <w:multiLevelType w:val="hybridMultilevel"/>
    <w:lvl w:ilvl="0">
      <w:lvlJc w:val="left"/>
      <w:lvlText w:val="%1."/>
      <w:numFmt w:val="decimal"/>
      <w:start w:val="12"/>
    </w:lvl>
  </w:abstractNum>
  <w:abstractNum w:abstractNumId="87">
    <w:nsid w:val="6AA78F7F"/>
    <w:multiLevelType w:val="hybridMultilevel"/>
    <w:lvl w:ilvl="0">
      <w:lvlJc w:val="left"/>
      <w:lvlText w:val="%1."/>
      <w:numFmt w:val="decimal"/>
      <w:start w:val="13"/>
    </w:lvl>
  </w:abstractNum>
  <w:abstractNum w:abstractNumId="88">
    <w:nsid w:val="7672BD23"/>
    <w:multiLevelType w:val="hybridMultilevel"/>
    <w:lvl w:ilvl="0">
      <w:lvlJc w:val="left"/>
      <w:lvlText w:val="%1."/>
      <w:numFmt w:val="decimal"/>
      <w:start w:val="14"/>
    </w:lvl>
  </w:abstractNum>
  <w:abstractNum w:abstractNumId="89">
    <w:nsid w:val="6FC75AF8"/>
    <w:multiLevelType w:val="hybridMultilevel"/>
    <w:lvl w:ilvl="0">
      <w:lvlJc w:val="left"/>
      <w:lvlText w:val="%1."/>
      <w:numFmt w:val="decimal"/>
      <w:start w:val="15"/>
    </w:lvl>
  </w:abstractNum>
  <w:abstractNum w:abstractNumId="90">
    <w:nsid w:val="6A5F7029"/>
    <w:multiLevelType w:val="hybridMultilevel"/>
    <w:lvl w:ilvl="0">
      <w:lvlJc w:val="left"/>
      <w:lvlText w:val="%1."/>
      <w:numFmt w:val="decimal"/>
      <w:start w:val="11"/>
    </w:lvl>
  </w:abstractNum>
  <w:abstractNum w:abstractNumId="91">
    <w:nsid w:val="7D5E18F8"/>
    <w:multiLevelType w:val="hybridMultilevel"/>
    <w:lvl w:ilvl="0">
      <w:lvlJc w:val="left"/>
      <w:lvlText w:val="%1."/>
      <w:numFmt w:val="decimal"/>
      <w:start w:val="11"/>
    </w:lvl>
  </w:abstractNum>
  <w:abstractNum w:abstractNumId="92">
    <w:nsid w:val="5F3534A4"/>
    <w:multiLevelType w:val="hybridMultilevel"/>
    <w:lvl w:ilvl="0">
      <w:lvlJc w:val="left"/>
      <w:lvlText w:val="%1."/>
      <w:numFmt w:val="decimal"/>
      <w:start w:val="12"/>
    </w:lvl>
  </w:abstractNum>
  <w:abstractNum w:abstractNumId="93">
    <w:nsid w:val="73A1821B"/>
    <w:multiLevelType w:val="hybridMultilevel"/>
    <w:lvl w:ilvl="0">
      <w:lvlJc w:val="left"/>
      <w:lvlText w:val="%1."/>
      <w:numFmt w:val="decimal"/>
      <w:start w:val="13"/>
    </w:lvl>
  </w:abstractNum>
  <w:abstractNum w:abstractNumId="94">
    <w:nsid w:val="7DE67713"/>
    <w:multiLevelType w:val="hybridMultilevel"/>
    <w:lvl w:ilvl="0">
      <w:lvlJc w:val="left"/>
      <w:lvlText w:val="%1."/>
      <w:numFmt w:val="decimal"/>
      <w:start w:val="11"/>
    </w:lvl>
  </w:abstractNum>
  <w:abstractNum w:abstractNumId="95">
    <w:nsid w:val="555C55B5"/>
    <w:multiLevelType w:val="hybridMultilevel"/>
    <w:lvl w:ilvl="0">
      <w:lvlJc w:val="left"/>
      <w:lvlText w:val="%1."/>
      <w:numFmt w:val="decimal"/>
      <w:start w:val="11"/>
    </w:lvl>
  </w:abstractNum>
  <w:abstractNum w:abstractNumId="96">
    <w:nsid w:val="3FA62ACA"/>
    <w:multiLevelType w:val="hybridMultilevel"/>
    <w:lvl w:ilvl="0">
      <w:lvlJc w:val="left"/>
      <w:lvlText w:val="%1."/>
      <w:numFmt w:val="decimal"/>
      <w:start w:val="12"/>
    </w:lvl>
  </w:abstractNum>
  <w:abstractNum w:abstractNumId="97">
    <w:nsid w:val="14FCE74E"/>
    <w:multiLevelType w:val="hybridMultilevel"/>
    <w:lvl w:ilvl="0">
      <w:lvlJc w:val="left"/>
      <w:lvlText w:val="%1."/>
      <w:numFmt w:val="decimal"/>
      <w:start w:val="13"/>
    </w:lvl>
  </w:abstractNum>
  <w:abstractNum w:abstractNumId="98">
    <w:nsid w:val="6A3DD3E8"/>
    <w:multiLevelType w:val="hybridMultilevel"/>
    <w:lvl w:ilvl="0">
      <w:lvlJc w:val="left"/>
      <w:lvlText w:val="%1."/>
      <w:numFmt w:val="decimal"/>
      <w:start w:val="11"/>
    </w:lvl>
  </w:abstractNum>
  <w:abstractNum w:abstractNumId="99">
    <w:nsid w:val="71C91298"/>
    <w:multiLevelType w:val="hybridMultilevel"/>
    <w:lvl w:ilvl="0">
      <w:lvlJc w:val="left"/>
      <w:lvlText w:val="%1."/>
      <w:numFmt w:val="decimal"/>
      <w:start w:val="11"/>
    </w:lvl>
  </w:abstractNum>
  <w:abstractNum w:abstractNumId="100">
    <w:nsid w:val="9DAF632"/>
    <w:multiLevelType w:val="hybridMultilevel"/>
    <w:lvl w:ilvl="0">
      <w:lvlJc w:val="left"/>
      <w:lvlText w:val="%1."/>
      <w:numFmt w:val="decimal"/>
      <w:start w:val="12"/>
    </w:lvl>
  </w:abstractNum>
  <w:abstractNum w:abstractNumId="101">
    <w:nsid w:val="53299938"/>
    <w:multiLevelType w:val="hybridMultilevel"/>
    <w:lvl w:ilvl="0">
      <w:lvlJc w:val="left"/>
      <w:lvlText w:val="%1."/>
      <w:numFmt w:val="decimal"/>
      <w:start w:val="13"/>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1)"/>
      <w:numFmt w:val="decimal"/>
      <w:start w:val="1"/>
    </w:lvl>
    <w:lvl w:ilvl="1">
      <w:lvlJc w:val="left"/>
      <w:lvlText w:val="(%2)"/>
      <w:numFmt w:val="lowerLetter"/>
      <w:start w:val="1"/>
    </w:lvl>
  </w:abstractNum>
  <w:abstractNum w:abstractNumId="104">
    <w:nsid w:val="1D545C4D"/>
    <w:multiLevelType w:val="hybridMultilevel"/>
    <w:lvl w:ilvl="0">
      <w:lvlJc w:val="left"/>
      <w:lvlText w:val="(%1)"/>
      <w:numFmt w:val="decimal"/>
      <w:start w:val="1"/>
    </w:lvl>
    <w:lvl w:ilvl="1">
      <w:lvlJc w:val="left"/>
      <w:lvlText w:val="(%2)"/>
      <w:numFmt w:val="lowerLetter"/>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112" Type="http://schemas.openxmlformats.org/officeDocument/2006/relationships/image" Target="media/image24.png"/><Relationship Id="rId113" Type="http://schemas.openxmlformats.org/officeDocument/2006/relationships/image" Target="media/image25.png"/><Relationship Id="rId114" Type="http://schemas.openxmlformats.org/officeDocument/2006/relationships/image" Target="media/image26.png"/><Relationship Id="rId115" Type="http://schemas.openxmlformats.org/officeDocument/2006/relationships/image" Target="media/image27.png"/><Relationship Id="rId116" Type="http://schemas.openxmlformats.org/officeDocument/2006/relationships/image" Target="media/image28.png"/><Relationship Id="rId117" Type="http://schemas.openxmlformats.org/officeDocument/2006/relationships/image" Target="media/image29.png"/><Relationship Id="rId118" Type="http://schemas.openxmlformats.org/officeDocument/2006/relationships/image" Target="media/image30.png"/><Relationship Id="rId119" Type="http://schemas.openxmlformats.org/officeDocument/2006/relationships/image" Target="media/image31.png"/><Relationship Id="rId120" Type="http://schemas.openxmlformats.org/officeDocument/2006/relationships/image" Target="media/image32.png"/><Relationship Id="rId121" Type="http://schemas.openxmlformats.org/officeDocument/2006/relationships/image" Target="media/image33.png"/><Relationship Id="rId122" Type="http://schemas.openxmlformats.org/officeDocument/2006/relationships/image" Target="media/image34.png"/><Relationship Id="rId123" Type="http://schemas.openxmlformats.org/officeDocument/2006/relationships/image" Target="media/image35.png"/><Relationship Id="rId124" Type="http://schemas.openxmlformats.org/officeDocument/2006/relationships/image" Target="media/image36.png"/><Relationship Id="rId125" Type="http://schemas.openxmlformats.org/officeDocument/2006/relationships/image" Target="media/image37.png"/><Relationship Id="rId126" Type="http://schemas.openxmlformats.org/officeDocument/2006/relationships/image" Target="media/image38.png"/><Relationship Id="rId127" Type="http://schemas.openxmlformats.org/officeDocument/2006/relationships/image" Target="media/image39.png"/><Relationship Id="rId128" Type="http://schemas.openxmlformats.org/officeDocument/2006/relationships/image" Target="media/image40.png"/><Relationship Id="rId129" Type="http://schemas.openxmlformats.org/officeDocument/2006/relationships/image" Target="media/image41.png"/><Relationship Id="rId130" Type="http://schemas.openxmlformats.org/officeDocument/2006/relationships/image" Target="media/image42.png"/><Relationship Id="rId131" Type="http://schemas.openxmlformats.org/officeDocument/2006/relationships/image" Target="media/image43.png"/><Relationship Id="rId132" Type="http://schemas.openxmlformats.org/officeDocument/2006/relationships/image" Target="media/image44.png"/><Relationship Id="rId133" Type="http://schemas.openxmlformats.org/officeDocument/2006/relationships/image" Target="media/image45.png"/><Relationship Id="rId31" Type="http://schemas.openxmlformats.org/officeDocument/2006/relationships/hyperlink" Target="http://www.sec.gov/Archives/edgar/data/100517/000110465919037929/a19-12113_1ex3d1.htm" TargetMode="External"/><Relationship Id="rId32" Type="http://schemas.openxmlformats.org/officeDocument/2006/relationships/hyperlink" Target="http://www.sec.gov/Archives/edgar/data/100517/000110465919037929/a19-12113_1ex3d2.htm" TargetMode="External"/><Relationship Id="rId33" Type="http://schemas.openxmlformats.org/officeDocument/2006/relationships/hyperlink" Target="http://www.sec.gov/Archives/edgar/data/100517/000119312513140583/d514659dex31.htm" TargetMode="External"/><Relationship Id="rId34" Type="http://schemas.openxmlformats.org/officeDocument/2006/relationships/hyperlink" Target="http://www.sec.gov/Archives/edgar/data/100517/000119312513140583/d514659dex32.htm" TargetMode="External"/><Relationship Id="rId35" Type="http://schemas.openxmlformats.org/officeDocument/2006/relationships/hyperlink" Target="http://www.sec.gov/Archives/edgar/data/100517/000095015513000024/e62332806ex4_1.htm" TargetMode="External"/><Relationship Id="rId36" Type="http://schemas.openxmlformats.org/officeDocument/2006/relationships/hyperlink" Target="http://www.sec.gov/Archives/edgar/data/100517/000095015513000051/e62651277ex4_2.htm" TargetMode="External"/><Relationship Id="rId37" Type="http://schemas.openxmlformats.org/officeDocument/2006/relationships/hyperlink" Target="http://www.sec.gov/Archives/edgar/data/100517/000095015513000051/e62651277ex4_3.htm" TargetMode="External"/><Relationship Id="rId38" Type="http://schemas.openxmlformats.org/officeDocument/2006/relationships/hyperlink" Target="http://www.sec.gov/Archives/edgar/data/100517/000095015513000051/e62651277ex4_4.htm" TargetMode="External"/><Relationship Id="rId39" Type="http://schemas.openxmlformats.org/officeDocument/2006/relationships/hyperlink" Target="http://www.sec.gov/Archives/edgar/data/100517/000095015517000004/e75742257ex4_2.htm" TargetMode="External"/><Relationship Id="rId40" Type="http://schemas.openxmlformats.org/officeDocument/2006/relationships/hyperlink" Target="http://www.sec.gov/Archives/edgar/data/100517/000119312517302468/d463744dex42.htm" TargetMode="External"/><Relationship Id="rId41" Type="http://schemas.openxmlformats.org/officeDocument/2006/relationships/hyperlink" Target="http://www.sec.gov/Archives/edgar/data/100517/000119312519144324/d745969dex42.htm" TargetMode="External"/><Relationship Id="rId42" Type="http://schemas.openxmlformats.org/officeDocument/2006/relationships/hyperlink" Target="http://www.sec.gov/Archives/edgar/data/100517/000119312519144324/d745969dex42.htm#ex4_2toc745969_33" TargetMode="External"/><Relationship Id="rId43" Type="http://schemas.openxmlformats.org/officeDocument/2006/relationships/hyperlink" Target="http://www.sec.gov/Archives/edgar/data/100517/000110465916112937/a16-8741_2ex10d1.htm" TargetMode="External"/><Relationship Id="rId44" Type="http://schemas.openxmlformats.org/officeDocument/2006/relationships/hyperlink" Target="http://www.sec.gov/Archives/edgar/data/100517/000110465916088696/a16-1427_1ex10d1.htm" TargetMode="External"/><Relationship Id="rId45" Type="http://schemas.openxmlformats.org/officeDocument/2006/relationships/hyperlink" Target="http://www.sec.gov/Archives/edgar/data/100517/000110465916112678/a16-8741_1ex10d1.htm" TargetMode="External"/><Relationship Id="rId46" Type="http://schemas.openxmlformats.org/officeDocument/2006/relationships/hyperlink" Target="http://www.sec.gov/Archives/edgar/data/100517/000110465917025203/a17-11675_1ex10d1.htm" TargetMode="External"/><Relationship Id="rId47" Type="http://schemas.openxmlformats.org/officeDocument/2006/relationships/hyperlink" Target="http://www.sec.gov/Archives/edgar/data/100517/000110465919070590/tm1924595d1_ex10-1.htm" TargetMode="External"/><Relationship Id="rId48" Type="http://schemas.openxmlformats.org/officeDocument/2006/relationships/hyperlink" Target="http://www.sec.gov/Archives/edgar/data/100517/000119312515350093/d63220dex102.htm" TargetMode="External"/><Relationship Id="rId49" Type="http://schemas.openxmlformats.org/officeDocument/2006/relationships/hyperlink" Target="http://www.sec.gov/Archives/edgar/data/100517/000110465919070590/tm1924595d1_ex10-2.htm" TargetMode="External"/><Relationship Id="rId50" Type="http://schemas.openxmlformats.org/officeDocument/2006/relationships/hyperlink" Target="http://www.sec.gov/Archives/edgar/data/100517/000119312516739859/d259980dex101.htm" TargetMode="External"/><Relationship Id="rId51" Type="http://schemas.openxmlformats.org/officeDocument/2006/relationships/hyperlink" Target="http://www.sec.gov/Archives/edgar/data/100517/000119312516739859/d259980dex102.htm" TargetMode="External"/><Relationship Id="rId52" Type="http://schemas.openxmlformats.org/officeDocument/2006/relationships/hyperlink" Target="http://www.sec.gov/Archives/edgar/data/100517/000119312511042335/dex1024.htm" TargetMode="External"/><Relationship Id="rId53" Type="http://schemas.openxmlformats.org/officeDocument/2006/relationships/hyperlink" Target="http://www.sec.gov/Archives/edgar/data/100517/000104746913004972/a2214585zdef14a.htm#la45701_annex_a" TargetMode="External"/><Relationship Id="rId54" Type="http://schemas.openxmlformats.org/officeDocument/2006/relationships/hyperlink" Target="http://www.sec.gov/Archives/edgar/data/100517/000119312517054129/d300268dex1019.htm" TargetMode="External"/><Relationship Id="rId55" Type="http://schemas.openxmlformats.org/officeDocument/2006/relationships/hyperlink" Target="http://www.sec.gov/Archives/edgar/data/100517/000104746908008342/a2186941zex-10_5.htm" TargetMode="External"/><Relationship Id="rId56" Type="http://schemas.openxmlformats.org/officeDocument/2006/relationships/hyperlink" Target="http://www.sec.gov/Archives/edgar/data/100517/000119312517054129/d300268dex1021.htm" TargetMode="External"/><Relationship Id="rId57" Type="http://schemas.openxmlformats.org/officeDocument/2006/relationships/hyperlink" Target="http://www.sec.gov/Archives/edgar/data/100517/000119312511042335/dex1031.htm" TargetMode="External"/><Relationship Id="rId58" Type="http://schemas.openxmlformats.org/officeDocument/2006/relationships/hyperlink" Target="http://www.sec.gov/Archives/edgar/data/100517/000119312512073010/d260625dex1033.htm" TargetMode="External"/><Relationship Id="rId59" Type="http://schemas.openxmlformats.org/officeDocument/2006/relationships/hyperlink" Target="http://www.sec.gov/Archives/edgar/data/100517/000119312513074391/d436512dex1029.htm" TargetMode="External"/><Relationship Id="rId60" Type="http://schemas.openxmlformats.org/officeDocument/2006/relationships/hyperlink" Target="http://www.sec.gov/Archives/edgar/data/100517/000119312515144255/d891332dex101.htm" TargetMode="External"/><Relationship Id="rId61" Type="http://schemas.openxmlformats.org/officeDocument/2006/relationships/hyperlink" Target="http://www.sec.gov/Archives/edgar/data/100517/000119312516468479/d13806dex1022.htm" TargetMode="External"/><Relationship Id="rId62" Type="http://schemas.openxmlformats.org/officeDocument/2006/relationships/hyperlink" Target="http://www.sec.gov/Archives/edgar/data/100517/000119312515144255/d891332dex102.htm" TargetMode="External"/><Relationship Id="rId63" Type="http://schemas.openxmlformats.org/officeDocument/2006/relationships/hyperlink" Target="http://www.sec.gov/Archives/edgar/data/100517/000010051719000009/ual_12311810kex1028.htm" TargetMode="External"/><Relationship Id="rId64" Type="http://schemas.openxmlformats.org/officeDocument/2006/relationships/hyperlink" Target="http://www.sec.gov/Archives/edgar/data/100517/000119312514243977/d743918dex101.htm" TargetMode="External"/><Relationship Id="rId65" Type="http://schemas.openxmlformats.org/officeDocument/2006/relationships/hyperlink" Target="http://www.sec.gov/Archives/edgar/data/100517/000119312517187534/d378920dex101.htm" TargetMode="External"/><Relationship Id="rId66" Type="http://schemas.openxmlformats.org/officeDocument/2006/relationships/hyperlink" Target="http://www.sec.gov/Archives/edgar/data/100517/000119312517231250/d414345dex106.htm" TargetMode="External"/><Relationship Id="rId67" Type="http://schemas.openxmlformats.org/officeDocument/2006/relationships/hyperlink" Target="http://www.sec.gov/Archives/edgar/data/100517/000119312517231250/d414345dex107.htm" TargetMode="External"/><Relationship Id="rId68" Type="http://schemas.openxmlformats.org/officeDocument/2006/relationships/hyperlink" Target="http://www.sec.gov/Archives/edgar/data/100517/000119312517231250/d414345dex108.htm" TargetMode="External"/><Relationship Id="rId69" Type="http://schemas.openxmlformats.org/officeDocument/2006/relationships/hyperlink" Target="http://www.sec.gov/Archives/edgar/data/100517/000010051719000009/ual_12311810kex1034.htm" TargetMode="External"/><Relationship Id="rId70" Type="http://schemas.openxmlformats.org/officeDocument/2006/relationships/hyperlink" Target="http://www.sec.gov/Archives/edgar/data/100517/000010051719000009/ual_12311810kex1035.htm" TargetMode="External"/><Relationship Id="rId71" Type="http://schemas.openxmlformats.org/officeDocument/2006/relationships/hyperlink" Target="http://www.sec.gov/Archives/edgar/data/100517/000119312517231250/d414345dex109.htm" TargetMode="External"/><Relationship Id="rId72" Type="http://schemas.openxmlformats.org/officeDocument/2006/relationships/hyperlink" Target="http://www.sec.gov/Archives/edgar/data/100517/000119312518054235/d471340dex1063.htm" TargetMode="External"/><Relationship Id="rId73" Type="http://schemas.openxmlformats.org/officeDocument/2006/relationships/hyperlink" Target="http://www.sec.gov/Archives/edgar/data/100517/000119312518054235/d471340dex1064.htm" TargetMode="External"/><Relationship Id="rId74" Type="http://schemas.openxmlformats.org/officeDocument/2006/relationships/hyperlink" Target="http://www.sec.gov/Archives/edgar/data/100517/000104746914004198/a2219797zdef14a.htm#lc42701_annex_a" TargetMode="External"/><Relationship Id="rId75" Type="http://schemas.openxmlformats.org/officeDocument/2006/relationships/hyperlink" Target="http://www.sec.gov/Archives/edgar/data/100517/000119312517127429/d334701dex103.htm" TargetMode="External"/><Relationship Id="rId76" Type="http://schemas.openxmlformats.org/officeDocument/2006/relationships/hyperlink" Target="http://www.sec.gov/Archives/edgar/data/100517/000119312514278970/d732259dex109.htm" TargetMode="External"/><Relationship Id="rId77" Type="http://schemas.openxmlformats.org/officeDocument/2006/relationships/hyperlink" Target="http://www.sec.gov/Archives/edgar/data/100517/000119312517313831/d437791dex101.htm" TargetMode="External"/><Relationship Id="rId78" Type="http://schemas.openxmlformats.org/officeDocument/2006/relationships/hyperlink" Target="http://www.sec.gov/Archives/edgar/data/100517/000010051719000026/ual09301910qex101.htm" TargetMode="External"/><Relationship Id="rId79" Type="http://schemas.openxmlformats.org/officeDocument/2006/relationships/hyperlink" Target="http://www.sec.gov/Archives/edgar/data/319687/0000319687-98-000003.txt" TargetMode="External"/><Relationship Id="rId80" Type="http://schemas.openxmlformats.org/officeDocument/2006/relationships/hyperlink" Target="http://www.sec.gov/Archives/edgar/data/100517/000119312512435658/d408868dex103.htm" TargetMode="External"/><Relationship Id="rId81" Type="http://schemas.openxmlformats.org/officeDocument/2006/relationships/hyperlink" Target="http://www.sec.gov/Archives/edgar/data/100517/000119312513302696/d552832dex105.htm" TargetMode="External"/><Relationship Id="rId82" Type="http://schemas.openxmlformats.org/officeDocument/2006/relationships/hyperlink" Target="http://www.sec.gov/Archives/edgar/data/100517/000119312513409916/d578285dex103.htm" TargetMode="External"/><Relationship Id="rId83" Type="http://schemas.openxmlformats.org/officeDocument/2006/relationships/hyperlink" Target="http://www.sec.gov/Archives/edgar/data/100517/000119312515144255/d891332dex105.htm" TargetMode="External"/><Relationship Id="rId84" Type="http://schemas.openxmlformats.org/officeDocument/2006/relationships/hyperlink" Target="http://www.sec.gov/Archives/edgar/data/100517/000119312515261239/d941677dex104.htm" TargetMode="External"/><Relationship Id="rId85" Type="http://schemas.openxmlformats.org/officeDocument/2006/relationships/hyperlink" Target="http://www.sec.gov/Archives/edgar/data/100517/000119312515261239/d941677dex105.htm" TargetMode="External"/><Relationship Id="rId86" Type="http://schemas.openxmlformats.org/officeDocument/2006/relationships/hyperlink" Target="http://www.sec.gov/Archives/edgar/data/100517/000119312516550432/d116267dex101.htm" TargetMode="External"/><Relationship Id="rId87" Type="http://schemas.openxmlformats.org/officeDocument/2006/relationships/hyperlink" Target="http://www.sec.gov/Archives/edgar/data/100517/000119312516550432/d116267dex103.htm" TargetMode="External"/><Relationship Id="rId88" Type="http://schemas.openxmlformats.org/officeDocument/2006/relationships/hyperlink" Target="http://www.sec.gov/Archives/edgar/data/100517/000119312517054129/d300268dex10183.htm" TargetMode="External"/><Relationship Id="rId89" Type="http://schemas.openxmlformats.org/officeDocument/2006/relationships/hyperlink" Target="http://www.sec.gov/Archives/edgar/data/100517/000119312517231250/d414345dex103.htm" TargetMode="External"/><Relationship Id="rId90" Type="http://schemas.openxmlformats.org/officeDocument/2006/relationships/hyperlink" Target="http://www.sec.gov/Archives/edgar/data/100517/000119312517231250/d414345dex104.htm" TargetMode="External"/><Relationship Id="rId91" Type="http://schemas.openxmlformats.org/officeDocument/2006/relationships/hyperlink" Target="http://www.sec.gov/Archives/edgar/data/100517/000010051718000012/ual_06301810qex102.htm" TargetMode="External"/><Relationship Id="rId92" Type="http://schemas.openxmlformats.org/officeDocument/2006/relationships/hyperlink" Target="http://www.sec.gov/Archives/edgar/data/100517/000010051718000028/ual_09301810qex101.htm" TargetMode="External"/><Relationship Id="rId93" Type="http://schemas.openxmlformats.org/officeDocument/2006/relationships/hyperlink" Target="http://www.sec.gov/Archives/edgar/data/100517/000010051719000009/ual_12311810kex10152.htm" TargetMode="External"/><Relationship Id="rId94" Type="http://schemas.openxmlformats.org/officeDocument/2006/relationships/hyperlink" Target="http://www.sec.gov/Archives/edgar/data/100517/000119312512435658/d408868dex104.htm" TargetMode="External"/><Relationship Id="rId95" Type="http://schemas.openxmlformats.org/officeDocument/2006/relationships/hyperlink" Target="http://www.sec.gov/Archives/edgar/data/100517/000119312512435658/d408868dex106.htm" TargetMode="External"/><Relationship Id="rId96" Type="http://schemas.openxmlformats.org/officeDocument/2006/relationships/hyperlink" Target="http://www.sec.gov/Archives/edgar/data/100517/000119312513302696/d552832dex106.htm" TargetMode="External"/><Relationship Id="rId97" Type="http://schemas.openxmlformats.org/officeDocument/2006/relationships/hyperlink" Target="http://www.sec.gov/Archives/edgar/data/100517/000119312514278970/d732259dex101.htm" TargetMode="External"/><Relationship Id="rId98" Type="http://schemas.openxmlformats.org/officeDocument/2006/relationships/hyperlink" Target="http://www.sec.gov/Archives/edgar/data/100517/000119312514380216/d787177dex103.htm" TargetMode="External"/><Relationship Id="rId99" Type="http://schemas.openxmlformats.org/officeDocument/2006/relationships/hyperlink" Target="http://www.sec.gov/Archives/edgar/data/100517/000119312515144255/d891332dex106.htm" TargetMode="External"/><Relationship Id="rId100" Type="http://schemas.openxmlformats.org/officeDocument/2006/relationships/hyperlink" Target="http://www.sec.gov/Archives/edgar/data/100517/000119312515261239/d941677dex108.htm" TargetMode="External"/><Relationship Id="rId101" Type="http://schemas.openxmlformats.org/officeDocument/2006/relationships/hyperlink" Target="http://www.sec.gov/Archives/edgar/data/100517/000119312516468479/d13806dex10178.htm" TargetMode="External"/><Relationship Id="rId102" Type="http://schemas.openxmlformats.org/officeDocument/2006/relationships/hyperlink" Target="http://www.sec.gov/Archives/edgar/data/100517/000119312516550432/d116267dex105.htm" TargetMode="External"/><Relationship Id="rId103" Type="http://schemas.openxmlformats.org/officeDocument/2006/relationships/hyperlink" Target="http://www.sec.gov/Archives/edgar/data/100517/000119312516651221/d188420dex105.htm" TargetMode="External"/><Relationship Id="rId104" Type="http://schemas.openxmlformats.org/officeDocument/2006/relationships/hyperlink" Target="http://www.sec.gov/Archives/edgar/data/100517/000119312517231250/d414345dex105.htm" TargetMode="External"/><Relationship Id="rId105" Type="http://schemas.openxmlformats.org/officeDocument/2006/relationships/hyperlink" Target="http://www.sec.gov/Archives/edgar/data/100517/000119312517054129/d300268dex10194.htm" TargetMode="External"/><Relationship Id="rId106" Type="http://schemas.openxmlformats.org/officeDocument/2006/relationships/hyperlink" Target="http://www.sec.gov/Archives/edgar/data/100517/000010051718000012/ual_06301810qex103.htm" TargetMode="External"/><Relationship Id="rId107" Type="http://schemas.openxmlformats.org/officeDocument/2006/relationships/hyperlink" Target="http://www.sec.gov/Archives/edgar/data/100517/000010051719000009/ual_12311810kex10166.htm" TargetMode="External"/><Relationship Id="rId108" Type="http://schemas.openxmlformats.org/officeDocument/2006/relationships/hyperlink" Target="http://www.sec.gov/Archives/edgar/data/100517/000010051719000009/ual_12311810kex10167.htm" TargetMode="External"/><Relationship Id="rId109" Type="http://schemas.openxmlformats.org/officeDocument/2006/relationships/hyperlink" Target="http://www.sec.gov/Archives/edgar/data/100517/000095015517000006/e77015399ex10_1.htm" TargetMode="External"/><Relationship Id="rId110" Type="http://schemas.openxmlformats.org/officeDocument/2006/relationships/hyperlink" Target="http://www.sec.gov/Archives/edgar/data/100517/000119312518054235/d471340dex10219.htm" TargetMode="External"/><Relationship Id="rId111" Type="http://schemas.openxmlformats.org/officeDocument/2006/relationships/hyperlink" Target="http://www.sec.gov/Archives/edgar/data/100517/000010051718000012/ual_063018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2020-02-25T05:36:28Z</dcterms:created>
  <dcterms:modified xsi:type="dcterms:W3CDTF">2020-02-25T05:36:28Z</dcterms:modified>
</cp:coreProperties>
</file>