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United Airlines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910047109</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910047109</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International Investors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18,205,976.00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18,214,883.00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18,214,883.00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United Airlines Holdings,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233 SOUTH WACKER DRIVE, E. ANNA HA - WHQLD, CHICAGO, IL 60606</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International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jc w:val="left"/>
              <w:rPr/>
            </w:pPr>
            <w:r>
              <w:rPr/>
              <w:t xml:space="preserve">CUSIP No.: </w:t>
            </w:r>
          </w:p>
          <w:p>
            <w:pPr>
              <w:pStyle w:val="TableContents"/>
              <w:bidi w:val="0"/>
              <w:spacing w:before="0" w:after="0"/>
              <w:jc w:val="left"/>
              <w:rPr/>
            </w:pPr>
            <w:r>
              <w:rPr/>
              <w:t>910047109</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18,214,883 ** **Capital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18,214,883 shares or 5.6% of the 327,703,867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18,205,976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18,214,883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Capital International Investors</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Jae Won Chung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Vice President and Senior Counsel II, Capital Research and Management Company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02/12/2026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839</Words>
  <Characters>4501</Characters>
  <CharactersWithSpaces>5329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