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8, 2020</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AIRLINES HOLDINGS, INC.</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AIRLINES, INC.</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3800" w:type="dxa"/>
            <w:vAlign w:val="bottom"/>
          </w:tcPr>
          <w:p>
            <w:pPr>
              <w:jc w:val="center"/>
              <w:ind w:right="18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4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001-06033</w:t>
            </w:r>
          </w:p>
        </w:tc>
        <w:tc>
          <w:tcPr>
            <w:tcW w:w="316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rPr>
              <w:t>36-2675207</w:t>
            </w:r>
          </w:p>
        </w:tc>
      </w:tr>
      <w:tr>
        <w:trPr>
          <w:trHeight w:val="220"/>
        </w:trPr>
        <w:tc>
          <w:tcPr>
            <w:tcW w:w="3800" w:type="dxa"/>
            <w:vAlign w:val="bottom"/>
          </w:tcPr>
          <w:p>
            <w:pPr>
              <w:jc w:val="center"/>
              <w:ind w:right="18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4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001-10323</w:t>
            </w:r>
          </w:p>
        </w:tc>
        <w:tc>
          <w:tcPr>
            <w:tcW w:w="316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rPr>
              <w:t>74-2099724</w:t>
            </w:r>
          </w:p>
        </w:tc>
      </w:tr>
      <w:tr>
        <w:trPr>
          <w:trHeight w:val="216"/>
        </w:trPr>
        <w:tc>
          <w:tcPr>
            <w:tcW w:w="38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4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(Commission</w:t>
            </w:r>
          </w:p>
        </w:tc>
        <w:tc>
          <w:tcPr>
            <w:tcW w:w="31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4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File Number)</w:t>
            </w:r>
          </w:p>
        </w:tc>
        <w:tc>
          <w:tcPr>
            <w:tcW w:w="31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233 S. Wacker Drive, Chicago, IL</w:t>
            </w:r>
          </w:p>
        </w:tc>
        <w:tc>
          <w:tcPr>
            <w:tcW w:w="2460" w:type="dxa"/>
            <w:vAlign w:val="bottom"/>
          </w:tcPr>
          <w:p>
            <w:pPr>
              <w:spacing w:after="0"/>
              <w:rPr>
                <w:sz w:val="24"/>
                <w:szCs w:val="24"/>
                <w:color w:val="auto"/>
              </w:rPr>
            </w:pPr>
          </w:p>
        </w:tc>
        <w:tc>
          <w:tcPr>
            <w:tcW w:w="31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60606</w:t>
            </w:r>
          </w:p>
        </w:tc>
      </w:tr>
      <w:tr>
        <w:trPr>
          <w:trHeight w:val="220"/>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233 S. Wacker Drive, Chicago, IL</w:t>
            </w:r>
          </w:p>
        </w:tc>
        <w:tc>
          <w:tcPr>
            <w:tcW w:w="2460" w:type="dxa"/>
            <w:vAlign w:val="bottom"/>
          </w:tcPr>
          <w:p>
            <w:pPr>
              <w:spacing w:after="0"/>
              <w:rPr>
                <w:sz w:val="19"/>
                <w:szCs w:val="19"/>
                <w:color w:val="auto"/>
              </w:rPr>
            </w:pPr>
          </w:p>
        </w:tc>
        <w:tc>
          <w:tcPr>
            <w:tcW w:w="31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60606</w:t>
            </w:r>
          </w:p>
        </w:tc>
      </w:tr>
      <w:tr>
        <w:trPr>
          <w:trHeight w:val="234"/>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460" w:type="dxa"/>
            <w:vAlign w:val="bottom"/>
          </w:tcPr>
          <w:p>
            <w:pPr>
              <w:spacing w:after="0"/>
              <w:rPr>
                <w:sz w:val="20"/>
                <w:szCs w:val="20"/>
                <w:color w:val="auto"/>
              </w:rPr>
            </w:pPr>
          </w:p>
        </w:tc>
        <w:tc>
          <w:tcPr>
            <w:tcW w:w="31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ind w:left="5500" w:hanging="438"/>
        <w:spacing w:after="0"/>
        <w:tabs>
          <w:tab w:leader="none" w:pos="55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825-4000</w:t>
      </w:r>
    </w:p>
    <w:p>
      <w:pPr>
        <w:spacing w:after="0" w:line="31" w:lineRule="exact"/>
        <w:rPr>
          <w:rFonts w:ascii="Times New Roman" w:cs="Times New Roman" w:eastAsia="Times New Roman" w:hAnsi="Times New Roman"/>
          <w:sz w:val="18"/>
          <w:szCs w:val="18"/>
          <w:b w:val="1"/>
          <w:bCs w:val="1"/>
          <w:color w:val="auto"/>
        </w:rPr>
      </w:pPr>
    </w:p>
    <w:p>
      <w:pPr>
        <w:ind w:left="5500" w:hanging="438"/>
        <w:spacing w:after="0"/>
        <w:tabs>
          <w:tab w:leader="none" w:pos="55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825-4000</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jc w:val="both"/>
        <w:ind w:left="340" w:right="4420"/>
        <w:spacing w:after="0" w:line="530" w:lineRule="auto"/>
        <w:rPr>
          <w:sz w:val="24"/>
          <w:szCs w:val="24"/>
          <w:color w:val="auto"/>
        </w:rPr>
      </w:pPr>
      <w:r>
        <w:rPr>
          <w:rFonts w:ascii="Times New Roman" w:cs="Times New Roman" w:eastAsia="Times New Roman" w:hAnsi="Times New Roman"/>
          <w:sz w:val="17"/>
          <w:szCs w:val="17"/>
          <w:color w:val="auto"/>
        </w:rPr>
        <w:t>Written communications pursuant to Rule 425 under the Securities Act (17 CFR 230.425) Soliciting material pursuant to Rule 14a-12 under the Exchange Act (17 CFR 240.14a-12)</w:t>
      </w:r>
    </w:p>
    <w:p>
      <w:pPr>
        <w:spacing w:after="0"/>
        <w:rPr>
          <w:sz w:val="24"/>
          <w:szCs w:val="24"/>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sz w:val="24"/>
          <w:szCs w:val="24"/>
          <w:color w:val="auto"/>
        </w:rPr>
      </w:pPr>
    </w:p>
    <w:p>
      <w:pPr>
        <w:ind w:right="2860" w:firstLine="8"/>
        <w:spacing w:after="0" w:line="498" w:lineRule="auto"/>
        <w:tabs>
          <w:tab w:leader="none" w:pos="3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52"/>
        </w:trPr>
        <w:tc>
          <w:tcPr>
            <w:tcW w:w="294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Registrant</w:t>
            </w:r>
          </w:p>
        </w:tc>
        <w:tc>
          <w:tcPr>
            <w:tcW w:w="2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191"/>
        </w:trPr>
        <w:tc>
          <w:tcPr>
            <w:tcW w:w="2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United Airlines Holdings, Inc.</w:t>
            </w:r>
          </w:p>
        </w:tc>
        <w:tc>
          <w:tcPr>
            <w:tcW w:w="2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UAL</w:t>
            </w:r>
          </w:p>
        </w:tc>
        <w:tc>
          <w:tcPr>
            <w:tcW w:w="2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Airlines, Inc.</w:t>
            </w:r>
          </w:p>
        </w:tc>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None</w:t>
            </w:r>
          </w:p>
        </w:tc>
        <w:tc>
          <w:tcPr>
            <w:tcW w:w="2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None</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 Emerging growth company</w:t>
      </w:r>
    </w:p>
    <w:p>
      <w:pPr>
        <w:spacing w:after="0" w:line="16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July 8, 2020, United Airlines Holdings, Inc. and United Airlines, Inc. (together, the “Company”) filed a Form 8-K (the “Original Form 8-K”) disclosing, among other items, plans to implement a workforce reduction. This Amendment No. 1 to the Original Form 8-K is being filed by the Company solely to amend and supplement the Company's disclosure under Item 2.05 of the Original Form 8-K. The remainder of the Original Form 8-K is unchanged.</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2.05</w:t>
      </w:r>
      <w:r>
        <w:rPr>
          <w:sz w:val="20"/>
          <w:szCs w:val="20"/>
          <w:color w:val="auto"/>
        </w:rPr>
        <w:tab/>
      </w:r>
      <w:r>
        <w:rPr>
          <w:rFonts w:ascii="Times New Roman" w:cs="Times New Roman" w:eastAsia="Times New Roman" w:hAnsi="Times New Roman"/>
          <w:sz w:val="18"/>
          <w:szCs w:val="18"/>
          <w:b w:val="1"/>
          <w:bCs w:val="1"/>
          <w:color w:val="auto"/>
        </w:rPr>
        <w:t>Costs Associated with Exit or Disposal Activities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On September 2, 2020, United Airlines, Inc. informed approximately 15,000 employees of the Company’s need to furlough them. </w:t>
      </w:r>
      <w:r>
        <w:rPr>
          <w:rFonts w:ascii="Times New Roman" w:cs="Times New Roman" w:eastAsia="Times New Roman" w:hAnsi="Times New Roman"/>
          <w:sz w:val="18"/>
          <w:szCs w:val="18"/>
          <w:color w:val="212529"/>
        </w:rPr>
        <w:t>As of the date hereof,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Company expects that these actions will take effect beginning on October 1, 2020 and continue through November 2020. </w:t>
      </w:r>
      <w:r>
        <w:rPr>
          <w:rFonts w:ascii="Times New Roman" w:cs="Times New Roman" w:eastAsia="Times New Roman" w:hAnsi="Times New Roman"/>
          <w:sz w:val="18"/>
          <w:szCs w:val="18"/>
          <w:color w:val="000000"/>
        </w:rPr>
        <w:t>Employee participation in a</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number of voluntary employment separation programs and company leave programs offered pursuant to agreements reached with certain of the Company’s union partners reduced the number of employees subject to furloughs or job eliminations to approximately 16,370 from the approximately 38,000 employees who were notified beginning on July 8, 2020 of </w:t>
      </w:r>
      <w:r>
        <w:rPr>
          <w:rFonts w:ascii="Times New Roman" w:cs="Times New Roman" w:eastAsia="Times New Roman" w:hAnsi="Times New Roman"/>
          <w:sz w:val="18"/>
          <w:szCs w:val="18"/>
          <w:color w:val="212529"/>
        </w:rPr>
        <w:t>plans to implement a workforce reduction at their work location</w:t>
      </w:r>
      <w:r>
        <w:rPr>
          <w:rFonts w:ascii="Times New Roman" w:cs="Times New Roman" w:eastAsia="Times New Roman" w:hAnsi="Times New Roman"/>
          <w:sz w:val="18"/>
          <w:szCs w:val="18"/>
          <w:color w:val="000000"/>
        </w:rPr>
        <w:t>. This workforce reduction is part of the Company’s strategic realignment of its business and new organizational structure as a result of the impacts of the COVID-19 pandemic on the Company’s operations and cost structure.</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At this time, the Company is unable in good faith to make a determination of an estimate or range of estimates required by paragraphs (b), (c) and (d) of Item 2.05 of Form 8-K with respect to such workforce reduction actions. The Company will file an amendment to this report after it makes a determination of such estimate or range of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Cautionary Statement Regarding Forward-Looking Statements:</w:t>
      </w:r>
    </w:p>
    <w:p>
      <w:pPr>
        <w:spacing w:after="0" w:line="22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Certain statements in this Current Report on Form 8-K/A are forward-looking and thus reflect the Company’s current expectations and beliefs with respect to certain current and future events and anticipated financial and operating performance. Such forward-looking statements are and will be subject to many risks and uncertainties relating to the Company’s operations and business environment that may cause actual results to differ materially from any future results expressed or implied in such forward-looking statements. Words such as “expects,” “will,” “plans,” “anticipates,” “indicates,” “remains,” “believes,” “estimates,” “forecast,” “guidance,” “outlook,” “goals,” “targets” and similar expressions are intended to identify forward-looking statements. Additionally, forward-looking statements include statements that do not relate solely to historical facts, such as statements which identify uncertainties or trends, discuss the possible future effects of current known trends or uncertainties, or which indicate that the future effects of known trends or uncertainties cannot be predicted, guaranteed or assured. All forward-looking statements in this report are based upon information available to the Company on the date of this report. The Company undertakes no obligation to publicly update or revise any forward-looking statement, whether as a result of new information, future events, changed circumstances or otherwise, except as required by applicable law.</w:t>
      </w:r>
    </w:p>
    <w:p>
      <w:pPr>
        <w:spacing w:after="0" w:line="194"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The Company’s actual results could differ materially from these forward-looking statements due to numerous factors including, without limitation, the following: the duration and spread of the ongoing global COVID-19 pandemic and the outbreak of any other disease or similar public health threat and the impact on the business, results of operations and financial condition of the Company; the lenders’ ability to accelerate the MileagePlus indebtedness, foreclose upon the collateral securing the MileagePlus indebtedness or exercise other remedies if the Company is not able to comply with the covenants in the MileagePlus financing agreements; the final terms of borrowing pursuant to the Loan Program under the Coronavirus Aid, Relief, and Economic Security Act (the “CARES Act”), if any, and the effects of the grant and promissory note through the Payroll Support Program under the CARES Act; the costs and availability of financing; the Company’s significant amount of financial leverage from fixed obligations and ability to seek additional liquidity and maintain adequate liquidity; the Company’s ability to comply with the terms of its various financing arrangements; the Company’s ability to utilize its net operating losses to offset future taxable income; the material disruption of the Company’s strategic operating plan as a result of the COVID-19 pandemic and the Company’s ability to execute its strategic operating plans in the long term; general economic conditions (including interest rates, foreign currency exchange rates, investment or credit market conditions, crude oil prices, costs of aircraft fuel and energy refining capacity in relevant markets); risks of doing business globally, including instability and political developments that may impact its operations in certain countries; demand for travel and the impact that global economic and political conditions have on customer travel patterns; the Company’s capacity decisions and the capacity decisions of its competitors; competitive pressures on pricing and on demand; changes in aircraft fuel prices; disruptions in the Company’s supply of aircraft fuel; the Company’s ability to cost-effectively hedge against increases in the price of aircraft fuel, if it decides to do so; the effects of any technology failures, cybersecurity or significant data breaches; disruptions to services provided by third-party service providers; potential reputational or other impact from adverse events involving the Company’s aircraft or operations, the aircraft or operations of its regional carriers or its code share partners or the aircraft or operations of another airline; the Company’s ability to attract and retain customers; the effects of any terrorist attacks, international hostilities or other security events, or the fear of such events; the mandatory grounding of aircraft in the Company’s fleet; disruptions to the Company’s regional network as a result of the COVID-19 pandemic or otherwise; the impact of regulatory, investigative and legal proceedings and legal compliance risks; the success of the Company’s investments in other airlines, including in other parts of the world, which involve significant challenges and risks, particularly given the impact of the COVID-19 pandemic; industry consolidation or changes in airline alliances; the ability of other air carriers with whom the Company has alliances or partnerships to provide the services contemplated by the respective arrangements with such carriers; costs associated with any modification or termination of the Company’s aircraft orders; disruptions in the availability of aircraft, parts or support from its suppliers; the Company’s ability to maintain satisfactory labor relations and the results of any collective bargaining agreement process with its union groups; any disruptions to operations due to any potential actions by the Company’s labor groups; labor costs; the impact of any management changes; extended interruptions or disruptions in service at major airports where the Company operates; U.S. or foreign governmental legislation, regulation and other actions (including Open Skies agreements, environmental regulations and the United Kingdom’s withdrawal from the European Union); the seasonality of the airline industry; weather conditions; the costs and availability of aviation and other insurance; the Company’s ability to realize the full value of its intangible assets and long-lived assets; any impact to the Company’s reputation or brand image and other risks and uncertainties set forth under Part I, Item 1A., “Risk Factors,” of the Company’s Annual Report on Form 10-K for the fiscal year ended December 31, 2019, as updated by the Company’s Quarterly Report on Form 10-Q for the fiscal quarter ended June 30, 2020, as well as other risks and uncertainties set forth from time to time in the reports the Company files with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882"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p>
      <w:pPr>
        <w:spacing w:after="0" w:line="3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UNITED AIRLINES, INC.</w:t>
      </w:r>
    </w:p>
    <w:p>
      <w:pPr>
        <w:spacing w:after="0" w:line="207" w:lineRule="exact"/>
        <w:rPr>
          <w:sz w:val="20"/>
          <w:szCs w:val="20"/>
          <w:color w:val="auto"/>
        </w:rPr>
      </w:pPr>
    </w:p>
    <w:p>
      <w:pPr>
        <w:ind w:left="560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Jennifer L. Kraft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Name:Jennifer L. Kraft</w:t>
      </w:r>
    </w:p>
    <w:p>
      <w:pPr>
        <w:spacing w:after="0" w:line="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Vice President and Secretary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872"/>
    </w:lvl>
  </w:abstractNum>
  <w:abstractNum w:abstractNumId="1">
    <w:nsid w:val="19495CFF"/>
    <w:multiLevelType w:val="hybridMultilevel"/>
    <w:lvl w:ilvl="0">
      <w:lvlJc w:val="left"/>
      <w:lvlText w:val="(%1)"/>
      <w:numFmt w:val="decimal"/>
      <w:start w:val="872"/>
    </w:lvl>
  </w:abstractNum>
  <w:abstractNum w:abstractNumId="2">
    <w:nsid w:val="2AE8944A"/>
    <w:multiLevelType w:val="hybridMultilevel"/>
    <w:lvl w:ilvl="0">
      <w:lvlJc w:val="left"/>
      <w:lvlText w:val=" "/>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2020-09-02T16:37:34Z</dcterms:created>
  <dcterms:modified xsi:type="dcterms:W3CDTF">2020-09-02T16:37:34Z</dcterms:modified>
</cp:coreProperties>
</file>