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16, 2025</w:t>
      </w: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45"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0" w:type="dxa"/>
            <w:vAlign w:val="bottom"/>
          </w:tcPr>
          <w:p>
            <w:pPr>
              <w:spacing w:after="0"/>
              <w:rPr>
                <w:sz w:val="20"/>
                <w:szCs w:val="20"/>
                <w:color w:val="auto"/>
              </w:rPr>
            </w:pPr>
          </w:p>
        </w:tc>
      </w:tr>
      <w:tr>
        <w:trPr>
          <w:trHeight w:val="248"/>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36-2675207</w:t>
            </w:r>
          </w:p>
        </w:tc>
      </w:tr>
      <w:tr>
        <w:trPr>
          <w:trHeight w:val="233"/>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74-2099724</w:t>
            </w:r>
          </w:p>
        </w:tc>
      </w:tr>
      <w:tr>
        <w:trPr>
          <w:trHeight w:val="230"/>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29"/>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8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Preferred Stock Purchase Rights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None</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r>
    </w:tbl>
    <w:p>
      <w:pPr>
        <w:spacing w:after="0" w:line="340" w:lineRule="exact"/>
        <w:rPr>
          <w:sz w:val="24"/>
          <w:szCs w:val="24"/>
          <w:color w:val="auto"/>
        </w:rPr>
      </w:pPr>
    </w:p>
    <w:p>
      <w:pPr>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96" w:lineRule="exact"/>
        <w:rPr>
          <w:sz w:val="24"/>
          <w:szCs w:val="24"/>
          <w:color w:val="auto"/>
        </w:rPr>
      </w:pPr>
    </w:p>
    <w:p>
      <w:pPr>
        <w:ind w:right="9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16, 2025, United Airlines Holdings, Inc. ("UAL"), the holding company whose subsidiary is United Airlines, Inc. ("United," and together with UAL, the "Company"), issued a press release (the "Earnings Press Release") announcing the financial results of the Company for the second quarter of 2025. A copy of the Earnings Press Release is furnished pursuant to this Item 2.02 as Exhibit 99.1 to this Current Report on Form 8-K and incorporated by reference herein in its entirety.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16, 2025, the Company posted on its investor relations website at ir.united.com an investor update (the "Investor Update") providing additional information on the Company's business outlook (including certain financial and operational guidance). A copy of the Investor Update is furnished pursuant to this Item 7.01 as Exhibit 99.2 to this Current Report on Form 8-K and incorporated by reference herein in its entirety. The Investor Update should be read in conjunction with the Earnings Press Release. The Company reserves the right to discontinue availability of the Investor Update from its website at any time.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United Airlines Holdings, Inc. dated July 16, 2025</w:t>
            </w:r>
          </w:p>
        </w:tc>
      </w:tr>
      <w:tr>
        <w:trPr>
          <w:trHeight w:val="20"/>
        </w:trPr>
        <w:tc>
          <w:tcPr>
            <w:tcW w:w="2380" w:type="dxa"/>
            <w:vAlign w:val="bottom"/>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Investor Update issued by United Airlines Holdings, Inc. dated July 16, 2025</w:t>
            </w:r>
          </w:p>
        </w:tc>
        <w:tc>
          <w:tcPr>
            <w:tcW w:w="220" w:type="dxa"/>
            <w:vAlign w:val="bottom"/>
          </w:tcPr>
          <w:p>
            <w:pPr>
              <w:spacing w:after="0"/>
              <w:rPr>
                <w:sz w:val="22"/>
                <w:szCs w:val="22"/>
                <w:color w:val="auto"/>
              </w:rPr>
            </w:pPr>
          </w:p>
        </w:tc>
      </w:tr>
      <w:tr>
        <w:trPr>
          <w:trHeight w:val="34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2" w:name="page3"/>
    <w:bookmarkEnd w:id="2"/>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0" w:lineRule="exact"/>
        <w:rPr>
          <w:sz w:val="20"/>
          <w:szCs w:val="20"/>
          <w:color w:val="auto"/>
        </w:rPr>
      </w:pPr>
    </w:p>
    <w:p>
      <w:pPr>
        <w:spacing w:after="0" w:line="263" w:lineRule="exact"/>
        <w:rPr>
          <w:sz w:val="20"/>
          <w:szCs w:val="20"/>
          <w:color w:val="auto"/>
        </w:rPr>
      </w:pPr>
    </w:p>
    <w:tbl>
      <w:tblPr>
        <w:tblLayout w:type="fixed"/>
        <w:tblInd w:w="516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16, 2025</w:t>
      </w:r>
    </w:p>
    <w:p>
      <w:pPr>
        <w:sectPr>
          <w:pgSz w:w="11900" w:h="16838" w:orient="portrait"/>
          <w:cols w:equalWidth="0" w:num="1">
            <w:col w:w="11240"/>
          </w:cols>
          <w:pgMar w:left="320" w:top="1440" w:right="339" w:bottom="7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70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-137160</wp:posOffset>
            </wp:positionV>
            <wp:extent cx="183451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75438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United Airlines</w:t>
      </w:r>
    </w:p>
    <w:p>
      <w:pPr>
        <w:ind w:left="20"/>
        <w:spacing w:after="0" w:line="211" w:lineRule="auto"/>
        <w:rPr>
          <w:sz w:val="20"/>
          <w:szCs w:val="20"/>
          <w:color w:val="auto"/>
        </w:rPr>
      </w:pPr>
      <w:r>
        <w:rPr>
          <w:rFonts w:ascii="Times New Roman" w:cs="Times New Roman" w:eastAsia="Times New Roman" w:hAnsi="Times New Roman"/>
          <w:sz w:val="20"/>
          <w:szCs w:val="20"/>
          <w:b w:val="1"/>
          <w:bCs w:val="1"/>
          <w:color w:val="auto"/>
        </w:rPr>
        <w:t>Worldwide Media Relations</w:t>
      </w:r>
    </w:p>
    <w:p>
      <w:pPr>
        <w:ind w:left="20"/>
        <w:spacing w:after="0" w:line="211" w:lineRule="auto"/>
        <w:rPr>
          <w:sz w:val="20"/>
          <w:szCs w:val="20"/>
          <w:color w:val="auto"/>
        </w:rPr>
      </w:pPr>
      <w:r>
        <w:rPr>
          <w:rFonts w:ascii="Times New Roman" w:cs="Times New Roman" w:eastAsia="Times New Roman" w:hAnsi="Times New Roman"/>
          <w:sz w:val="20"/>
          <w:szCs w:val="20"/>
          <w:color w:val="auto"/>
        </w:rPr>
        <w:t>872.825.8640</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media.relations@united.com</w:t>
      </w:r>
    </w:p>
    <w:p>
      <w:pPr>
        <w:spacing w:after="0" w:line="281" w:lineRule="exact"/>
        <w:rPr>
          <w:sz w:val="20"/>
          <w:szCs w:val="20"/>
          <w:color w:val="auto"/>
        </w:rPr>
      </w:pPr>
    </w:p>
    <w:p>
      <w:pPr>
        <w:jc w:val="center"/>
        <w:spacing w:after="0" w:line="298" w:lineRule="auto"/>
        <w:rPr>
          <w:sz w:val="20"/>
          <w:szCs w:val="20"/>
          <w:color w:val="auto"/>
        </w:rPr>
      </w:pPr>
      <w:r>
        <w:rPr>
          <w:rFonts w:ascii="Arial" w:cs="Arial" w:eastAsia="Arial" w:hAnsi="Arial"/>
          <w:sz w:val="32"/>
          <w:szCs w:val="32"/>
          <w:b w:val="1"/>
          <w:bCs w:val="1"/>
          <w:color w:val="auto"/>
        </w:rPr>
        <w:t>United Airlines Reports Second-Quarter Profit, Sees Third-Quarter Positive Inflection in Both Supply and Demand</w:t>
      </w:r>
    </w:p>
    <w:p>
      <w:pPr>
        <w:spacing w:after="0" w:line="202" w:lineRule="exact"/>
        <w:rPr>
          <w:sz w:val="20"/>
          <w:szCs w:val="20"/>
          <w:color w:val="auto"/>
        </w:rPr>
      </w:pPr>
    </w:p>
    <w:p>
      <w:pPr>
        <w:jc w:val="center"/>
        <w:ind w:left="340" w:right="220"/>
        <w:spacing w:after="0" w:line="257" w:lineRule="auto"/>
        <w:rPr>
          <w:sz w:val="20"/>
          <w:szCs w:val="20"/>
          <w:color w:val="auto"/>
        </w:rPr>
      </w:pPr>
      <w:r>
        <w:rPr>
          <w:rFonts w:ascii="Arial" w:cs="Arial" w:eastAsia="Arial" w:hAnsi="Arial"/>
          <w:sz w:val="20"/>
          <w:szCs w:val="20"/>
          <w:i w:val="1"/>
          <w:iCs w:val="1"/>
          <w:color w:val="auto"/>
        </w:rPr>
        <w:t>Airline expects less geopolitical and macroeconomic uncertainty in second half of 2025, with demand inflection beginning in early July with a 6 point acceleration in booking demand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Published industry schedules show a supply inflection beginning in mid-August, similar to schedule changes in 2024</w:t>
      </w:r>
    </w:p>
    <w:p>
      <w:pPr>
        <w:spacing w:after="0" w:line="229" w:lineRule="exact"/>
        <w:rPr>
          <w:sz w:val="20"/>
          <w:szCs w:val="20"/>
          <w:color w:val="auto"/>
        </w:rPr>
      </w:pPr>
    </w:p>
    <w:p>
      <w:pPr>
        <w:ind w:left="2020"/>
        <w:spacing w:after="0"/>
        <w:rPr>
          <w:sz w:val="20"/>
          <w:szCs w:val="20"/>
          <w:color w:val="auto"/>
        </w:rPr>
      </w:pPr>
      <w:r>
        <w:rPr>
          <w:rFonts w:ascii="Arial" w:cs="Arial" w:eastAsia="Arial" w:hAnsi="Arial"/>
          <w:sz w:val="20"/>
          <w:szCs w:val="20"/>
          <w:i w:val="1"/>
          <w:iCs w:val="1"/>
          <w:color w:val="auto"/>
        </w:rPr>
        <w:t>Updated full-year adjusted diluted earnings per share</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guidance of $9.00 to $11.00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9"/>
          <w:szCs w:val="19"/>
          <w:i w:val="1"/>
          <w:iCs w:val="1"/>
          <w:color w:val="auto"/>
        </w:rPr>
        <w:t>Q2 diluted earnings per share of $2.97; adjusted diluted earnings per share</w:t>
      </w:r>
      <w:r>
        <w:rPr>
          <w:rFonts w:ascii="Arial" w:cs="Arial" w:eastAsia="Arial" w:hAnsi="Arial"/>
          <w:sz w:val="24"/>
          <w:szCs w:val="24"/>
          <w:i w:val="1"/>
          <w:iCs w:val="1"/>
          <w:color w:val="auto"/>
          <w:vertAlign w:val="superscript"/>
        </w:rPr>
        <w:t>2</w:t>
      </w:r>
      <w:r>
        <w:rPr>
          <w:rFonts w:ascii="Arial" w:cs="Arial" w:eastAsia="Arial" w:hAnsi="Arial"/>
          <w:sz w:val="19"/>
          <w:szCs w:val="19"/>
          <w:i w:val="1"/>
          <w:iCs w:val="1"/>
          <w:color w:val="auto"/>
        </w:rPr>
        <w:t xml:space="preserve"> of $3.87 versus guidance range of $3.25 to $4.25</w:t>
      </w:r>
    </w:p>
    <w:p>
      <w:pPr>
        <w:jc w:val="center"/>
        <w:spacing w:after="0"/>
        <w:rPr>
          <w:sz w:val="20"/>
          <w:szCs w:val="20"/>
          <w:color w:val="auto"/>
        </w:rPr>
      </w:pPr>
      <w:r>
        <w:rPr>
          <w:rFonts w:ascii="Arial" w:cs="Arial" w:eastAsia="Arial" w:hAnsi="Arial"/>
          <w:sz w:val="20"/>
          <w:szCs w:val="20"/>
          <w:i w:val="1"/>
          <w:iCs w:val="1"/>
          <w:color w:val="auto"/>
        </w:rPr>
        <w:t>— United grew both earnings and pre-tax margin in the first half of 2025 compared to the first half of 2024</w:t>
      </w:r>
    </w:p>
    <w:p>
      <w:pPr>
        <w:spacing w:after="0" w:line="211" w:lineRule="exact"/>
        <w:rPr>
          <w:sz w:val="20"/>
          <w:szCs w:val="20"/>
          <w:color w:val="auto"/>
        </w:rPr>
      </w:pPr>
    </w:p>
    <w:p>
      <w:pPr>
        <w:jc w:val="center"/>
        <w:ind w:left="340" w:right="140"/>
        <w:spacing w:after="0" w:line="248" w:lineRule="auto"/>
        <w:rPr>
          <w:sz w:val="20"/>
          <w:szCs w:val="20"/>
          <w:color w:val="auto"/>
        </w:rPr>
      </w:pPr>
      <w:r>
        <w:rPr>
          <w:rFonts w:ascii="Arial" w:cs="Arial" w:eastAsia="Arial" w:hAnsi="Arial"/>
          <w:sz w:val="20"/>
          <w:szCs w:val="20"/>
          <w:i w:val="1"/>
          <w:iCs w:val="1"/>
          <w:color w:val="auto"/>
        </w:rPr>
        <w:t>United's operation continues to execute strongly: Q2 consolidated on-time departures and seat cancellation rate were its best post-pandemic scores for a second quarter; In June, United at EWR led all other major airlines in on-time performance and lowest seat cancellation rate at all New York City area airports</w:t>
      </w:r>
    </w:p>
    <w:p>
      <w:pPr>
        <w:spacing w:after="0" w:line="244" w:lineRule="exact"/>
        <w:rPr>
          <w:sz w:val="20"/>
          <w:szCs w:val="20"/>
          <w:color w:val="auto"/>
        </w:rPr>
      </w:pPr>
    </w:p>
    <w:p>
      <w:pPr>
        <w:ind w:right="980" w:firstLine="648"/>
        <w:spacing w:after="0" w:line="360" w:lineRule="auto"/>
        <w:rPr>
          <w:sz w:val="20"/>
          <w:szCs w:val="20"/>
          <w:color w:val="auto"/>
        </w:rPr>
      </w:pPr>
      <w:r>
        <w:rPr>
          <w:rFonts w:ascii="Arial" w:cs="Arial" w:eastAsia="Arial" w:hAnsi="Arial"/>
          <w:sz w:val="20"/>
          <w:szCs w:val="20"/>
          <w:b w:val="1"/>
          <w:bCs w:val="1"/>
          <w:color w:val="auto"/>
        </w:rPr>
        <w:t xml:space="preserve">CHICAGO, July 16, 2025 </w:t>
      </w:r>
      <w:r>
        <w:rPr>
          <w:rFonts w:ascii="Arial" w:cs="Arial" w:eastAsia="Arial" w:hAnsi="Arial"/>
          <w:sz w:val="20"/>
          <w:szCs w:val="20"/>
          <w:color w:val="auto"/>
        </w:rPr>
        <w:t>– United Airlines (UAL) today reported a second-quarter profit, ahead of Wall Street</w:t>
      </w:r>
      <w:r>
        <w:rPr>
          <w:rFonts w:ascii="Arial" w:cs="Arial" w:eastAsia="Arial" w:hAnsi="Arial"/>
          <w:sz w:val="20"/>
          <w:szCs w:val="20"/>
          <w:b w:val="1"/>
          <w:bCs w:val="1"/>
          <w:color w:val="auto"/>
        </w:rPr>
        <w:t xml:space="preserve"> </w:t>
      </w:r>
      <w:r>
        <w:rPr>
          <w:rFonts w:ascii="Arial" w:cs="Arial" w:eastAsia="Arial" w:hAnsi="Arial"/>
          <w:sz w:val="20"/>
          <w:szCs w:val="20"/>
          <w:color w:val="auto"/>
        </w:rPr>
        <w:t>expectations, and grew both earnings and pre-tax margin in the first half of 2025 versus the first half of 2024.</w:t>
      </w:r>
    </w:p>
    <w:p>
      <w:pPr>
        <w:spacing w:after="0" w:line="1" w:lineRule="exact"/>
        <w:rPr>
          <w:sz w:val="20"/>
          <w:szCs w:val="20"/>
          <w:color w:val="auto"/>
        </w:rPr>
      </w:pPr>
    </w:p>
    <w:p>
      <w:pPr>
        <w:ind w:right="100" w:firstLine="648"/>
        <w:spacing w:after="0" w:line="322" w:lineRule="auto"/>
        <w:rPr>
          <w:sz w:val="20"/>
          <w:szCs w:val="20"/>
          <w:color w:val="auto"/>
        </w:rPr>
      </w:pPr>
      <w:r>
        <w:rPr>
          <w:rFonts w:ascii="Arial" w:cs="Arial" w:eastAsia="Arial" w:hAnsi="Arial"/>
          <w:sz w:val="20"/>
          <w:szCs w:val="20"/>
          <w:color w:val="auto"/>
        </w:rPr>
        <w:t>The company had second-quarter pre-tax earnings of $1.2 billion, with a pre-tax margin of 8.2%; and adjusted pre-tax earnings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$1.7 billion, with an adjusted pre-tax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11.0%. The company also achieved diluted earnings per share of $2.97 and adjusted diluted earnings per share</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$3.87, compared to guidance of $3.25 to $4.25. Total operating revenue grew 1.7% compared to the year-ago period to $15.2 billion.</w:t>
      </w:r>
    </w:p>
    <w:p>
      <w:pPr>
        <w:spacing w:after="0" w:line="2" w:lineRule="exact"/>
        <w:rPr>
          <w:sz w:val="20"/>
          <w:szCs w:val="20"/>
          <w:color w:val="auto"/>
        </w:rPr>
      </w:pPr>
    </w:p>
    <w:p>
      <w:pPr>
        <w:ind w:right="160" w:firstLine="648"/>
        <w:spacing w:after="0" w:line="338" w:lineRule="auto"/>
        <w:rPr>
          <w:sz w:val="20"/>
          <w:szCs w:val="20"/>
          <w:color w:val="auto"/>
        </w:rPr>
      </w:pPr>
      <w:r>
        <w:rPr>
          <w:rFonts w:ascii="Arial" w:cs="Arial" w:eastAsia="Arial" w:hAnsi="Arial"/>
          <w:sz w:val="20"/>
          <w:szCs w:val="20"/>
          <w:color w:val="auto"/>
        </w:rPr>
        <w:t>Beginning in early July, United has seen a sequential 6 point acceleration in demand and a double-digit acceleration in business demand versus the second quarter. The airline attributes this to less geopolitical and macroeconomic uncertainty and has updated its full-year adjusted diluted earnings per share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guidance to $9.00 to $11.00, underscoring the resilience of United's brand-loyal, revenue-diverse business model.</w:t>
      </w:r>
    </w:p>
    <w:p>
      <w:pPr>
        <w:ind w:right="260" w:firstLine="648"/>
        <w:spacing w:after="0" w:line="375" w:lineRule="auto"/>
        <w:rPr>
          <w:sz w:val="20"/>
          <w:szCs w:val="20"/>
          <w:color w:val="auto"/>
        </w:rPr>
      </w:pPr>
      <w:r>
        <w:rPr>
          <w:rFonts w:ascii="Arial" w:cs="Arial" w:eastAsia="Arial" w:hAnsi="Arial"/>
          <w:sz w:val="20"/>
          <w:szCs w:val="20"/>
          <w:color w:val="auto"/>
        </w:rPr>
        <w:t>United's diverse sources of revenue contributed to its second-quarter results: Premium cabin revenue rose 5.6% year-over-year; revenue from Basic Economy rose 1.7% year-over-year; cargo revenue rose 3.8% year-over-year and loyalty revenue rose 8.7%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6" w:lineRule="exact"/>
        <w:rPr>
          <w:sz w:val="20"/>
          <w:szCs w:val="20"/>
          <w:color w:val="auto"/>
        </w:rPr>
      </w:pPr>
    </w:p>
    <w:p>
      <w:pPr>
        <w:ind w:right="80" w:firstLine="8"/>
        <w:spacing w:after="0" w:line="249" w:lineRule="auto"/>
        <w:tabs>
          <w:tab w:leader="none" w:pos="92" w:val="left"/>
        </w:tabs>
        <w:numPr>
          <w:ilvl w:val="0"/>
          <w:numId w:val="4"/>
        </w:numPr>
        <w:rPr>
          <w:rFonts w:ascii="Arial" w:cs="Arial" w:eastAsia="Arial" w:hAnsi="Arial"/>
          <w:sz w:val="9"/>
          <w:szCs w:val="9"/>
          <w:color w:val="auto"/>
        </w:rPr>
      </w:pPr>
      <w:r>
        <w:rPr>
          <w:rFonts w:ascii="Arial" w:cs="Arial" w:eastAsia="Arial" w:hAnsi="Arial"/>
          <w:sz w:val="14"/>
          <w:szCs w:val="14"/>
          <w:color w:val="auto"/>
        </w:rPr>
        <w:t>Adjusted diluted earnings per share is a non-GAAP financial measure that excludes operating and non-operating special charges and unrealized (gains) losses on investments, net and income tax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 For additional information about United's adjusted diluted earnings per share guidance, please refer to the Investor Update issued in connection with this quarterly earnings announcement.</w:t>
      </w:r>
    </w:p>
    <w:p>
      <w:pPr>
        <w:spacing w:after="0" w:line="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For additional information about the non-GAAP financial measures used in this press release, see "Non-GAAP Financial Information" below.</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Airlines Announces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20" w:firstLine="648"/>
        <w:spacing w:after="0" w:line="379" w:lineRule="auto"/>
        <w:rPr>
          <w:sz w:val="20"/>
          <w:szCs w:val="20"/>
          <w:color w:val="auto"/>
        </w:rPr>
      </w:pPr>
      <w:r>
        <w:rPr>
          <w:rFonts w:ascii="Arial" w:cs="Arial" w:eastAsia="Arial" w:hAnsi="Arial"/>
          <w:sz w:val="19"/>
          <w:szCs w:val="19"/>
          <w:color w:val="auto"/>
        </w:rPr>
        <w:t>United's operational performance during the second quarter continued to lay a foundation for its overall success. Its consolidated on-time departures (D:00) were highest and seat cancellation rates were the airline's lowest for a second quarter since the pandemic, and hubs in Newark, Los Angeles, and San Francisco all achieved their best on-time departure for a second quarter since the pandemic. In June, United posted a better on-time arrival rate at Newark Liberty International Airport (EWR) than all other major airlines at LaGuardia International Airport (LGA) and John F. Kennedy International Airport (JFK).</w:t>
      </w:r>
    </w:p>
    <w:p>
      <w:pPr>
        <w:spacing w:after="0" w:line="3" w:lineRule="exact"/>
        <w:rPr>
          <w:sz w:val="20"/>
          <w:szCs w:val="20"/>
          <w:color w:val="auto"/>
        </w:rPr>
      </w:pPr>
    </w:p>
    <w:p>
      <w:pPr>
        <w:ind w:firstLine="648"/>
        <w:spacing w:after="0" w:line="357" w:lineRule="auto"/>
        <w:rPr>
          <w:sz w:val="20"/>
          <w:szCs w:val="20"/>
          <w:color w:val="auto"/>
        </w:rPr>
      </w:pPr>
      <w:r>
        <w:rPr>
          <w:rFonts w:ascii="Arial" w:cs="Arial" w:eastAsia="Arial" w:hAnsi="Arial"/>
          <w:sz w:val="20"/>
          <w:szCs w:val="20"/>
          <w:color w:val="auto"/>
        </w:rPr>
        <w:t>"Our second-quarter performance was more proof that the United Next strategy is working. I am extremely proud of the team for executing a strong operation and navigating through a volatile macroeconomic period, while still growing earnings and pre-tax margin for the first half of the year," said United CEO Scott Kirby. "Importantly, United saw a positive shift in demand beginning in early July, and, like 2024, anticipates another inflection in industry supply in mid-August. The world is less uncertain today than it was during the first six months of 2025 and that gives us confidence about a strong finish to the year."</w:t>
      </w:r>
    </w:p>
    <w:p>
      <w:pPr>
        <w:spacing w:after="0" w:line="4" w:lineRule="exact"/>
        <w:rPr>
          <w:sz w:val="20"/>
          <w:szCs w:val="20"/>
          <w:color w:val="auto"/>
        </w:rPr>
      </w:pPr>
    </w:p>
    <w:p>
      <w:pPr>
        <w:ind w:right="160" w:firstLine="648"/>
        <w:spacing w:after="0" w:line="361" w:lineRule="auto"/>
        <w:rPr>
          <w:sz w:val="20"/>
          <w:szCs w:val="20"/>
          <w:color w:val="auto"/>
        </w:rPr>
      </w:pPr>
      <w:r>
        <w:rPr>
          <w:rFonts w:ascii="Arial" w:cs="Arial" w:eastAsia="Arial" w:hAnsi="Arial"/>
          <w:sz w:val="20"/>
          <w:szCs w:val="20"/>
          <w:color w:val="auto"/>
        </w:rPr>
        <w:t>United's proactive schedule adjustments and close coordination with the FAA and the Port Authority of New York and New Jersey have restored Newark to its leading place in our operation, and customer demand there has returned to its historic range. The airline looks forward to resuming Tel Aviv service on July 21.</w:t>
      </w:r>
    </w:p>
    <w:p>
      <w:pPr>
        <w:spacing w:after="0" w:line="2" w:lineRule="exact"/>
        <w:rPr>
          <w:sz w:val="20"/>
          <w:szCs w:val="20"/>
          <w:color w:val="auto"/>
        </w:rPr>
      </w:pPr>
    </w:p>
    <w:p>
      <w:pPr>
        <w:ind w:right="240" w:firstLine="648"/>
        <w:spacing w:after="0" w:line="352" w:lineRule="auto"/>
        <w:rPr>
          <w:sz w:val="20"/>
          <w:szCs w:val="20"/>
          <w:color w:val="auto"/>
        </w:rPr>
      </w:pPr>
      <w:r>
        <w:rPr>
          <w:rFonts w:ascii="Arial" w:cs="Arial" w:eastAsia="Arial" w:hAnsi="Arial"/>
          <w:sz w:val="20"/>
          <w:szCs w:val="20"/>
          <w:color w:val="auto"/>
        </w:rPr>
        <w:t>As part of the airline's broader strategy to pay down high-cost debt and strengthen its balance sheet, in July United repaid, solely using cash on hand, the remaining debt from a July 2020 transaction when it secured financing of $6.8 billion against its MileagePlus assets. This now leaves one of the most valuable loyalty programs in the world unencumbered. At the end of the second quarter, United's trailing twelve months net leverage</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was 2.0x. The company remains focused on further strengthening its balance sheet and growing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firstLine="8"/>
        <w:spacing w:after="0" w:line="222" w:lineRule="auto"/>
        <w:tabs>
          <w:tab w:leader="none" w:pos="92"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2025, we define Adjusted EBITDAR, which is included in the calculation of net leverage on a trailing twelve month basis, to include an additional adjustment for the fixed portion of operating lease expense, instead of solely aircraft rent as was the case historically. For additional information about the non-GAAP financial measures used in this press release, including net leverage and Adjusted EBITDAR, see "Non-GAAP Financial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Second-Quarter Financial Results</w:t>
      </w:r>
    </w:p>
    <w:p>
      <w:pPr>
        <w:spacing w:after="0" w:line="204"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Capacity up 5.9% compared to second-quarter 2024.</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Total operating revenue of $15.2 billion, up 1.7% compared to second-quarter 2024.</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TRASM down 4.0% compared to second-quarter 2024.</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CASM up 0.6%, and CASM-ex</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up 2.2%, compared to second-quarter 2024.</w:t>
      </w:r>
    </w:p>
    <w:p>
      <w:pPr>
        <w:spacing w:after="0" w:line="56" w:lineRule="exact"/>
        <w:rPr>
          <w:rFonts w:ascii="Arial" w:cs="Arial" w:eastAsia="Arial" w:hAnsi="Arial"/>
          <w:sz w:val="20"/>
          <w:szCs w:val="20"/>
          <w:color w:val="auto"/>
        </w:rPr>
      </w:pPr>
    </w:p>
    <w:p>
      <w:pPr>
        <w:ind w:left="660" w:right="60" w:hanging="328"/>
        <w:spacing w:after="0" w:line="287"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Pre-tax earnings of $1.2 billion, with a pre-tax margin of 8.2%; adjusted pre-tax earnings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$1.7 billion, with an adjusted pre-tax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11.0%.</w:t>
      </w: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income of $1.0 billion; adjusted net income</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$1.3 billion.</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Diluted earnings per share of $2.97; adjusted diluted earnings per share</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$3.87.</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Average fuel price per gallon of $2.34.</w:t>
      </w:r>
    </w:p>
    <w:p>
      <w:pPr>
        <w:spacing w:after="0" w:line="114"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Generated $2.2 billion of operating cash flow.</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Generated $1.1 billion of free cash flow</w:t>
      </w:r>
      <w:r>
        <w:rPr>
          <w:rFonts w:ascii="Arial" w:cs="Arial" w:eastAsia="Arial" w:hAnsi="Arial"/>
          <w:sz w:val="25"/>
          <w:szCs w:val="25"/>
          <w:color w:val="auto"/>
          <w:vertAlign w:val="superscript"/>
        </w:rPr>
        <w:t>4</w:t>
      </w:r>
      <w:r>
        <w:rPr>
          <w:rFonts w:ascii="Arial" w:cs="Arial" w:eastAsia="Arial" w:hAnsi="Arial"/>
          <w:sz w:val="20"/>
          <w:szCs w:val="20"/>
          <w:color w:val="auto"/>
        </w:rPr>
        <w:t>.</w:t>
      </w:r>
    </w:p>
    <w:p>
      <w:pPr>
        <w:spacing w:after="0" w:line="63"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Ending available liquidity</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of $18.6 billion.</w:t>
      </w:r>
    </w:p>
    <w:p>
      <w:pPr>
        <w:spacing w:after="0" w:line="56"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Total debt, finance lease obligations and other financial liabilities of $27.1 billion at quarter end.</w:t>
      </w:r>
    </w:p>
    <w:p>
      <w:pPr>
        <w:spacing w:after="0" w:line="114"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Trailing twelve months net leverage</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2.0x.</w:t>
      </w:r>
    </w:p>
    <w:p>
      <w:pPr>
        <w:spacing w:after="0" w:line="56" w:lineRule="exact"/>
        <w:rPr>
          <w:rFonts w:ascii="Arial" w:cs="Arial" w:eastAsia="Arial" w:hAnsi="Arial"/>
          <w:sz w:val="20"/>
          <w:szCs w:val="20"/>
          <w:color w:val="auto"/>
        </w:rPr>
      </w:pPr>
    </w:p>
    <w:p>
      <w:pPr>
        <w:ind w:left="660" w:right="540" w:hanging="328"/>
        <w:spacing w:after="0" w:line="382"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Repurchased $0.2 billion of shares in the second quarter 2025, and have repurchased approximately $0.6 billion of shares year-to-date</w:t>
      </w:r>
      <w:r>
        <w:rPr>
          <w:rFonts w:ascii="Arial" w:cs="Arial" w:eastAsia="Arial" w:hAnsi="Arial"/>
          <w:sz w:val="25"/>
          <w:szCs w:val="25"/>
          <w:color w:val="auto"/>
          <w:vertAlign w:val="superscript"/>
        </w:rPr>
        <w:t>6</w:t>
      </w:r>
      <w:r>
        <w:rPr>
          <w:rFonts w:ascii="Arial" w:cs="Arial" w:eastAsia="Arial" w:hAnsi="Arial"/>
          <w:sz w:val="20"/>
          <w:szCs w:val="20"/>
          <w:color w:val="auto"/>
        </w:rPr>
        <w: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Key Highlights</w:t>
      </w:r>
    </w:p>
    <w:p>
      <w:pPr>
        <w:spacing w:after="0" w:line="218" w:lineRule="exact"/>
        <w:rPr>
          <w:sz w:val="20"/>
          <w:szCs w:val="20"/>
          <w:color w:val="auto"/>
        </w:rPr>
      </w:pPr>
    </w:p>
    <w:p>
      <w:pPr>
        <w:ind w:left="660" w:right="400" w:hanging="328"/>
        <w:spacing w:after="0" w:line="359"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Announced Blue Sky, a unique collaboration with JetBlue that streamlines booking across the two airlines and allows customers to use MileagePlus® miles and TrueBlue points across both loyalty programs.</w:t>
      </w:r>
    </w:p>
    <w:p>
      <w:pPr>
        <w:ind w:left="660" w:hanging="328"/>
        <w:spacing w:after="0" w:line="378" w:lineRule="auto"/>
        <w:tabs>
          <w:tab w:leader="none" w:pos="621" w:val="left"/>
        </w:tabs>
        <w:numPr>
          <w:ilvl w:val="0"/>
          <w:numId w:val="7"/>
        </w:numPr>
        <w:rPr>
          <w:rFonts w:ascii="Arial" w:cs="Arial" w:eastAsia="Arial" w:hAnsi="Arial"/>
          <w:sz w:val="19"/>
          <w:szCs w:val="19"/>
          <w:color w:val="auto"/>
        </w:rPr>
      </w:pPr>
      <w:r>
        <w:rPr>
          <w:rFonts w:ascii="Arial" w:cs="Arial" w:eastAsia="Arial" w:hAnsi="Arial"/>
          <w:sz w:val="19"/>
          <w:szCs w:val="19"/>
          <w:color w:val="auto"/>
        </w:rPr>
        <w:t>Flew the airline's largest schedule for a quarter in company history, as measured by available seat miles, growing domestic and Canada capacity by 6.6% and international capacity by 5.3% in available seat miles compared to last year.</w:t>
      </w:r>
    </w:p>
    <w:p>
      <w:pPr>
        <w:jc w:val="both"/>
        <w:ind w:left="660" w:right="180" w:hanging="328"/>
        <w:spacing w:after="0" w:line="356"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United's Newark operation regained the position of best on-time performance among New York City-area airports in the month of June, thanks in part to the early re-opening of the airport's second runway, strong execution from the Newark team, technology upgrades and hourly flight caps by the FAA.</w:t>
      </w:r>
    </w:p>
    <w:p>
      <w:pPr>
        <w:spacing w:after="0" w:line="2" w:lineRule="exact"/>
        <w:rPr>
          <w:rFonts w:ascii="Arial" w:cs="Arial" w:eastAsia="Arial" w:hAnsi="Arial"/>
          <w:sz w:val="20"/>
          <w:szCs w:val="20"/>
          <w:color w:val="auto"/>
        </w:rPr>
      </w:pPr>
    </w:p>
    <w:p>
      <w:pPr>
        <w:ind w:left="660" w:right="100" w:hanging="328"/>
        <w:spacing w:after="0" w:line="325" w:lineRule="exact"/>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Continued the expansion of United's premium footprint, offering a record-high 6.9 million premium seats in the quarter and announcing United Elevated, the airline's newest interior for Boeing 787-9, featuring new United Polaris Studio</w:t>
      </w:r>
      <w:r>
        <w:rPr>
          <w:rFonts w:ascii="MS PGothic" w:cs="MS PGothic" w:eastAsia="MS PGothic" w:hAnsi="MS PGothic"/>
          <w:sz w:val="20"/>
          <w:szCs w:val="20"/>
          <w:color w:val="auto"/>
        </w:rPr>
        <w:t>℠</w:t>
      </w:r>
      <w:r>
        <w:rPr>
          <w:rFonts w:ascii="Arial" w:cs="Arial" w:eastAsia="Arial" w:hAnsi="Arial"/>
          <w:sz w:val="20"/>
          <w:szCs w:val="20"/>
          <w:color w:val="auto"/>
        </w:rPr>
        <w:t xml:space="preserve"> suites that are 25% larger than United Polaris® with privacy doors, extra ottoman for companions, 27-inch screens, and exclusive food and beverage offerings to elevate premium air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9" w:lineRule="exact"/>
        <w:rPr>
          <w:sz w:val="20"/>
          <w:szCs w:val="20"/>
          <w:color w:val="auto"/>
        </w:rPr>
      </w:pPr>
    </w:p>
    <w:p>
      <w:pPr>
        <w:ind w:right="40" w:firstLine="8"/>
        <w:spacing w:after="0" w:line="216" w:lineRule="auto"/>
        <w:tabs>
          <w:tab w:leader="none" w:pos="92"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2025, we define free cash flow as the sum of net cash from operating activities and net cash from investing activities, adjusted for the net change in short-term investments and the net change in restricted cash. For additional information about the non-GAAP financial measures used in this press release, including free cash flow, see "Non-GAAP Financial Information" below.</w:t>
      </w:r>
    </w:p>
    <w:p>
      <w:pPr>
        <w:ind w:right="5680"/>
        <w:spacing w:after="0" w:line="284" w:lineRule="auto"/>
        <w:rPr>
          <w:rFonts w:ascii="Arial" w:cs="Arial" w:eastAsia="Arial" w:hAnsi="Arial"/>
          <w:sz w:val="19"/>
          <w:szCs w:val="19"/>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Includes cash, cash equivalents, short-term investments and undrawn credit facilities.</w:t>
      </w:r>
      <w:r>
        <w:rPr>
          <w:rFonts w:ascii="Arial" w:cs="Arial" w:eastAsia="Arial" w:hAnsi="Arial"/>
          <w:sz w:val="9"/>
          <w:szCs w:val="9"/>
          <w:color w:val="auto"/>
        </w:rPr>
        <w:t xml:space="preserve"> 6 </w:t>
      </w:r>
      <w:r>
        <w:rPr>
          <w:rFonts w:ascii="Arial" w:cs="Arial" w:eastAsia="Arial" w:hAnsi="Arial"/>
          <w:sz w:val="14"/>
          <w:szCs w:val="14"/>
          <w:color w:val="auto"/>
        </w:rPr>
        <w:t>Shares repurchased through June 30, 2025.</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121"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200" w:hanging="328"/>
        <w:spacing w:after="0" w:line="359"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Launched Starlink WiFi on some regional flights, marking the first time customers can use the airline's industry-leading, free WiFi.</w:t>
      </w:r>
    </w:p>
    <w:p>
      <w:pPr>
        <w:ind w:left="660" w:right="300" w:hanging="328"/>
        <w:spacing w:after="0" w:line="398"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Announced a first-of-its-kind collaboration with Spotify that brings 450+ hours of content to United's seatback screens, including the first time Spotify is bringing both video podcasts and audiobooks onboard an airline.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Customer Experience</w:t>
      </w:r>
    </w:p>
    <w:p>
      <w:pPr>
        <w:spacing w:after="0" w:line="204" w:lineRule="exact"/>
        <w:rPr>
          <w:sz w:val="20"/>
          <w:szCs w:val="20"/>
          <w:color w:val="auto"/>
        </w:rPr>
      </w:pPr>
    </w:p>
    <w:p>
      <w:pPr>
        <w:jc w:val="both"/>
        <w:ind w:left="660" w:right="540" w:hanging="328"/>
        <w:spacing w:after="0" w:line="361" w:lineRule="auto"/>
        <w:tabs>
          <w:tab w:leader="none" w:pos="635"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Achieved the company's highest second-quarter Net Promoter Score measure of customer satisfaction since 2021, setting record rates for customer experience with baggage, cabin cleanliness and condition, boarding, the check-in process, gate experience, inflight entertainment, pilot communication, and seat comfort.</w:t>
      </w:r>
    </w:p>
    <w:p>
      <w:pPr>
        <w:ind w:left="660" w:right="440" w:hanging="328"/>
        <w:spacing w:after="0" w:line="359"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Opened the United Polaris lounge dining room at Newark, expanding the lounge size to over 30,000 square feet and becoming the only major airline dining room at Newark to offer a la carte meals.</w:t>
      </w:r>
    </w:p>
    <w:p>
      <w:pPr>
        <w:ind w:left="660" w:right="740" w:hanging="328"/>
        <w:spacing w:after="0" w:line="359"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Achieved a company high use rate of bag drop shortcut, with 600,000 more customers using it during the quarter compared to last year, enabling a more seamless travel experience.</w:t>
      </w:r>
    </w:p>
    <w:p>
      <w:pPr>
        <w:ind w:left="620" w:hanging="288"/>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Digital check-in rate reached 83% for the quarter, a 5 percentage point increase year over year.</w:t>
      </w:r>
    </w:p>
    <w:p>
      <w:pPr>
        <w:spacing w:after="0" w:line="107" w:lineRule="exact"/>
        <w:rPr>
          <w:rFonts w:ascii="Arial" w:cs="Arial" w:eastAsia="Arial" w:hAnsi="Arial"/>
          <w:sz w:val="20"/>
          <w:szCs w:val="20"/>
          <w:color w:val="auto"/>
        </w:rPr>
      </w:pPr>
    </w:p>
    <w:p>
      <w:pPr>
        <w:ind w:left="660" w:right="140" w:hanging="328"/>
        <w:spacing w:after="0" w:line="359"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Expanded TSA PreCheck Touchless ID to San Francisco, and announced plans to expand it to Denver, Newark, Seattle and Portland in August.</w:t>
      </w:r>
    </w:p>
    <w:p>
      <w:pPr>
        <w:ind w:left="660" w:right="40" w:hanging="328"/>
        <w:spacing w:after="0" w:line="361"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Expanded ConnectionSaver with app notifications when flights are being held, and a centralized hub for turn-by-turn gate directions with walk times at all hubs, layover tips, flight status updates, and a self-service rebooking option for missed connections.</w:t>
      </w:r>
    </w:p>
    <w:p>
      <w:pPr>
        <w:spacing w:after="0" w:line="1" w:lineRule="exact"/>
        <w:rPr>
          <w:rFonts w:ascii="Arial" w:cs="Arial" w:eastAsia="Arial" w:hAnsi="Arial"/>
          <w:sz w:val="20"/>
          <w:szCs w:val="20"/>
          <w:color w:val="auto"/>
        </w:rPr>
      </w:pPr>
    </w:p>
    <w:p>
      <w:pPr>
        <w:ind w:left="660" w:hanging="328"/>
        <w:spacing w:after="0" w:line="375" w:lineRule="auto"/>
        <w:tabs>
          <w:tab w:leader="none" w:pos="621" w:val="left"/>
        </w:tabs>
        <w:numPr>
          <w:ilvl w:val="0"/>
          <w:numId w:val="10"/>
        </w:numPr>
        <w:rPr>
          <w:rFonts w:ascii="Arial" w:cs="Arial" w:eastAsia="Arial" w:hAnsi="Arial"/>
          <w:sz w:val="20"/>
          <w:szCs w:val="20"/>
          <w:color w:val="auto"/>
        </w:rPr>
      </w:pPr>
      <w:r>
        <w:rPr>
          <w:rFonts w:ascii="Arial" w:cs="Arial" w:eastAsia="Arial" w:hAnsi="Arial"/>
          <w:sz w:val="20"/>
          <w:szCs w:val="20"/>
          <w:color w:val="auto"/>
        </w:rPr>
        <w:t>Onboarded an exclusive Aperol Spritz cocktail for United Polaris travelers and an improved onboard dining collection for first class travelers on United Express® flights, contributing to a record Net Promoter Score for food and beverage for the quarter.</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Operations</w:t>
      </w:r>
    </w:p>
    <w:p>
      <w:pPr>
        <w:spacing w:after="0" w:line="218" w:lineRule="exact"/>
        <w:rPr>
          <w:sz w:val="20"/>
          <w:szCs w:val="20"/>
          <w:color w:val="auto"/>
        </w:rPr>
      </w:pPr>
    </w:p>
    <w:p>
      <w:pPr>
        <w:ind w:left="660" w:right="40" w:hanging="328"/>
        <w:spacing w:after="0" w:line="356"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Achieved the airline's best on-time departure rate for consolidated and mainline flying since 2021, with the second best on-time departure rate amongst the eight largest U.S. carriers for a second quarter and best performance at Denver, Los Angeles, San Francisco and Houston hubs.</w:t>
      </w:r>
    </w:p>
    <w:p>
      <w:pPr>
        <w:spacing w:after="0" w:line="2" w:lineRule="exact"/>
        <w:rPr>
          <w:rFonts w:ascii="Arial" w:cs="Arial" w:eastAsia="Arial" w:hAnsi="Arial"/>
          <w:sz w:val="20"/>
          <w:szCs w:val="20"/>
          <w:color w:val="auto"/>
        </w:rPr>
      </w:pPr>
    </w:p>
    <w:p>
      <w:pPr>
        <w:ind w:left="660" w:right="160" w:hanging="328"/>
        <w:spacing w:after="0" w:line="359"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United was granted five additional gates at Chicago O'Hare from the Chicago Department of Aviation, given the airline's increased flying out of the hub.</w:t>
      </w:r>
    </w:p>
    <w:p>
      <w:pPr>
        <w:ind w:left="660" w:right="360" w:hanging="328"/>
        <w:spacing w:after="0" w:line="398"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Achieved a 100% completion day on April 22nd across mainline and express flying, with United Express operating 28 days of total completion across the second quarter.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line="359"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Recorded the second best on-time arrival performance for a second quarter at Newark, Houston and Chicago hubs since 2021, and the best at Los Angeles.</w:t>
      </w: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Saw the lowest second-quarter seat cancel rate since 2021 and the third lowest in company history.</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Network</w:t>
      </w:r>
    </w:p>
    <w:p>
      <w:pPr>
        <w:spacing w:after="0" w:line="110" w:lineRule="exact"/>
        <w:rPr>
          <w:sz w:val="20"/>
          <w:szCs w:val="20"/>
          <w:color w:val="auto"/>
        </w:rPr>
      </w:pPr>
    </w:p>
    <w:p>
      <w:pPr>
        <w:jc w:val="both"/>
        <w:ind w:left="660" w:right="240" w:hanging="328"/>
        <w:spacing w:after="0" w:line="361"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United launched the largest international expansion in its history, inaugurating service to eight new destinations: Nuuk, Greenland; Ulaanbaatar, Mongolia; Faro, Portugal; Puerto Escondido, Mexico; Palermo, Italy; Dakar, Senegal; Bilbao, Spain; and Madeira Island, Portugal.</w:t>
      </w:r>
    </w:p>
    <w:p>
      <w:pPr>
        <w:spacing w:after="0" w:line="1" w:lineRule="exact"/>
        <w:rPr>
          <w:rFonts w:ascii="Arial" w:cs="Arial" w:eastAsia="Arial" w:hAnsi="Arial"/>
          <w:sz w:val="20"/>
          <w:szCs w:val="20"/>
          <w:color w:val="auto"/>
        </w:rPr>
      </w:pPr>
    </w:p>
    <w:p>
      <w:pPr>
        <w:ind w:left="660" w:hanging="328"/>
        <w:spacing w:after="0" w:line="359"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Announced three new international destinations and two new routes to existing destinations, making United the only U.S. airline with service to Bangkok, Thailand; Ho Chi Minh City, Vietnam; and Adelaide, Australia, all subject to government approval. United also plans to inaugurate routes from Denver to Mexico City and Denver to Punta Cana, Dominican Republic.</w:t>
      </w:r>
    </w:p>
    <w:p>
      <w:pPr>
        <w:jc w:val="both"/>
        <w:ind w:left="660" w:right="160" w:hanging="328"/>
        <w:spacing w:after="0" w:line="356"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United added seven new international routes to existing destinations, including Denver to Rome; Washington-Dulles to Venice, Italy; Washington-Dulles to Nice, France; Los Angeles to Beijing; San Francisco to Panama City, Panama; San Francisco to San Jose, Costa Rica; and Guam to Taipei.</w:t>
      </w:r>
    </w:p>
    <w:p>
      <w:pPr>
        <w:spacing w:after="0" w:line="2" w:lineRule="exact"/>
        <w:rPr>
          <w:rFonts w:ascii="Arial" w:cs="Arial" w:eastAsia="Arial" w:hAnsi="Arial"/>
          <w:sz w:val="20"/>
          <w:szCs w:val="20"/>
          <w:color w:val="auto"/>
        </w:rPr>
      </w:pPr>
    </w:p>
    <w:p>
      <w:pPr>
        <w:ind w:left="660" w:right="60" w:hanging="328"/>
        <w:spacing w:after="0" w:line="375"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Launched 12 domestic and four Canada routes in the quarter, including new routes to popular outdoor destinations such as Washington D.C. to Albuquerque, N.M.; Houston to Portland, Maine; Chicago to Billings, Mont.; and Denver to Wilmington, N.C.</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Employees and Communities</w:t>
      </w:r>
    </w:p>
    <w:p>
      <w:pPr>
        <w:spacing w:after="0" w:line="204" w:lineRule="exact"/>
        <w:rPr>
          <w:sz w:val="20"/>
          <w:szCs w:val="20"/>
          <w:color w:val="auto"/>
        </w:rPr>
      </w:pPr>
    </w:p>
    <w:p>
      <w:pPr>
        <w:ind w:left="660" w:right="120" w:hanging="328"/>
        <w:spacing w:after="0" w:line="356"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United supported the transport of 136 responders to response and recovery efforts to nearly 20 different disaster events in partnership with Airlink in the second quarter, including the Myanmar-Thailand earthquakes and the Los Angeles wildfires that impacted more than 150,000 people worldwide.</w:t>
      </w:r>
    </w:p>
    <w:p>
      <w:pPr>
        <w:spacing w:after="0" w:line="2" w:lineRule="exact"/>
        <w:rPr>
          <w:rFonts w:ascii="Arial" w:cs="Arial" w:eastAsia="Arial" w:hAnsi="Arial"/>
          <w:sz w:val="20"/>
          <w:szCs w:val="20"/>
          <w:color w:val="auto"/>
        </w:rPr>
      </w:pPr>
    </w:p>
    <w:p>
      <w:pPr>
        <w:ind w:left="660" w:right="240" w:hanging="328"/>
        <w:spacing w:after="0" w:line="366"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Nearly 2,000 employees volunteered more than 10,000 hours during the quarter in local community activities including beach clean-up, care kit creation, food security and other events.</w:t>
      </w:r>
    </w:p>
    <w:p>
      <w:pPr>
        <w:ind w:left="660" w:right="34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United transported 327 million pounds of cargo, including approximately 9.8 million pounds of medical shipments and over 440,000 pounds of military shipments.</w:t>
      </w:r>
    </w:p>
    <w:p>
      <w:pPr>
        <w:ind w:left="660" w:right="16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Graduated United's first cohort of Innovate apprentices, a two-year digital technology and cybersecurity pathway to full-time employment at United.</w:t>
      </w:r>
    </w:p>
    <w:p>
      <w:pPr>
        <w:ind w:left="660" w:right="12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United and the Association of Flight Attendants (AFA) announced they reached an agreement that, if ratified, will deliver industry-leading pay, signing bonuses and scheduling improvements.</w:t>
      </w:r>
    </w:p>
    <w:p>
      <w:pPr>
        <w:ind w:left="660" w:right="160" w:hanging="328"/>
        <w:spacing w:after="0" w:line="359"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United was named Global Traveler's Best Eco-Friendly Airline for the fourth consecutive year, and won the Outstanding Innovation category for its commitment to scaling sustainable aviation fuel.</w:t>
      </w:r>
    </w:p>
    <w:p>
      <w:pPr>
        <w:ind w:left="660" w:right="480" w:hanging="328"/>
        <w:spacing w:after="0" w:line="384" w:lineRule="auto"/>
        <w:tabs>
          <w:tab w:leader="none" w:pos="6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Kate Gebo, executive vice president of Human Resources and Labor Relations, was appointed to the Make-A-Wish Foundation's national board of directors.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80"/>
          </w:cols>
          <w:pgMar w:left="320" w:top="121" w:right="3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Earnings Call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UAL will hold a conference call to discuss second-quarter 2025 financial results, as well as its financial and operational outlook for the third-quarter 2025 and beyond, on Thursday, July 17, 2025 at 9:30 a.m. CST/10:30 a.m. EST. A live, listen-only webcast of the conference call will be available at ir.united.com. The webcast will be available for replay within 24 hours of the conference call and then archived on the website.</w:t>
      </w: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9"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This press release should be read in conjunction with the company's Investor Update issued in connection with this quarterly earnings announcement, which provides additional information on the company's business outlook (including certain financial and operational guidance) and is furnished with this press release to the U.S. Securities and Exchange Commission on a Current Report on Form 8-K. The Investor Update is also available at ir.united.com. Management will also discuss certain business outlook items, including providing certain third quarter and full year 2025 financial targets, during the quarterly earnings conference call.</w:t>
      </w:r>
    </w:p>
    <w:p>
      <w:pPr>
        <w:spacing w:after="0" w:line="20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company's business outlook is subject to risks and uncertainties applicable to all forward-looking statements as described elsewhere in this press release. Please see the section entitled "Cautionary Statement Regarding Forward-Looking Statements."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United</w:t>
      </w:r>
    </w:p>
    <w:p>
      <w:pPr>
        <w:spacing w:after="0" w:line="2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At United, Good Leads The Way. With hubs in Chicago, Denver, Houston, Los Angeles, New York/Newark, San Francisco and Washington, D.C., United operates the most comprehensive global route network among North American carriers, and is now the largest airline in the world. For more about how to join the United team, please visit www.united.com/careers and more information about the company is at www.united.com. United Airlines Holdings, Inc., the parent company of United Airlines, Inc., is traded on the Nasdaq under the symbol "UAL".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Website Information</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We routinely post important news and information regarding United on our corporate website, www.united.com, and our investor relations website, ir.united.com. We use our investor relations website as a primary channel for disclosing key information to our investors, including</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timing of future investor conferences and earnings calls, press releases and other information about financial performance (including financial guidance), reports filed or furnished with the U.S. Securities and Exchange Commission, information on corporate governance and details related to our annual meeting of shareholders. We may use our investor relations website as a means of disclosing material, non-public information (including financial guidance) and for complying with our disclosure obligations under Regulation FD. We encourage investors, the media and others interested in the company to visit this website from time to time, as information is updated and new information is posted. We may also use social media channels to communicate with our investors and the public about our company and other matters, and those communications could be deemed to be material information. The information contained on, or that may be accessed through, our website or social media channels are not incorporated by reference into, and are not a part of, this document.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This press release and the related attachments and Investor Update (as well as the oral statements made with respect to information contained in this release and the attachments) contain certain "forward -looking statements," within the meaning of Section 27A of the Securities Act of 1933, as amended, and Section 21E of the Securities Exchange Act of 1934, as amended, relating to, among other things, goals, plans and projections regarding the company's financial position, results of operations, market position, airline capacity, fleet plan strategy, fares, announced routes (which may be subject to government approval),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or regulation.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actual results could differ materially from these forward-looking statements due to numerous factors including, without limitation, the</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w:t>
      </w:r>
    </w:p>
    <w:p>
      <w:pPr>
        <w:spacing w:after="0" w:line="8"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suspension of our overflying in Russian airspace as a result of the Russia-Ukraine military conflict and interruptions of our flying as a result of the military conflicts in the Middle East, as well as any escalation of the broader economic consequences of any conflicts beyond their current scope or a delay in any planned resumption of service to area impacted by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w:t>
      </w:r>
    </w:p>
    <w:p>
      <w:pPr>
        <w:spacing w:after="0" w:line="8"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aircraft fuel; the impacts of our significant amount of financial leverage from fixed obligations and the impacts of insufficient liquidity on our financial condition and business; failure to comply with financial and other covenants governing our debt; limitations on our ability to use our</w:t>
      </w:r>
    </w:p>
    <w:p>
      <w:pPr>
        <w:spacing w:after="0" w:line="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of our Annual Report on Form 10-K for the fiscal year ended December 31, 2024 and under "Economic and Market Factors" and "Governmental Actions" in Part I, Item 2. Management's Discussion and Analysis of Financial Condition and Results of Operations, of our Quarterly Report on Form 10-Q for the quarter ended March 31, 2025, as well as other risks and uncertainties set forth from time to time in the reports we file with the U.S. Securities and Exchange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discussing financial results and guidance, the company refers to financial measures that are not in accordance with U.S. Generally Accepted Accounting Principles ("GAAP").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Non-GAAP financial measures typically have exclusions or adjustments that include one or more of the following characteristics, such as being highly variable, difficult to project, unusual in nature, significant to the results of a particular period or not indicative of past or future operating results. These items are excluded because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company believes they neither relate to the ordinary course of the company's business nor reflect the company's underlying business performance.</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Please refer to the tables accompanying this release for a description of the non-GAAP adjustments and reconciliations of the historical non-GAAP financial measures used to the most comparable GAAP financial measure and related disclosures.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Presentation:</w:t>
      </w:r>
    </w:p>
    <w:p>
      <w:pPr>
        <w:spacing w:after="0" w:line="1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the first quarter of 2025, the Company changed its rounding presentation to the nearest whole number in millions of reported amounts, except per share data or as otherwise designated. As such, certain columns and rows within the financial statements and tables presented may not sum due to rounding. Per unit amounts have been calculated from the underlying whole-dollar amounts. This change is not material and does not impact the comparability of our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-tables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80"/>
          </w:cols>
          <w:pgMar w:left="320" w:top="122"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STATEMENTS OF CONSOLIDATED OPERATIONS (UNAUDITED)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680" w:type="dxa"/>
            <w:vAlign w:val="bottom"/>
            <w:gridSpan w:val="5"/>
          </w:tcPr>
          <w:p>
            <w:pPr>
              <w:jc w:val="right"/>
              <w:spacing w:after="0"/>
              <w:rPr>
                <w:sz w:val="20"/>
                <w:szCs w:val="20"/>
                <w:color w:val="auto"/>
              </w:rPr>
            </w:pPr>
            <w:r>
              <w:rPr>
                <w:rFonts w:ascii="Arial" w:cs="Arial" w:eastAsia="Arial" w:hAnsi="Arial"/>
                <w:sz w:val="16"/>
                <w:szCs w:val="16"/>
                <w:color w:val="auto"/>
              </w:rPr>
              <w:t>Three Months Ended</w:t>
            </w:r>
          </w:p>
        </w:tc>
        <w:tc>
          <w:tcPr>
            <w:tcW w:w="10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4"/>
          </w:tcPr>
          <w:p>
            <w:pPr>
              <w:jc w:val="right"/>
              <w:ind w:right="99"/>
              <w:spacing w:after="0"/>
              <w:rPr>
                <w:sz w:val="20"/>
                <w:szCs w:val="20"/>
                <w:color w:val="auto"/>
              </w:rPr>
            </w:pPr>
            <w:r>
              <w:rPr>
                <w:rFonts w:ascii="Arial" w:cs="Arial" w:eastAsia="Arial" w:hAnsi="Arial"/>
                <w:sz w:val="16"/>
                <w:szCs w:val="16"/>
                <w:color w:val="auto"/>
              </w:rPr>
              <w:t>Six Months Ended</w:t>
            </w: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94"/>
        </w:trPr>
        <w:tc>
          <w:tcPr>
            <w:tcW w:w="5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gridSpan w:val="4"/>
            <w:vMerge w:val="restart"/>
          </w:tcPr>
          <w:p>
            <w:pPr>
              <w:jc w:val="right"/>
              <w:ind w:right="439"/>
              <w:spacing w:after="0"/>
              <w:rPr>
                <w:sz w:val="20"/>
                <w:szCs w:val="20"/>
                <w:color w:val="auto"/>
              </w:rPr>
            </w:pPr>
            <w:r>
              <w:rPr>
                <w:rFonts w:ascii="Arial" w:cs="Arial" w:eastAsia="Arial" w:hAnsi="Arial"/>
                <w:sz w:val="16"/>
                <w:szCs w:val="16"/>
                <w:color w:val="auto"/>
              </w:rPr>
              <w:t>June 30,</w:t>
            </w: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gridSpan w:val="4"/>
            <w:vMerge w:val="restart"/>
          </w:tcPr>
          <w:p>
            <w:pPr>
              <w:jc w:val="right"/>
              <w:ind w:right="439"/>
              <w:spacing w:after="0"/>
              <w:rPr>
                <w:sz w:val="20"/>
                <w:szCs w:val="20"/>
                <w:color w:val="auto"/>
              </w:rPr>
            </w:pPr>
            <w:r>
              <w:rPr>
                <w:rFonts w:ascii="Arial" w:cs="Arial" w:eastAsia="Arial" w:hAnsi="Arial"/>
                <w:sz w:val="16"/>
                <w:szCs w:val="16"/>
                <w:color w:val="auto"/>
              </w:rPr>
              <w:t>June 30,</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Arial" w:cs="Arial" w:eastAsia="Arial" w:hAnsi="Arial"/>
                <w:sz w:val="16"/>
                <w:szCs w:val="16"/>
                <w:color w:val="auto"/>
              </w:rPr>
              <w:t>Increase/</w:t>
            </w:r>
          </w:p>
        </w:tc>
        <w:tc>
          <w:tcPr>
            <w:tcW w:w="1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2"/>
        </w:trPr>
        <w:tc>
          <w:tcPr>
            <w:tcW w:w="5720" w:type="dxa"/>
            <w:vAlign w:val="bottom"/>
            <w:vMerge w:val="restart"/>
          </w:tcPr>
          <w:p>
            <w:pPr>
              <w:ind w:left="20"/>
              <w:spacing w:after="0"/>
              <w:rPr>
                <w:sz w:val="20"/>
                <w:szCs w:val="20"/>
                <w:color w:val="auto"/>
              </w:rPr>
            </w:pPr>
            <w:r>
              <w:rPr>
                <w:rFonts w:ascii="Arial" w:cs="Arial" w:eastAsia="Arial" w:hAnsi="Arial"/>
                <w:sz w:val="16"/>
                <w:szCs w:val="16"/>
                <w:color w:val="auto"/>
              </w:rPr>
              <w:t>(In millions, except for percentage changes and per share data)</w:t>
            </w:r>
          </w:p>
        </w:tc>
        <w:tc>
          <w:tcPr>
            <w:tcW w:w="16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restart"/>
          </w:tcPr>
          <w:p>
            <w:pPr>
              <w:jc w:val="right"/>
              <w:ind w:right="139"/>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rPr>
              <w:t>(Decrease)</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7"/>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Passenger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13,836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13,680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25,696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24,993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Cargo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revenue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revenue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Salaries and related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4,098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8,030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fuel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Landing fees and other rent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1,670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maintenance materials and outside repairs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1,427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Regional capacity purchase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Distribution expenses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Aircraft rent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Special charges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25,497</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Nonoperating income (expense):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capitalized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5"/>
        </w:trPr>
        <w:tc>
          <w:tcPr>
            <w:tcW w:w="5720" w:type="dxa"/>
            <w:vAlign w:val="bottom"/>
          </w:tcPr>
          <w:p>
            <w:pPr>
              <w:ind w:left="220"/>
              <w:spacing w:after="0"/>
              <w:rPr>
                <w:sz w:val="20"/>
                <w:szCs w:val="20"/>
                <w:color w:val="auto"/>
              </w:rPr>
            </w:pPr>
            <w:r>
              <w:rPr>
                <w:rFonts w:ascii="Arial" w:cs="Arial" w:eastAsia="Arial" w:hAnsi="Arial"/>
                <w:sz w:val="16"/>
                <w:szCs w:val="16"/>
                <w:color w:val="auto"/>
              </w:rPr>
              <w:t>Unrealized gains (losses) on investments,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Miscellaneous, net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nonoperating expense, net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(59.6)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1,575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line="20" w:lineRule="exact"/>
              <w:rPr>
                <w:sz w:val="1"/>
                <w:szCs w:val="1"/>
                <w:color w:val="auto"/>
              </w:rPr>
            </w:pPr>
          </w:p>
        </w:tc>
      </w:tr>
      <w:tr>
        <w:trPr>
          <w:trHeight w:val="189"/>
        </w:trPr>
        <w:tc>
          <w:tcPr>
            <w:tcW w:w="5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333.9</w:t>
            </w: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333.1</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color w:val="auto"/>
        </w:rPr>
        <w:t>NM-Greater than 100% change or otherwise not meaningful.</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PASSENGER REVENUE INFORMATION AND STATISTICS (UNAUDITED)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is as follows (in millions, except for percentage changes):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6"/>
                <w:szCs w:val="16"/>
                <w:color w:val="auto"/>
                <w:w w:val="99"/>
              </w:rPr>
              <w:t>Passenger</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Available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color w:val="auto"/>
              </w:rPr>
              <w:t>2Q 2025</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Passenger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120"/>
              <w:spacing w:after="0" w:line="162" w:lineRule="exact"/>
              <w:rPr>
                <w:sz w:val="20"/>
                <w:szCs w:val="20"/>
                <w:color w:val="auto"/>
              </w:rPr>
            </w:pPr>
            <w:r>
              <w:rPr>
                <w:rFonts w:ascii="Arial" w:cs="Arial" w:eastAsia="Arial" w:hAnsi="Arial"/>
                <w:sz w:val="16"/>
                <w:szCs w:val="16"/>
                <w:color w:val="auto"/>
              </w:rPr>
              <w:t>Revenue per</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2Q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120"/>
              <w:spacing w:after="0" w:line="162" w:lineRule="exact"/>
              <w:rPr>
                <w:sz w:val="20"/>
                <w:szCs w:val="20"/>
                <w:color w:val="auto"/>
              </w:rPr>
            </w:pPr>
            <w:r>
              <w:rPr>
                <w:rFonts w:ascii="Arial" w:cs="Arial" w:eastAsia="Arial" w:hAnsi="Arial"/>
                <w:sz w:val="16"/>
                <w:szCs w:val="16"/>
                <w:color w:val="auto"/>
              </w:rPr>
              <w:t>Available Seat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9"/>
              </w:rPr>
              <w:t>Seat Miles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rPr>
              <w:t>Revenue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120"/>
              <w:spacing w:after="0" w:line="162" w:lineRule="exact"/>
              <w:rPr>
                <w:sz w:val="20"/>
                <w:szCs w:val="20"/>
                <w:color w:val="auto"/>
              </w:rPr>
            </w:pPr>
            <w:r>
              <w:rPr>
                <w:rFonts w:ascii="Arial" w:cs="Arial" w:eastAsia="Arial" w:hAnsi="Arial"/>
                <w:sz w:val="16"/>
                <w:szCs w:val="16"/>
                <w:color w:val="auto"/>
                <w:w w:val="95"/>
              </w:rPr>
              <w:t>Mile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Yield vs.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rPr>
              <w:t>("ASMs")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jc w:val="center"/>
              <w:ind w:left="119"/>
              <w:spacing w:after="0"/>
              <w:rPr>
                <w:sz w:val="20"/>
                <w:szCs w:val="20"/>
                <w:color w:val="auto"/>
              </w:rPr>
            </w:pPr>
            <w:r>
              <w:rPr>
                <w:rFonts w:ascii="Arial" w:cs="Arial" w:eastAsia="Arial" w:hAnsi="Arial"/>
                <w:sz w:val="16"/>
                <w:szCs w:val="16"/>
                <w:color w:val="auto"/>
              </w:rPr>
              <w:t>2Q 2025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6"/>
                <w:szCs w:val="16"/>
                <w:color w:val="auto"/>
              </w:rPr>
              <w:t>Passenger</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Passenger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7"/>
              </w:rPr>
              <w:t>vs.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100"/>
              <w:spacing w:after="0" w:line="162" w:lineRule="exact"/>
              <w:rPr>
                <w:sz w:val="20"/>
                <w:szCs w:val="20"/>
                <w:color w:val="auto"/>
              </w:rPr>
            </w:pPr>
            <w:r>
              <w:rPr>
                <w:rFonts w:ascii="Arial" w:cs="Arial" w:eastAsia="Arial" w:hAnsi="Arial"/>
                <w:sz w:val="16"/>
                <w:szCs w:val="16"/>
                <w:color w:val="auto"/>
              </w:rPr>
              <w:t>("PRASM") vs.</w:t>
            </w: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rPr>
              <w:t>vs.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Miles</w:t>
            </w: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color w:val="auto"/>
              </w:rPr>
              <w:t>2Q 2024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6"/>
                <w:szCs w:val="16"/>
                <w:color w:val="auto"/>
              </w:rPr>
              <w:t>2Q 2024</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rPr>
              <w:t>2Q 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color w:val="auto"/>
              </w:rPr>
              <w:t>2Q 2024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left="99"/>
              <w:spacing w:after="0"/>
              <w:rPr>
                <w:sz w:val="20"/>
                <w:szCs w:val="20"/>
                <w:color w:val="auto"/>
              </w:rPr>
            </w:pPr>
            <w:r>
              <w:rPr>
                <w:rFonts w:ascii="Arial" w:cs="Arial" w:eastAsia="Arial" w:hAnsi="Arial"/>
                <w:sz w:val="16"/>
                <w:szCs w:val="16"/>
                <w:color w:val="auto"/>
              </w:rPr>
              <w:t>ASMs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rPr>
              <w:t>("RPMs")</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(0.7%)</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w:t>
            </w: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(4.5%)</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ind w:left="360"/>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45,100</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37,936</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Europe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(0.8%)</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17,311</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13,969</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rPr>
                <w:sz w:val="20"/>
                <w:szCs w:val="20"/>
                <w:color w:val="auto"/>
              </w:rPr>
            </w:pPr>
            <w:r>
              <w:rPr>
                <w:rFonts w:ascii="Arial" w:cs="Arial" w:eastAsia="Arial" w:hAnsi="Arial"/>
                <w:sz w:val="16"/>
                <w:szCs w:val="16"/>
                <w:color w:val="auto"/>
              </w:rPr>
              <w:t>Middle East/India/Africa</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7"/>
              </w:rPr>
              <w:t>(1.3%)</w:t>
            </w:r>
          </w:p>
        </w:tc>
        <w:tc>
          <w:tcPr>
            <w:tcW w:w="100" w:type="dxa"/>
            <w:vAlign w:val="bottom"/>
          </w:tcPr>
          <w:p>
            <w:pPr>
              <w:spacing w:after="0"/>
              <w:rPr>
                <w:sz w:val="18"/>
                <w:szCs w:val="18"/>
                <w:color w:val="auto"/>
              </w:rPr>
            </w:pPr>
          </w:p>
        </w:tc>
        <w:tc>
          <w:tcPr>
            <w:tcW w:w="980" w:type="dxa"/>
            <w:vAlign w:val="bottom"/>
            <w:gridSpan w:val="3"/>
          </w:tcPr>
          <w:p>
            <w:pPr>
              <w:ind w:left="360"/>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160" w:type="dxa"/>
            <w:vAlign w:val="bottom"/>
            <w:gridSpan w:val="6"/>
          </w:tcPr>
          <w:p>
            <w:pPr>
              <w:jc w:val="right"/>
              <w:spacing w:after="0"/>
              <w:rPr>
                <w:sz w:val="20"/>
                <w:szCs w:val="20"/>
                <w:color w:val="auto"/>
              </w:rPr>
            </w:pPr>
            <w:r>
              <w:rPr>
                <w:rFonts w:ascii="Arial" w:cs="Arial" w:eastAsia="Arial" w:hAnsi="Arial"/>
                <w:sz w:val="16"/>
                <w:szCs w:val="16"/>
                <w:color w:val="auto"/>
              </w:rPr>
              <w:t>1,997</w:t>
            </w:r>
          </w:p>
        </w:tc>
        <w:tc>
          <w:tcPr>
            <w:tcW w:w="1280" w:type="dxa"/>
            <w:vAlign w:val="bottom"/>
            <w:gridSpan w:val="4"/>
          </w:tcPr>
          <w:p>
            <w:pPr>
              <w:jc w:val="right"/>
              <w:ind w:right="80"/>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Atlantic</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(0.9%)</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4.9%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19,308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15,626</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Pacific</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7"/>
              </w:rPr>
              <w:t>(1.9%)</w:t>
            </w:r>
          </w:p>
        </w:tc>
        <w:tc>
          <w:tcPr>
            <w:tcW w:w="100" w:type="dxa"/>
            <w:vAlign w:val="bottom"/>
          </w:tcPr>
          <w:p>
            <w:pPr>
              <w:spacing w:after="0"/>
              <w:rPr>
                <w:sz w:val="18"/>
                <w:szCs w:val="18"/>
                <w:color w:val="auto"/>
              </w:rPr>
            </w:pPr>
          </w:p>
        </w:tc>
        <w:tc>
          <w:tcPr>
            <w:tcW w:w="980" w:type="dxa"/>
            <w:vAlign w:val="bottom"/>
            <w:gridSpan w:val="3"/>
          </w:tcPr>
          <w:p>
            <w:pPr>
              <w:ind w:left="360"/>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160" w:type="dxa"/>
            <w:vAlign w:val="bottom"/>
            <w:gridSpan w:val="6"/>
          </w:tcPr>
          <w:p>
            <w:pPr>
              <w:jc w:val="right"/>
              <w:spacing w:after="0"/>
              <w:rPr>
                <w:sz w:val="20"/>
                <w:szCs w:val="20"/>
                <w:color w:val="auto"/>
              </w:rPr>
            </w:pPr>
            <w:r>
              <w:rPr>
                <w:rFonts w:ascii="Arial" w:cs="Arial" w:eastAsia="Arial" w:hAnsi="Arial"/>
                <w:sz w:val="16"/>
                <w:szCs w:val="16"/>
                <w:color w:val="auto"/>
              </w:rPr>
              <w:t>11,036</w:t>
            </w:r>
          </w:p>
        </w:tc>
        <w:tc>
          <w:tcPr>
            <w:tcW w:w="1280" w:type="dxa"/>
            <w:vAlign w:val="bottom"/>
            <w:gridSpan w:val="4"/>
          </w:tcPr>
          <w:p>
            <w:pPr>
              <w:jc w:val="right"/>
              <w:ind w:right="80"/>
              <w:spacing w:after="0"/>
              <w:rPr>
                <w:sz w:val="20"/>
                <w:szCs w:val="20"/>
                <w:color w:val="auto"/>
              </w:rPr>
            </w:pPr>
            <w:r>
              <w:rPr>
                <w:rFonts w:ascii="Arial" w:cs="Arial" w:eastAsia="Arial" w:hAnsi="Arial"/>
                <w:sz w:val="16"/>
                <w:szCs w:val="16"/>
                <w:color w:val="auto"/>
              </w:rPr>
              <w:t>9,059</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Latin America</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(1.2%)</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8,903</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7,467</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5,931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7"/>
              </w:rPr>
              <w:t>(1.4%)</w:t>
            </w:r>
          </w:p>
        </w:tc>
        <w:tc>
          <w:tcPr>
            <w:tcW w:w="100" w:type="dxa"/>
            <w:vAlign w:val="bottom"/>
          </w:tcPr>
          <w:p>
            <w:pPr>
              <w:spacing w:after="0"/>
              <w:rPr>
                <w:sz w:val="18"/>
                <w:szCs w:val="18"/>
                <w:color w:val="auto"/>
              </w:rPr>
            </w:pPr>
          </w:p>
        </w:tc>
        <w:tc>
          <w:tcPr>
            <w:tcW w:w="980" w:type="dxa"/>
            <w:vAlign w:val="bottom"/>
            <w:gridSpan w:val="3"/>
          </w:tcPr>
          <w:p>
            <w:pPr>
              <w:ind w:left="36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39,247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32,152</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7"/>
              </w:rPr>
              <w:t>(3.2%)</w:t>
            </w:r>
          </w:p>
        </w:tc>
        <w:tc>
          <w:tcPr>
            <w:tcW w:w="100" w:type="dxa"/>
            <w:vAlign w:val="bottom"/>
          </w:tcPr>
          <w:p>
            <w:pPr>
              <w:spacing w:after="0"/>
              <w:rPr>
                <w:sz w:val="18"/>
                <w:szCs w:val="18"/>
                <w:color w:val="auto"/>
              </w:rPr>
            </w:pPr>
          </w:p>
        </w:tc>
        <w:tc>
          <w:tcPr>
            <w:tcW w:w="980" w:type="dxa"/>
            <w:vAlign w:val="bottom"/>
            <w:gridSpan w:val="3"/>
          </w:tcPr>
          <w:p>
            <w:pPr>
              <w:ind w:left="36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84,347</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70,088</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4060" w:type="dxa"/>
            <w:vAlign w:val="bottom"/>
            <w:gridSpan w:val="4"/>
          </w:tcPr>
          <w:p>
            <w:pPr>
              <w:spacing w:after="0"/>
              <w:rPr>
                <w:sz w:val="20"/>
                <w:szCs w:val="20"/>
                <w:color w:val="auto"/>
              </w:rPr>
            </w:pPr>
            <w:r>
              <w:rPr>
                <w:rFonts w:ascii="Arial" w:cs="Arial" w:eastAsia="Arial" w:hAnsi="Arial"/>
                <w:sz w:val="16"/>
                <w:szCs w:val="16"/>
                <w:b w:val="1"/>
                <w:bCs w:val="1"/>
                <w:color w:val="auto"/>
              </w:rPr>
              <w:t>Select operating statistics are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9"/>
          </w:tcPr>
          <w:p>
            <w:pPr>
              <w:jc w:val="center"/>
              <w:ind w:right="360"/>
              <w:spacing w:after="0"/>
              <w:rPr>
                <w:sz w:val="20"/>
                <w:szCs w:val="20"/>
                <w:color w:val="auto"/>
              </w:rPr>
            </w:pPr>
            <w:r>
              <w:rPr>
                <w:rFonts w:ascii="Arial" w:cs="Arial" w:eastAsia="Arial" w:hAnsi="Arial"/>
                <w:sz w:val="16"/>
                <w:szCs w:val="16"/>
                <w:color w:val="auto"/>
              </w:rPr>
              <w:t>Three Months Ended June</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7"/>
          </w:tcPr>
          <w:p>
            <w:pPr>
              <w:jc w:val="center"/>
              <w:ind w:right="140"/>
              <w:spacing w:after="0"/>
              <w:rPr>
                <w:sz w:val="20"/>
                <w:szCs w:val="20"/>
                <w:color w:val="auto"/>
              </w:rPr>
            </w:pPr>
            <w:r>
              <w:rPr>
                <w:rFonts w:ascii="Arial" w:cs="Arial" w:eastAsia="Arial" w:hAnsi="Arial"/>
                <w:sz w:val="16"/>
                <w:szCs w:val="16"/>
                <w:color w:val="auto"/>
              </w:rPr>
              <w:t>Six Months Ended June</w:t>
            </w:r>
          </w:p>
        </w:tc>
        <w:tc>
          <w:tcPr>
            <w:tcW w:w="120" w:type="dxa"/>
            <w:vAlign w:val="bottom"/>
          </w:tcPr>
          <w:p>
            <w:pPr>
              <w:spacing w:after="0"/>
              <w:rPr>
                <w:sz w:val="24"/>
                <w:szCs w:val="24"/>
                <w:color w:val="auto"/>
              </w:rPr>
            </w:pPr>
          </w:p>
        </w:tc>
        <w:tc>
          <w:tcPr>
            <w:tcW w:w="840" w:type="dxa"/>
            <w:vAlign w:val="bottom"/>
            <w:gridSpan w:val="3"/>
            <w:vMerge w:val="restart"/>
          </w:tcPr>
          <w:p>
            <w:pPr>
              <w:jc w:val="center"/>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4"/>
            <w:vMerge w:val="restart"/>
          </w:tcPr>
          <w:p>
            <w:pPr>
              <w:jc w:val="right"/>
              <w:ind w:right="20"/>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vMerge w:val="restart"/>
          </w:tcPr>
          <w:p>
            <w:pPr>
              <w:spacing w:after="0"/>
              <w:rPr>
                <w:sz w:val="5"/>
                <w:szCs w:val="5"/>
                <w:color w:val="auto"/>
              </w:rPr>
            </w:pPr>
          </w:p>
        </w:tc>
        <w:tc>
          <w:tcPr>
            <w:tcW w:w="1080" w:type="dxa"/>
            <w:vAlign w:val="bottom"/>
            <w:gridSpan w:val="4"/>
            <w:vMerge w:val="restart"/>
          </w:tcPr>
          <w:p>
            <w:pPr>
              <w:jc w:val="right"/>
              <w:ind w:right="60"/>
              <w:spacing w:after="0"/>
              <w:rPr>
                <w:sz w:val="20"/>
                <w:szCs w:val="20"/>
                <w:color w:val="auto"/>
              </w:rPr>
            </w:pPr>
            <w:r>
              <w:rPr>
                <w:rFonts w:ascii="Arial" w:cs="Arial" w:eastAsia="Arial" w:hAnsi="Arial"/>
                <w:sz w:val="16"/>
                <w:szCs w:val="16"/>
                <w:color w:val="auto"/>
              </w:rPr>
              <w:t>30,</w:t>
            </w: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40"/>
              <w:spacing w:after="0" w:line="142" w:lineRule="exact"/>
              <w:rPr>
                <w:sz w:val="20"/>
                <w:szCs w:val="20"/>
                <w:color w:val="auto"/>
              </w:rPr>
            </w:pPr>
            <w:r>
              <w:rPr>
                <w:rFonts w:ascii="Arial" w:cs="Arial" w:eastAsia="Arial" w:hAnsi="Arial"/>
                <w:sz w:val="16"/>
                <w:szCs w:val="16"/>
                <w:color w:val="auto"/>
              </w:rPr>
              <w:t>Increase/</w:t>
            </w:r>
          </w:p>
        </w:tc>
        <w:tc>
          <w:tcPr>
            <w:tcW w:w="120" w:type="dxa"/>
            <w:vAlign w:val="bottom"/>
            <w:gridSpan w:val="2"/>
            <w:vMerge w:val="continue"/>
          </w:tcPr>
          <w:p>
            <w:pPr>
              <w:spacing w:after="0"/>
              <w:rPr>
                <w:sz w:val="12"/>
                <w:szCs w:val="12"/>
                <w:color w:val="auto"/>
              </w:rPr>
            </w:pPr>
          </w:p>
        </w:tc>
        <w:tc>
          <w:tcPr>
            <w:tcW w:w="1080" w:type="dxa"/>
            <w:vAlign w:val="bottom"/>
            <w:tcBorders>
              <w:bottom w:val="single" w:sz="8" w:color="auto"/>
            </w:tcBorders>
            <w:gridSpan w:val="4"/>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right="600"/>
              <w:spacing w:after="0" w:line="14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rPr>
              <w:t>(Decrease)</w:t>
            </w:r>
          </w:p>
        </w:tc>
        <w:tc>
          <w:tcPr>
            <w:tcW w:w="980" w:type="dxa"/>
            <w:vAlign w:val="bottom"/>
            <w:gridSpan w:val="3"/>
          </w:tcPr>
          <w:p>
            <w:pPr>
              <w:ind w:left="360"/>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900" w:type="dxa"/>
            <w:vAlign w:val="bottom"/>
            <w:gridSpan w:val="3"/>
          </w:tcPr>
          <w:p>
            <w:pPr>
              <w:jc w:val="right"/>
              <w:ind w:right="1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5"/>
          </w:tcPr>
          <w:p>
            <w:pPr>
              <w:jc w:val="center"/>
              <w:ind w:right="48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Passengers (thousands) (a)</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44,375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86,992</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83,700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560"/>
              <w:spacing w:after="0"/>
              <w:rPr>
                <w:sz w:val="20"/>
                <w:szCs w:val="20"/>
                <w:color w:val="auto"/>
              </w:rPr>
            </w:pPr>
            <w:r>
              <w:rPr>
                <w:rFonts w:ascii="Arial" w:cs="Arial" w:eastAsia="Arial" w:hAnsi="Arial"/>
                <w:sz w:val="16"/>
                <w:szCs w:val="16"/>
                <w:color w:val="auto"/>
              </w:rPr>
              <w:t>3.9</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RPMs (millions) (b)</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70,088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67,064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980" w:type="dxa"/>
            <w:vAlign w:val="bottom"/>
            <w:gridSpan w:val="3"/>
          </w:tcPr>
          <w:p>
            <w:pPr>
              <w:jc w:val="right"/>
              <w:ind w:right="139"/>
              <w:spacing w:after="0"/>
              <w:rPr>
                <w:sz w:val="20"/>
                <w:szCs w:val="20"/>
                <w:color w:val="auto"/>
              </w:rPr>
            </w:pPr>
            <w:r>
              <w:rPr>
                <w:rFonts w:ascii="Arial" w:cs="Arial" w:eastAsia="Arial" w:hAnsi="Arial"/>
                <w:sz w:val="16"/>
                <w:szCs w:val="16"/>
                <w:color w:val="auto"/>
              </w:rPr>
              <w:t>129,604</w:t>
            </w:r>
          </w:p>
        </w:tc>
        <w:tc>
          <w:tcPr>
            <w:tcW w:w="80" w:type="dxa"/>
            <w:vAlign w:val="bottom"/>
          </w:tcPr>
          <w:p>
            <w:pPr>
              <w:spacing w:after="0"/>
              <w:rPr>
                <w:sz w:val="18"/>
                <w:szCs w:val="18"/>
                <w:color w:val="auto"/>
              </w:rPr>
            </w:pP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rPr>
              <w:t>124,491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560"/>
              <w:spacing w:after="0"/>
              <w:rPr>
                <w:sz w:val="20"/>
                <w:szCs w:val="20"/>
                <w:color w:val="auto"/>
              </w:rPr>
            </w:pPr>
            <w:r>
              <w:rPr>
                <w:rFonts w:ascii="Arial" w:cs="Arial" w:eastAsia="Arial" w:hAnsi="Arial"/>
                <w:sz w:val="16"/>
                <w:szCs w:val="16"/>
                <w:color w:val="auto"/>
              </w:rPr>
              <w:t>4.1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ASMs (millions) (c)</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84,347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79,678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159,503</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151,346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5.4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Passenger load factor: (d)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84.2 %</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 pts.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81.3 %</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82.3 %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(1.0) pt.</w:t>
            </w:r>
          </w:p>
        </w:tc>
        <w:tc>
          <w:tcPr>
            <w:tcW w:w="0" w:type="dxa"/>
            <w:vAlign w:val="bottom"/>
          </w:tcPr>
          <w:p>
            <w:pPr>
              <w:spacing w:after="0"/>
              <w:rPr>
                <w:sz w:val="1"/>
                <w:szCs w:val="1"/>
                <w:color w:val="auto"/>
              </w:rPr>
            </w:pPr>
          </w:p>
        </w:tc>
      </w:tr>
      <w:tr>
        <w:trPr>
          <w:trHeight w:val="215"/>
        </w:trPr>
        <w:tc>
          <w:tcPr>
            <w:tcW w:w="2960" w:type="dxa"/>
            <w:vAlign w:val="bottom"/>
          </w:tcPr>
          <w:p>
            <w:pPr>
              <w:ind w:left="140"/>
              <w:spacing w:after="0"/>
              <w:rPr>
                <w:sz w:val="20"/>
                <w:szCs w:val="20"/>
                <w:color w:val="auto"/>
              </w:rPr>
            </w:pPr>
            <w:r>
              <w:rPr>
                <w:rFonts w:ascii="Arial" w:cs="Arial" w:eastAsia="Arial" w:hAnsi="Arial"/>
                <w:sz w:val="16"/>
                <w:szCs w:val="16"/>
                <w:color w:val="auto"/>
              </w:rPr>
              <w:t>Domestic</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84.1 %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86.4 %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(2.3) pts.</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82.3 %</w:t>
            </w: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85.1 %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6"/>
                <w:szCs w:val="16"/>
                <w:color w:val="auto"/>
              </w:rPr>
              <w:t>(2.8) pts.</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81.6 %</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 pts.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80.1 %</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79.0 %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1.1 pts.</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PRASM (cents)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16.40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980" w:type="dxa"/>
            <w:vAlign w:val="bottom"/>
            <w:gridSpan w:val="3"/>
          </w:tcPr>
          <w:p>
            <w:pPr>
              <w:jc w:val="right"/>
              <w:ind w:right="139"/>
              <w:spacing w:after="0"/>
              <w:rPr>
                <w:sz w:val="20"/>
                <w:szCs w:val="20"/>
                <w:color w:val="auto"/>
              </w:rPr>
            </w:pPr>
            <w:r>
              <w:rPr>
                <w:rFonts w:ascii="Arial" w:cs="Arial" w:eastAsia="Arial" w:hAnsi="Arial"/>
                <w:sz w:val="16"/>
                <w:szCs w:val="16"/>
                <w:color w:val="auto"/>
              </w:rPr>
              <w:t>16.11</w:t>
            </w:r>
          </w:p>
        </w:tc>
        <w:tc>
          <w:tcPr>
            <w:tcW w:w="80" w:type="dxa"/>
            <w:vAlign w:val="bottom"/>
          </w:tcPr>
          <w:p>
            <w:pPr>
              <w:spacing w:after="0"/>
              <w:rPr>
                <w:sz w:val="18"/>
                <w:szCs w:val="18"/>
                <w:color w:val="auto"/>
              </w:rPr>
            </w:pP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gridSpan w:val="4"/>
            <w:shd w:val="clear" w:color="auto" w:fill="CCEEFF"/>
          </w:tcPr>
          <w:p>
            <w:pPr>
              <w:ind w:left="20"/>
              <w:spacing w:after="0" w:line="163" w:lineRule="exact"/>
              <w:rPr>
                <w:sz w:val="20"/>
                <w:szCs w:val="20"/>
                <w:color w:val="auto"/>
              </w:rPr>
            </w:pPr>
            <w:r>
              <w:rPr>
                <w:rFonts w:ascii="Arial" w:cs="Arial" w:eastAsia="Arial" w:hAnsi="Arial"/>
                <w:sz w:val="16"/>
                <w:szCs w:val="16"/>
                <w:color w:val="auto"/>
              </w:rPr>
              <w:t>Total revenue per available seat mile ("TRASM")</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18.06</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18.81</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17.84</w:t>
            </w:r>
          </w:p>
        </w:tc>
        <w:tc>
          <w:tcPr>
            <w:tcW w:w="8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Average yield per RPM (cents) (e)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19.74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980" w:type="dxa"/>
            <w:vAlign w:val="bottom"/>
            <w:gridSpan w:val="3"/>
          </w:tcPr>
          <w:p>
            <w:pPr>
              <w:jc w:val="right"/>
              <w:ind w:right="139"/>
              <w:spacing w:after="0"/>
              <w:rPr>
                <w:sz w:val="20"/>
                <w:szCs w:val="20"/>
                <w:color w:val="auto"/>
              </w:rPr>
            </w:pPr>
            <w:r>
              <w:rPr>
                <w:rFonts w:ascii="Arial" w:cs="Arial" w:eastAsia="Arial" w:hAnsi="Arial"/>
                <w:sz w:val="16"/>
                <w:szCs w:val="16"/>
                <w:color w:val="auto"/>
              </w:rPr>
              <w:t>19.83</w:t>
            </w:r>
          </w:p>
        </w:tc>
        <w:tc>
          <w:tcPr>
            <w:tcW w:w="80" w:type="dxa"/>
            <w:vAlign w:val="bottom"/>
          </w:tcPr>
          <w:p>
            <w:pPr>
              <w:spacing w:after="0"/>
              <w:rPr>
                <w:sz w:val="18"/>
                <w:szCs w:val="18"/>
                <w:color w:val="auto"/>
              </w:rPr>
            </w:pP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rPr>
              <w:t>20.08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Cargo revenue ton miles (millions) (f)</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1,774</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1,742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1.8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Aircraft in fleet at end of period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1,473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1,369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980" w:type="dxa"/>
            <w:vAlign w:val="bottom"/>
            <w:gridSpan w:val="3"/>
          </w:tcPr>
          <w:p>
            <w:pPr>
              <w:jc w:val="right"/>
              <w:ind w:right="139"/>
              <w:spacing w:after="0"/>
              <w:rPr>
                <w:sz w:val="20"/>
                <w:szCs w:val="20"/>
                <w:color w:val="auto"/>
              </w:rPr>
            </w:pPr>
            <w:r>
              <w:rPr>
                <w:rFonts w:ascii="Arial" w:cs="Arial" w:eastAsia="Arial" w:hAnsi="Arial"/>
                <w:sz w:val="16"/>
                <w:szCs w:val="16"/>
                <w:color w:val="auto"/>
              </w:rPr>
              <w:t>1,473</w:t>
            </w:r>
          </w:p>
        </w:tc>
        <w:tc>
          <w:tcPr>
            <w:tcW w:w="80" w:type="dxa"/>
            <w:vAlign w:val="bottom"/>
          </w:tcPr>
          <w:p>
            <w:pPr>
              <w:spacing w:after="0"/>
              <w:rPr>
                <w:sz w:val="18"/>
                <w:szCs w:val="18"/>
                <w:color w:val="auto"/>
              </w:rPr>
            </w:pP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560"/>
              <w:spacing w:after="0"/>
              <w:rPr>
                <w:sz w:val="20"/>
                <w:szCs w:val="20"/>
                <w:color w:val="auto"/>
              </w:rPr>
            </w:pPr>
            <w:r>
              <w:rPr>
                <w:rFonts w:ascii="Arial" w:cs="Arial" w:eastAsia="Arial" w:hAnsi="Arial"/>
                <w:sz w:val="16"/>
                <w:szCs w:val="16"/>
                <w:color w:val="auto"/>
              </w:rPr>
              <w:t>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stage length (miles) (g)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1,482</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gridSpan w:val="4"/>
          </w:tcPr>
          <w:p>
            <w:pPr>
              <w:ind w:left="20"/>
              <w:spacing w:after="0"/>
              <w:rPr>
                <w:sz w:val="20"/>
                <w:szCs w:val="20"/>
                <w:color w:val="auto"/>
              </w:rPr>
            </w:pPr>
            <w:r>
              <w:rPr>
                <w:rFonts w:ascii="Arial" w:cs="Arial" w:eastAsia="Arial" w:hAnsi="Arial"/>
                <w:sz w:val="16"/>
                <w:szCs w:val="16"/>
                <w:color w:val="auto"/>
              </w:rPr>
              <w:t>Employee headcount, as of June 30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980" w:type="dxa"/>
            <w:vAlign w:val="bottom"/>
            <w:gridSpan w:val="3"/>
          </w:tcPr>
          <w:p>
            <w:pPr>
              <w:jc w:val="right"/>
              <w:ind w:right="139"/>
              <w:spacing w:after="0"/>
              <w:rPr>
                <w:sz w:val="20"/>
                <w:szCs w:val="20"/>
                <w:color w:val="auto"/>
              </w:rPr>
            </w:pPr>
            <w:r>
              <w:rPr>
                <w:rFonts w:ascii="Arial" w:cs="Arial" w:eastAsia="Arial" w:hAnsi="Arial"/>
                <w:sz w:val="16"/>
                <w:szCs w:val="16"/>
                <w:color w:val="auto"/>
              </w:rPr>
              <w:t>111.3</w:t>
            </w:r>
          </w:p>
        </w:tc>
        <w:tc>
          <w:tcPr>
            <w:tcW w:w="80" w:type="dxa"/>
            <w:vAlign w:val="bottom"/>
          </w:tcPr>
          <w:p>
            <w:pPr>
              <w:spacing w:after="0"/>
              <w:rPr>
                <w:sz w:val="18"/>
                <w:szCs w:val="18"/>
                <w:color w:val="auto"/>
              </w:rPr>
            </w:pP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560"/>
              <w:spacing w:after="0"/>
              <w:rPr>
                <w:sz w:val="20"/>
                <w:szCs w:val="20"/>
                <w:color w:val="auto"/>
              </w:rPr>
            </w:pPr>
            <w:r>
              <w:rPr>
                <w:rFonts w:ascii="Arial" w:cs="Arial" w:eastAsia="Arial" w:hAnsi="Arial"/>
                <w:sz w:val="16"/>
                <w:szCs w:val="16"/>
                <w:color w:val="auto"/>
              </w:rPr>
              <w:t>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per ASM ("CASM") (cents)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16.62</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CASM-ex (cents) (h)</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980" w:type="dxa"/>
            <w:vAlign w:val="bottom"/>
            <w:gridSpan w:val="3"/>
          </w:tcPr>
          <w:p>
            <w:pPr>
              <w:jc w:val="right"/>
              <w:ind w:right="139"/>
              <w:spacing w:after="0"/>
              <w:rPr>
                <w:sz w:val="20"/>
                <w:szCs w:val="20"/>
                <w:color w:val="auto"/>
              </w:rPr>
            </w:pPr>
            <w:r>
              <w:rPr>
                <w:rFonts w:ascii="Arial" w:cs="Arial" w:eastAsia="Arial" w:hAnsi="Arial"/>
                <w:sz w:val="16"/>
                <w:szCs w:val="16"/>
                <w:color w:val="auto"/>
              </w:rPr>
              <w:t>12.74</w:t>
            </w:r>
          </w:p>
        </w:tc>
        <w:tc>
          <w:tcPr>
            <w:tcW w:w="80" w:type="dxa"/>
            <w:vAlign w:val="bottom"/>
          </w:tcPr>
          <w:p>
            <w:pPr>
              <w:spacing w:after="0"/>
              <w:rPr>
                <w:sz w:val="18"/>
                <w:szCs w:val="18"/>
                <w:color w:val="auto"/>
              </w:rPr>
            </w:pP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560"/>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aircraft fuel price per gallon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2.34</w:t>
            </w:r>
          </w:p>
        </w:tc>
        <w:tc>
          <w:tcPr>
            <w:tcW w:w="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   2.43</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   2.82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Fuel gallons consumed (millions)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980" w:type="dxa"/>
            <w:vAlign w:val="bottom"/>
            <w:gridSpan w:val="3"/>
          </w:tcPr>
          <w:p>
            <w:pPr>
              <w:jc w:val="right"/>
              <w:ind w:right="139"/>
              <w:spacing w:after="0"/>
              <w:rPr>
                <w:sz w:val="20"/>
                <w:szCs w:val="20"/>
                <w:color w:val="auto"/>
              </w:rPr>
            </w:pPr>
            <w:r>
              <w:rPr>
                <w:rFonts w:ascii="Arial" w:cs="Arial" w:eastAsia="Arial" w:hAnsi="Arial"/>
                <w:sz w:val="16"/>
                <w:szCs w:val="16"/>
                <w:color w:val="auto"/>
              </w:rPr>
              <w:t>2,254</w:t>
            </w:r>
          </w:p>
        </w:tc>
        <w:tc>
          <w:tcPr>
            <w:tcW w:w="80" w:type="dxa"/>
            <w:vAlign w:val="bottom"/>
          </w:tcPr>
          <w:p>
            <w:pPr>
              <w:spacing w:after="0"/>
              <w:rPr>
                <w:sz w:val="18"/>
                <w:szCs w:val="18"/>
                <w:color w:val="auto"/>
              </w:rPr>
            </w:pP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560"/>
              <w:spacing w:after="0"/>
              <w:rPr>
                <w:sz w:val="20"/>
                <w:szCs w:val="20"/>
                <w:color w:val="auto"/>
              </w:rPr>
            </w:pPr>
            <w:r>
              <w:rPr>
                <w:rFonts w:ascii="Arial" w:cs="Arial" w:eastAsia="Arial" w:hAnsi="Arial"/>
                <w:sz w:val="16"/>
                <w:szCs w:val="16"/>
                <w:color w:val="auto"/>
              </w:rPr>
              <w:t>4.4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revenue passengers measured by each flight segment flown.</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scheduled miles flown by revenue passengers.</w:t>
      </w:r>
    </w:p>
    <w:p>
      <w:pPr>
        <w:spacing w:after="0" w:line="8" w:lineRule="exact"/>
        <w:rPr>
          <w:rFonts w:ascii="Arial" w:cs="Arial" w:eastAsia="Arial" w:hAnsi="Arial"/>
          <w:sz w:val="16"/>
          <w:szCs w:val="16"/>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seats available for passengers multiplied by the number of scheduled miles those seats are flown.</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RPMs divided by ASMs.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average passenger revenue received for each RPM flown.</w:t>
      </w:r>
    </w:p>
    <w:p>
      <w:pPr>
        <w:spacing w:after="0" w:line="8" w:lineRule="exact"/>
        <w:rPr>
          <w:rFonts w:ascii="Arial" w:cs="Arial" w:eastAsia="Arial" w:hAnsi="Arial"/>
          <w:sz w:val="16"/>
          <w:szCs w:val="16"/>
          <w:color w:val="auto"/>
        </w:rPr>
      </w:pPr>
    </w:p>
    <w:p>
      <w:pPr>
        <w:ind w:left="200" w:hanging="192"/>
        <w:spacing w:after="0"/>
        <w:tabs>
          <w:tab w:leader="none" w:pos="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cargo revenue tons transported multiplied by the number of miles flown.</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Average distance a flight travels weighted for size of aircraft.</w:t>
      </w:r>
    </w:p>
    <w:p>
      <w:pPr>
        <w:spacing w:after="0" w:line="8" w:lineRule="exact"/>
        <w:rPr>
          <w:rFonts w:ascii="Arial" w:cs="Arial" w:eastAsia="Arial" w:hAnsi="Arial"/>
          <w:sz w:val="16"/>
          <w:szCs w:val="16"/>
          <w:color w:val="auto"/>
        </w:rPr>
      </w:pPr>
    </w:p>
    <w:p>
      <w:pPr>
        <w:ind w:right="420" w:firstLine="8"/>
        <w:spacing w:after="0" w:line="265"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CASM-ex is CASM less the impact of fuel expense, profit sharing, special charges and third-party business expenses. See NON-GAAP FINANCIAL INFORMATION for a reconciliation of CASM-ex to CASM, the most comparable GAAP measure.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32" w:lineRule="exact"/>
        <w:rPr>
          <w:sz w:val="20"/>
          <w:szCs w:val="20"/>
          <w:color w:val="auto"/>
        </w:rPr>
      </w:pPr>
    </w:p>
    <w:p>
      <w:pPr>
        <w:ind w:left="100" w:hanging="92"/>
        <w:spacing w:after="0"/>
        <w:tabs>
          <w:tab w:leader="none" w:pos="10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NON-GAAP FINANCIAL INFORMATION</w:t>
      </w:r>
    </w:p>
    <w:p>
      <w:pPr>
        <w:spacing w:after="0" w:line="7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UAL evaluates its financial performance utilizing various accounting principles generally accepted in the United States of America (GAAP) and non-GAAP financial measures.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spacing w:after="0" w:line="6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information below provides an explanation of certain adjustments reflected in the non-GAAP financial measures and shows a reconciliation of non-GAAP financial measures reported in this press release to the most directly comparable GAAP financial measures. Within the financial tables presented, certain columns and rows may not add due to the use of rounded numbers. Percentages, ratios and earnings per share amounts presented are calculated from the underlying amounts.</w:t>
      </w:r>
    </w:p>
    <w:p>
      <w:pPr>
        <w:spacing w:after="0" w:line="61"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b w:val="1"/>
          <w:bCs w:val="1"/>
          <w:color w:val="auto"/>
        </w:rPr>
        <w:t xml:space="preserve">CASM-ex: </w:t>
      </w:r>
      <w:r>
        <w:rPr>
          <w:rFonts w:ascii="Arial" w:cs="Arial" w:eastAsia="Arial" w:hAnsi="Arial"/>
          <w:sz w:val="16"/>
          <w:szCs w:val="16"/>
          <w:color w:val="auto"/>
        </w:rPr>
        <w:t>CASM is a common metric used in the airline industry to measure an airline's cost structure and efficiency. UAL reports CASM excluding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third-party business expenses, fuel expense, and profit sharing. UAL believes that adjusting for special charges is useful to investors because those items are not indicative of UAL's ongoing performance. UAL also believes that excluding third-party business expenses, such as maintenance, flight academy, ground handling and catering services for third parties, provides more meaningful disclosure because these expenses are not directly related to UAL's core business. UAL also believes that excluding fuel expense from certain measures is useful to investors because it provides an additional measure of management's performance excluding the effects of a significant cost item over which management has limited influence. UAL excludes profit sharing because it believes that this exclusion allows investors to better understand and analyze UAL's operating cost performance and provides a more meaningful comparison of our core operating costs to the airline industry.</w:t>
      </w:r>
    </w:p>
    <w:p>
      <w:pPr>
        <w:spacing w:after="0" w:line="6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color w:val="auto"/>
        </w:rPr>
        <w:t xml:space="preserve">Adjusted EBITDA and Adjusted EBITDAR: </w:t>
      </w:r>
      <w:r>
        <w:rPr>
          <w:rFonts w:ascii="Arial" w:cs="Arial" w:eastAsia="Arial" w:hAnsi="Arial"/>
          <w:sz w:val="16"/>
          <w:szCs w:val="16"/>
          <w:color w:val="auto"/>
        </w:rPr>
        <w:t>We calculate Adjusted EBITDA by adding interest, taxes, depreciation and amortization to net income and</w:t>
      </w:r>
      <w:r>
        <w:rPr>
          <w:rFonts w:ascii="Arial" w:cs="Arial" w:eastAsia="Arial" w:hAnsi="Arial"/>
          <w:sz w:val="16"/>
          <w:szCs w:val="16"/>
          <w:b w:val="1"/>
          <w:bCs w:val="1"/>
          <w:color w:val="auto"/>
        </w:rPr>
        <w:t xml:space="preserve"> </w:t>
      </w:r>
      <w:r>
        <w:rPr>
          <w:rFonts w:ascii="Arial" w:cs="Arial" w:eastAsia="Arial" w:hAnsi="Arial"/>
          <w:sz w:val="16"/>
          <w:szCs w:val="16"/>
          <w:color w:val="auto"/>
        </w:rPr>
        <w:t>adjusting for special charges, nonoperating unrealized (gains) losses on investments, net and nonoperating debt extinguishment and modification fees. UAL believes that adjusting for these items is useful to investors because they are not indicative of UAL's ongoing performance.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w:t>
      </w:r>
    </w:p>
    <w:p>
      <w:pPr>
        <w:spacing w:after="0" w:line="13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b w:val="1"/>
          <w:bCs w:val="1"/>
          <w:color w:val="auto"/>
        </w:rPr>
        <w:t xml:space="preserve">Adjusted Capital Expenditures: </w:t>
      </w:r>
      <w:r>
        <w:rPr>
          <w:rFonts w:ascii="Arial" w:cs="Arial" w:eastAsia="Arial" w:hAnsi="Arial"/>
          <w:sz w:val="16"/>
          <w:szCs w:val="16"/>
          <w:color w:val="auto"/>
        </w:rPr>
        <w:t>UAL believes that adjusting capital expenditures for assets acquired through the issuance or modification of debt,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leases and other financial liabilities is useful to investors in order to appropriately reflect the total amounts spent on capital expenditures.</w:t>
      </w:r>
    </w:p>
    <w:p>
      <w:pPr>
        <w:spacing w:after="0" w:line="8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Effective January 1, 2025, we define free cash flow as the sum of net cash from operating activities and net cash from investing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for the net change in short-term investments and the net change in restricted cash. We believe adjusting for short-term investments and restricted cash activity provides investors a better understanding of the company's free cash flow generated by our core operations. The change in free cash flow calculation methodology does not represent a change in management's expectations. We believe this change provides investors with enhanced comparability to peers and better reflects our performance. Prior period amounts have been recast to conform to the current period presentation.</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Adjusted Total Debt and Adjusted Net Debt: </w:t>
      </w:r>
      <w:r>
        <w:rPr>
          <w:rFonts w:ascii="Arial" w:cs="Arial" w:eastAsia="Arial" w:hAnsi="Arial"/>
          <w:sz w:val="16"/>
          <w:szCs w:val="16"/>
          <w:color w:val="auto"/>
        </w:rPr>
        <w:t>Adjusted total debt is a non-GAAP financial measure that includes current and long-term debt, finance lease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and other financial liabilities, current and noncurrent operating lease obligations and noncurrent pension and postretirement obligations. Adjusted net debt is adjusted total debt minus cash, cash equivalents and short-term investments. UAL provides adjusted total debt and adjusted net debt because we believe these measures provide useful supplemental information for assessing the company's debt and debt-like obligation profile.</w:t>
      </w:r>
    </w:p>
    <w:p>
      <w:pPr>
        <w:spacing w:after="0" w:line="14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auto"/>
        </w:rPr>
        <w:t xml:space="preserve">Net Leverage: </w:t>
      </w:r>
      <w:r>
        <w:rPr>
          <w:rFonts w:ascii="Arial" w:cs="Arial" w:eastAsia="Arial" w:hAnsi="Arial"/>
          <w:sz w:val="16"/>
          <w:szCs w:val="16"/>
          <w:color w:val="auto"/>
        </w:rPr>
        <w:t>Net leverage is a non-GAAP financial measure that is equal to adjusted net debt divided by trailing twelve month Adjusted EBITDAR. UAL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net leverage because we believe it provides useful supplemental information for assessing the company's debt level. See the above descriptions of Adjusted Net Debt and Adjusted EBITDAR.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4"/>
          </w:tcPr>
          <w:p>
            <w:pPr>
              <w:jc w:val="right"/>
              <w:spacing w:after="0"/>
              <w:rPr>
                <w:sz w:val="20"/>
                <w:szCs w:val="20"/>
                <w:color w:val="auto"/>
              </w:rPr>
            </w:pPr>
            <w:r>
              <w:rPr>
                <w:rFonts w:ascii="Arial" w:cs="Arial" w:eastAsia="Arial" w:hAnsi="Arial"/>
                <w:sz w:val="16"/>
                <w:szCs w:val="16"/>
                <w:color w:val="auto"/>
              </w:rPr>
              <w:t>Six Months Ended June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18"/>
                <w:szCs w:val="18"/>
                <w:color w:val="auto"/>
              </w:rPr>
            </w:pPr>
          </w:p>
        </w:tc>
        <w:tc>
          <w:tcPr>
            <w:tcW w:w="12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color w:val="auto"/>
              </w:rPr>
              <w:t>June 30,</w:t>
            </w:r>
          </w:p>
        </w:tc>
        <w:tc>
          <w:tcPr>
            <w:tcW w:w="600" w:type="dxa"/>
            <w:vAlign w:val="bottom"/>
            <w:tcBorders>
              <w:bottom w:val="single" w:sz="8" w:color="auto"/>
            </w:tcBorders>
          </w:tcPr>
          <w:p>
            <w:pPr>
              <w:spacing w:after="0"/>
              <w:rPr>
                <w:sz w:val="18"/>
                <w:szCs w:val="18"/>
                <w:color w:val="auto"/>
              </w:rPr>
            </w:pPr>
          </w:p>
        </w:tc>
        <w:tc>
          <w:tcPr>
            <w:tcW w:w="1200" w:type="dxa"/>
            <w:vAlign w:val="bottom"/>
            <w:gridSpan w:val="2"/>
            <w:vMerge w:val="restart"/>
          </w:tcPr>
          <w:p>
            <w:pPr>
              <w:jc w:val="center"/>
              <w:ind w:left="99"/>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color w:val="auto"/>
              </w:rPr>
              <w:t>30,</w:t>
            </w:r>
          </w:p>
        </w:tc>
        <w:tc>
          <w:tcPr>
            <w:tcW w:w="1140" w:type="dxa"/>
            <w:vAlign w:val="bottom"/>
            <w:gridSpan w:val="2"/>
            <w:vMerge w:val="restart"/>
          </w:tcPr>
          <w:p>
            <w:pPr>
              <w:jc w:val="center"/>
              <w:ind w:lef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
        </w:trPr>
        <w:tc>
          <w:tcPr>
            <w:tcW w:w="4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CASM-ex </w:t>
            </w:r>
            <w:r>
              <w:rPr>
                <w:rFonts w:ascii="Arial" w:cs="Arial" w:eastAsia="Arial" w:hAnsi="Arial"/>
                <w:sz w:val="16"/>
                <w:szCs w:val="16"/>
                <w:color w:val="auto"/>
              </w:rPr>
              <w:t>(in cents, except for percentage changes)</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ind w:right="159"/>
              <w:spacing w:after="0"/>
              <w:rPr>
                <w:sz w:val="20"/>
                <w:szCs w:val="20"/>
                <w:color w:val="auto"/>
              </w:rPr>
            </w:pPr>
            <w:r>
              <w:rPr>
                <w:rFonts w:ascii="Arial" w:cs="Arial" w:eastAsia="Arial" w:hAnsi="Arial"/>
                <w:sz w:val="16"/>
                <w:szCs w:val="16"/>
                <w:color w:val="auto"/>
                <w:w w:val="95"/>
              </w:rPr>
              <w:t>2024</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line="162" w:lineRule="exact"/>
              <w:rPr>
                <w:sz w:val="20"/>
                <w:szCs w:val="20"/>
                <w:color w:val="auto"/>
              </w:rPr>
            </w:pPr>
            <w:r>
              <w:rPr>
                <w:rFonts w:ascii="Arial" w:cs="Arial" w:eastAsia="Arial" w:hAnsi="Arial"/>
                <w:sz w:val="16"/>
                <w:szCs w:val="16"/>
                <w:color w:val="auto"/>
              </w:rPr>
              <w:t>Increase/</w:t>
            </w:r>
          </w:p>
        </w:tc>
        <w:tc>
          <w:tcPr>
            <w:tcW w:w="800" w:type="dxa"/>
            <w:vAlign w:val="bottom"/>
            <w:vMerge w:val="restart"/>
          </w:tcPr>
          <w:p>
            <w:pPr>
              <w:jc w:val="right"/>
              <w:ind w:right="119"/>
              <w:spacing w:after="0"/>
              <w:rPr>
                <w:sz w:val="20"/>
                <w:szCs w:val="20"/>
                <w:color w:val="auto"/>
              </w:rPr>
            </w:pPr>
            <w:r>
              <w:rPr>
                <w:rFonts w:ascii="Arial" w:cs="Arial" w:eastAsia="Arial" w:hAnsi="Arial"/>
                <w:sz w:val="16"/>
                <w:szCs w:val="16"/>
                <w:color w:val="auto"/>
              </w:rPr>
              <w:t>2025</w:t>
            </w:r>
          </w:p>
        </w:tc>
        <w:tc>
          <w:tcPr>
            <w:tcW w:w="1080" w:type="dxa"/>
            <w:vAlign w:val="bottom"/>
            <w:gridSpan w:val="3"/>
            <w:vMerge w:val="restart"/>
          </w:tcPr>
          <w:p>
            <w:pPr>
              <w:jc w:val="right"/>
              <w:ind w:right="159"/>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color w:val="auto"/>
              </w:rPr>
              <w:t>(Decrease)</w:t>
            </w:r>
          </w:p>
        </w:tc>
        <w:tc>
          <w:tcPr>
            <w:tcW w:w="80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CASM (GAAP)</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Fuel expense</w:t>
            </w:r>
          </w:p>
        </w:tc>
        <w:tc>
          <w:tcPr>
            <w:tcW w:w="840" w:type="dxa"/>
            <w:vAlign w:val="bottom"/>
          </w:tcPr>
          <w:p>
            <w:pPr>
              <w:jc w:val="right"/>
              <w:spacing w:after="0"/>
              <w:rPr>
                <w:sz w:val="20"/>
                <w:szCs w:val="20"/>
                <w:color w:val="auto"/>
              </w:rPr>
            </w:pPr>
            <w:r>
              <w:rPr>
                <w:rFonts w:ascii="Arial" w:cs="Arial" w:eastAsia="Arial" w:hAnsi="Arial"/>
                <w:sz w:val="16"/>
                <w:szCs w:val="16"/>
                <w:color w:val="auto"/>
              </w:rPr>
              <w:t>3.29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Profit sharing</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Third-party business expenses</w:t>
            </w:r>
          </w:p>
        </w:tc>
        <w:tc>
          <w:tcPr>
            <w:tcW w:w="840" w:type="dxa"/>
            <w:vAlign w:val="bottom"/>
          </w:tcPr>
          <w:p>
            <w:pPr>
              <w:jc w:val="right"/>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0.09</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0.08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charges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NM</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CASM-ex (Non-GAAP)</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4"/>
        </w:trPr>
        <w:tc>
          <w:tcPr>
            <w:tcW w:w="498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gridSpan w:val="9"/>
          </w:tcPr>
          <w:p>
            <w:pPr>
              <w:ind w:left="4260"/>
              <w:spacing w:after="0"/>
              <w:rPr>
                <w:sz w:val="20"/>
                <w:szCs w:val="20"/>
                <w:color w:val="auto"/>
              </w:rPr>
            </w:pPr>
            <w:r>
              <w:rPr>
                <w:rFonts w:ascii="Arial" w:cs="Arial" w:eastAsia="Arial" w:hAnsi="Arial"/>
                <w:sz w:val="16"/>
                <w:szCs w:val="16"/>
                <w:b w:val="1"/>
                <w:bCs w:val="1"/>
                <w:color w:val="auto"/>
              </w:rPr>
              <w:t>UNITED AIRLINES HOLDINGS, INC.</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8040" w:type="dxa"/>
            <w:vAlign w:val="bottom"/>
            <w:gridSpan w:val="11"/>
          </w:tcPr>
          <w:p>
            <w:pPr>
              <w:ind w:left="3720"/>
              <w:spacing w:after="0"/>
              <w:rPr>
                <w:sz w:val="20"/>
                <w:szCs w:val="20"/>
                <w:color w:val="auto"/>
              </w:rPr>
            </w:pPr>
            <w:r>
              <w:rPr>
                <w:rFonts w:ascii="Arial" w:cs="Arial" w:eastAsia="Arial" w:hAnsi="Arial"/>
                <w:sz w:val="16"/>
                <w:szCs w:val="16"/>
                <w:color w:val="auto"/>
              </w:rPr>
              <w:t>NON-GAAP FINANCIAL INFORMATION (Continued)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rPr>
                <w:sz w:val="17"/>
                <w:szCs w:val="17"/>
                <w:color w:val="auto"/>
              </w:rPr>
            </w:pPr>
          </w:p>
        </w:tc>
        <w:tc>
          <w:tcPr>
            <w:tcW w:w="2220" w:type="dxa"/>
            <w:vAlign w:val="bottom"/>
            <w:gridSpan w:val="7"/>
          </w:tcPr>
          <w:p>
            <w:pPr>
              <w:ind w:left="80"/>
              <w:spacing w:after="0"/>
              <w:rPr>
                <w:sz w:val="20"/>
                <w:szCs w:val="20"/>
                <w:color w:val="auto"/>
              </w:rPr>
            </w:pPr>
            <w:r>
              <w:rPr>
                <w:rFonts w:ascii="Arial" w:cs="Arial" w:eastAsia="Arial" w:hAnsi="Arial"/>
                <w:sz w:val="16"/>
                <w:szCs w:val="16"/>
                <w:color w:val="auto"/>
              </w:rPr>
              <w:t>Three Months Ended June</w:t>
            </w:r>
          </w:p>
        </w:tc>
        <w:tc>
          <w:tcPr>
            <w:tcW w:w="2200" w:type="dxa"/>
            <w:vAlign w:val="bottom"/>
            <w:gridSpan w:val="6"/>
            <w:vMerge w:val="restart"/>
          </w:tcPr>
          <w:p>
            <w:pPr>
              <w:ind w:left="20"/>
              <w:spacing w:after="0"/>
              <w:rPr>
                <w:sz w:val="20"/>
                <w:szCs w:val="20"/>
                <w:color w:val="auto"/>
              </w:rPr>
            </w:pPr>
            <w:r>
              <w:rPr>
                <w:rFonts w:ascii="Arial" w:cs="Arial" w:eastAsia="Arial" w:hAnsi="Arial"/>
                <w:sz w:val="16"/>
                <w:szCs w:val="16"/>
                <w:color w:val="auto"/>
              </w:rPr>
              <w:t>Six Months Ended June 30,</w:t>
            </w:r>
          </w:p>
        </w:tc>
        <w:tc>
          <w:tcPr>
            <w:tcW w:w="2060" w:type="dxa"/>
            <w:vAlign w:val="bottom"/>
            <w:gridSpan w:val="6"/>
          </w:tcPr>
          <w:p>
            <w:pPr>
              <w:ind w:left="40"/>
              <w:spacing w:after="0"/>
              <w:rPr>
                <w:sz w:val="20"/>
                <w:szCs w:val="20"/>
                <w:color w:val="auto"/>
              </w:rPr>
            </w:pPr>
            <w:r>
              <w:rPr>
                <w:rFonts w:ascii="Arial" w:cs="Arial" w:eastAsia="Arial" w:hAnsi="Arial"/>
                <w:sz w:val="16"/>
                <w:szCs w:val="16"/>
                <w:color w:val="auto"/>
              </w:rPr>
              <w:t>Twelve Months Ended June</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gridSpan w:val="3"/>
          </w:tcPr>
          <w:p>
            <w:pPr>
              <w:jc w:val="right"/>
              <w:ind w:right="99"/>
              <w:spacing w:after="0"/>
              <w:rPr>
                <w:sz w:val="20"/>
                <w:szCs w:val="20"/>
                <w:color w:val="auto"/>
              </w:rPr>
            </w:pPr>
            <w:r>
              <w:rPr>
                <w:rFonts w:ascii="Arial" w:cs="Arial" w:eastAsia="Arial" w:hAnsi="Arial"/>
                <w:sz w:val="16"/>
                <w:szCs w:val="16"/>
                <w:color w:val="auto"/>
              </w:rPr>
              <w:t>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Adjusted EBITDA and Adjusted EBITDAR </w:t>
            </w:r>
            <w:r>
              <w:rPr>
                <w:rFonts w:ascii="Arial" w:cs="Arial" w:eastAsia="Arial" w:hAnsi="Arial"/>
                <w:sz w:val="16"/>
                <w:szCs w:val="16"/>
                <w:color w:val="auto"/>
              </w:rPr>
              <w:t>(in millions)</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2024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(GAAP)</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973</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rPr>
                <w:sz w:val="20"/>
                <w:szCs w:val="20"/>
                <w:color w:val="auto"/>
              </w:rPr>
            </w:pPr>
            <w:r>
              <w:rPr>
                <w:rFonts w:ascii="Arial" w:cs="Arial" w:eastAsia="Arial" w:hAnsi="Arial"/>
                <w:sz w:val="16"/>
                <w:szCs w:val="16"/>
                <w:color w:val="auto"/>
              </w:rPr>
              <w:t>Adjusted for:</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162"/>
        </w:trPr>
        <w:tc>
          <w:tcPr>
            <w:tcW w:w="4720" w:type="dxa"/>
            <w:vAlign w:val="bottom"/>
          </w:tcPr>
          <w:p>
            <w:pPr>
              <w:ind w:left="140"/>
              <w:spacing w:after="0" w:line="162" w:lineRule="exact"/>
              <w:rPr>
                <w:sz w:val="20"/>
                <w:szCs w:val="20"/>
                <w:color w:val="auto"/>
              </w:rPr>
            </w:pPr>
            <w:r>
              <w:rPr>
                <w:rFonts w:ascii="Arial" w:cs="Arial" w:eastAsia="Arial" w:hAnsi="Arial"/>
                <w:sz w:val="16"/>
                <w:szCs w:val="16"/>
                <w:color w:val="auto"/>
              </w:rPr>
              <w:t>Interest expense, net of capitalized interest and interest</w:t>
            </w:r>
          </w:p>
        </w:tc>
        <w:tc>
          <w:tcPr>
            <w:tcW w:w="200" w:type="dxa"/>
            <w:vAlign w:val="bottom"/>
          </w:tcPr>
          <w:p>
            <w:pPr>
              <w:spacing w:after="0"/>
              <w:rPr>
                <w:sz w:val="14"/>
                <w:szCs w:val="14"/>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color w:val="auto"/>
              </w:rPr>
              <w:t>288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15"/>
        </w:trPr>
        <w:tc>
          <w:tcPr>
            <w:tcW w:w="4720" w:type="dxa"/>
            <w:vAlign w:val="bottom"/>
          </w:tcPr>
          <w:p>
            <w:pPr>
              <w:ind w:left="140"/>
              <w:spacing w:after="0"/>
              <w:rPr>
                <w:sz w:val="20"/>
                <w:szCs w:val="20"/>
                <w:color w:val="auto"/>
              </w:rPr>
            </w:pPr>
            <w:r>
              <w:rPr>
                <w:rFonts w:ascii="Arial" w:cs="Arial" w:eastAsia="Arial" w:hAnsi="Arial"/>
                <w:sz w:val="16"/>
                <w:szCs w:val="16"/>
                <w:color w:val="auto"/>
              </w:rPr>
              <w:t>income</w:t>
            </w: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15"/>
        </w:trPr>
        <w:tc>
          <w:tcPr>
            <w:tcW w:w="4720" w:type="dxa"/>
            <w:vAlign w:val="bottom"/>
          </w:tcPr>
          <w:p>
            <w:pPr>
              <w:ind w:left="140"/>
              <w:spacing w:after="0"/>
              <w:rPr>
                <w:sz w:val="20"/>
                <w:szCs w:val="20"/>
                <w:color w:val="auto"/>
              </w:rPr>
            </w:pPr>
            <w:r>
              <w:rPr>
                <w:rFonts w:ascii="Arial" w:cs="Arial" w:eastAsia="Arial" w:hAnsi="Arial"/>
                <w:sz w:val="16"/>
                <w:szCs w:val="16"/>
                <w:color w:val="auto"/>
              </w:rPr>
              <w:t>Special charges</w:t>
            </w:r>
          </w:p>
        </w:tc>
        <w:tc>
          <w:tcPr>
            <w:tcW w:w="2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unrealized (gains) losses on investments, net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5"/>
        </w:trPr>
        <w:tc>
          <w:tcPr>
            <w:tcW w:w="4720" w:type="dxa"/>
            <w:vAlign w:val="bottom"/>
          </w:tcPr>
          <w:p>
            <w:pPr>
              <w:ind w:left="140"/>
              <w:spacing w:after="0"/>
              <w:rPr>
                <w:sz w:val="20"/>
                <w:szCs w:val="20"/>
                <w:color w:val="auto"/>
              </w:rPr>
            </w:pPr>
            <w:r>
              <w:rPr>
                <w:rFonts w:ascii="Arial" w:cs="Arial" w:eastAsia="Arial" w:hAnsi="Arial"/>
                <w:sz w:val="16"/>
                <w:szCs w:val="16"/>
                <w:color w:val="auto"/>
              </w:rPr>
              <w:t>Nonoperating debt extinguishment and modification fees</w:t>
            </w:r>
          </w:p>
        </w:tc>
        <w:tc>
          <w:tcPr>
            <w:tcW w:w="2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5"/>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(non-GAAP)</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2,547</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3,809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3,549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8,475</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7,743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(non-GAAP)</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i w:val="1"/>
                <w:iCs w:val="1"/>
                <w:color w:val="auto"/>
              </w:rPr>
              <w:t>16.7 %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18.0 %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13.4 %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12.9 %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i w:val="1"/>
                <w:iCs w:val="1"/>
                <w:color w:val="auto"/>
              </w:rPr>
              <w:t>14.6 %</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13.9 %</w:t>
            </w:r>
          </w:p>
        </w:tc>
        <w:tc>
          <w:tcPr>
            <w:tcW w:w="0" w:type="dxa"/>
            <w:vAlign w:val="bottom"/>
          </w:tcPr>
          <w:p>
            <w:pPr>
              <w:spacing w:after="0"/>
              <w:rPr>
                <w:sz w:val="1"/>
                <w:szCs w:val="1"/>
                <w:color w:val="auto"/>
              </w:rPr>
            </w:pPr>
          </w:p>
        </w:tc>
      </w:tr>
      <w:tr>
        <w:trPr>
          <w:trHeight w:val="56"/>
        </w:trPr>
        <w:tc>
          <w:tcPr>
            <w:tcW w:w="4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(non-GAAP)</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2,547</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8,475</w:t>
            </w:r>
          </w:p>
        </w:tc>
        <w:tc>
          <w:tcPr>
            <w:tcW w:w="4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7,743</w:t>
            </w:r>
          </w:p>
        </w:tc>
        <w:tc>
          <w:tcPr>
            <w:tcW w:w="0" w:type="dxa"/>
            <w:vAlign w:val="bottom"/>
          </w:tcPr>
          <w:p>
            <w:pPr>
              <w:spacing w:after="0"/>
              <w:rPr>
                <w:sz w:val="1"/>
                <w:szCs w:val="1"/>
                <w:color w:val="auto"/>
              </w:rPr>
            </w:pPr>
          </w:p>
        </w:tc>
      </w:tr>
      <w:tr>
        <w:trPr>
          <w:trHeight w:val="215"/>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portion of operating lease expense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EBITDAR (non-GAAP) (a)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2,768</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2,896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3,961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9,352</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8,609</w:t>
            </w:r>
          </w:p>
        </w:tc>
        <w:tc>
          <w:tcPr>
            <w:tcW w:w="0" w:type="dxa"/>
            <w:vAlign w:val="bottom"/>
          </w:tcPr>
          <w:p>
            <w:pPr>
              <w:spacing w:after="0"/>
              <w:rPr>
                <w:sz w:val="1"/>
                <w:szCs w:val="1"/>
                <w:color w:val="auto"/>
              </w:rPr>
            </w:pPr>
          </w:p>
        </w:tc>
      </w:tr>
      <w:tr>
        <w:trPr>
          <w:trHeight w:val="20"/>
        </w:trPr>
        <w:tc>
          <w:tcPr>
            <w:tcW w:w="4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right="6600" w:firstLine="6"/>
        <w:spacing w:after="0" w:line="236" w:lineRule="auto"/>
        <w:tabs>
          <w:tab w:leader="none" w:pos="2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prior period has been recast to conform to current period presentation.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10"/>
          </w:tcPr>
          <w:p>
            <w:pPr>
              <w:jc w:val="right"/>
              <w:ind w:right="219"/>
              <w:spacing w:after="0"/>
              <w:rPr>
                <w:sz w:val="20"/>
                <w:szCs w:val="20"/>
                <w:color w:val="auto"/>
              </w:rPr>
            </w:pPr>
            <w:r>
              <w:rPr>
                <w:rFonts w:ascii="Arial" w:cs="Arial" w:eastAsia="Arial" w:hAnsi="Arial"/>
                <w:sz w:val="16"/>
                <w:szCs w:val="16"/>
                <w:color w:val="auto"/>
              </w:rPr>
              <w:t>Three Months Ended June 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13"/>
          </w:tcPr>
          <w:p>
            <w:pPr>
              <w:jc w:val="right"/>
              <w:ind w:right="19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12"/>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 xml:space="preserve">Adjusted Capital Expenditures </w:t>
            </w: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5"/>
          </w:tcPr>
          <w:p>
            <w:pPr>
              <w:jc w:val="center"/>
              <w:ind w:left="519"/>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99"/>
              <w:spacing w:after="0"/>
              <w:rPr>
                <w:sz w:val="20"/>
                <w:szCs w:val="20"/>
                <w:color w:val="auto"/>
              </w:rPr>
            </w:pPr>
            <w:r>
              <w:rPr>
                <w:rFonts w:ascii="Arial" w:cs="Arial" w:eastAsia="Arial" w:hAnsi="Arial"/>
                <w:sz w:val="16"/>
                <w:szCs w:val="16"/>
                <w:color w:val="auto"/>
                <w:w w:val="95"/>
              </w:rPr>
              <w:t>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Capital expenditures, net of flight equipment purchase deposit returns (GAAP)</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9"/>
              </w:rPr>
              <w:t>1,287</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right="31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0" w:type="dxa"/>
            <w:vAlign w:val="bottom"/>
          </w:tcPr>
          <w:p>
            <w:pPr>
              <w:spacing w:after="0"/>
              <w:rPr>
                <w:sz w:val="1"/>
                <w:szCs w:val="1"/>
                <w:color w:val="auto"/>
              </w:rPr>
            </w:pPr>
          </w:p>
        </w:tc>
      </w:tr>
      <w:tr>
        <w:trPr>
          <w:trHeight w:val="162"/>
        </w:trPr>
        <w:tc>
          <w:tcPr>
            <w:tcW w:w="5720" w:type="dxa"/>
            <w:vAlign w:val="bottom"/>
            <w:gridSpan w:val="4"/>
          </w:tcPr>
          <w:p>
            <w:pPr>
              <w:ind w:left="240"/>
              <w:spacing w:after="0" w:line="162" w:lineRule="exact"/>
              <w:rPr>
                <w:sz w:val="20"/>
                <w:szCs w:val="20"/>
                <w:color w:val="auto"/>
              </w:rPr>
            </w:pPr>
            <w:r>
              <w:rPr>
                <w:rFonts w:ascii="Arial" w:cs="Arial" w:eastAsia="Arial" w:hAnsi="Arial"/>
                <w:sz w:val="16"/>
                <w:szCs w:val="16"/>
                <w:color w:val="auto"/>
              </w:rPr>
              <w:t>Property and equipment acquired through the issuance or modification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6"/>
                <w:szCs w:val="16"/>
                <w:color w:val="auto"/>
              </w:rPr>
              <w:t>(206)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5"/>
            <w:vMerge w:val="restart"/>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5"/>
        </w:trPr>
        <w:tc>
          <w:tcPr>
            <w:tcW w:w="4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debt, finance leases and other financial liabilities</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capital expenditures (Non-GAAP)</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9"/>
              </w:rPr>
              <w:t>1,236</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ind w:right="31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Arial" w:cs="Arial" w:eastAsia="Arial" w:hAnsi="Arial"/>
                <w:sz w:val="16"/>
                <w:szCs w:val="16"/>
                <w:color w:val="auto"/>
              </w:rPr>
              <w:t>Three Months Ended June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10"/>
          </w:tcPr>
          <w:p>
            <w:pPr>
              <w:jc w:val="center"/>
              <w:ind w:right="520"/>
              <w:spacing w:after="0"/>
              <w:rPr>
                <w:sz w:val="20"/>
                <w:szCs w:val="20"/>
                <w:color w:val="auto"/>
              </w:rPr>
            </w:pPr>
            <w:r>
              <w:rPr>
                <w:rFonts w:ascii="Arial" w:cs="Arial" w:eastAsia="Arial" w:hAnsi="Arial"/>
                <w:sz w:val="16"/>
                <w:szCs w:val="16"/>
                <w:color w:val="auto"/>
              </w:rPr>
              <w:t>Six Months Ended</w:t>
            </w:r>
          </w:p>
        </w:tc>
        <w:tc>
          <w:tcPr>
            <w:tcW w:w="100" w:type="dxa"/>
            <w:vAlign w:val="bottom"/>
          </w:tcPr>
          <w:p>
            <w:pPr>
              <w:spacing w:after="0"/>
              <w:rPr>
                <w:sz w:val="24"/>
                <w:szCs w:val="24"/>
                <w:color w:val="auto"/>
              </w:rPr>
            </w:pPr>
          </w:p>
        </w:tc>
        <w:tc>
          <w:tcPr>
            <w:tcW w:w="2040" w:type="dxa"/>
            <w:vAlign w:val="bottom"/>
            <w:gridSpan w:val="10"/>
          </w:tcPr>
          <w:p>
            <w:pPr>
              <w:ind w:left="20"/>
              <w:spacing w:after="0"/>
              <w:rPr>
                <w:sz w:val="20"/>
                <w:szCs w:val="20"/>
                <w:color w:val="auto"/>
              </w:rPr>
            </w:pPr>
            <w:r>
              <w:rPr>
                <w:rFonts w:ascii="Arial" w:cs="Arial" w:eastAsia="Arial" w:hAnsi="Arial"/>
                <w:sz w:val="16"/>
                <w:szCs w:val="16"/>
                <w:color w:val="auto"/>
              </w:rPr>
              <w:t>Twelve Months Ended June</w:t>
            </w:r>
          </w:p>
        </w:tc>
        <w:tc>
          <w:tcPr>
            <w:tcW w:w="0" w:type="dxa"/>
            <w:vAlign w:val="bottom"/>
          </w:tcPr>
          <w:p>
            <w:pPr>
              <w:spacing w:after="0"/>
              <w:rPr>
                <w:sz w:val="1"/>
                <w:szCs w:val="1"/>
                <w:color w:val="auto"/>
              </w:rPr>
            </w:pPr>
          </w:p>
        </w:tc>
      </w:tr>
      <w:tr>
        <w:trPr>
          <w:trHeight w:val="215"/>
        </w:trPr>
        <w:tc>
          <w:tcPr>
            <w:tcW w:w="4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June 30,</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color w:val="auto"/>
              </w:rPr>
              <w:t>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(in millions) (a)</w:t>
            </w:r>
          </w:p>
        </w:tc>
        <w:tc>
          <w:tcPr>
            <w:tcW w:w="140" w:type="dxa"/>
            <w:vAlign w:val="bottom"/>
          </w:tcPr>
          <w:p>
            <w:pPr>
              <w:spacing w:after="0"/>
              <w:rPr>
                <w:sz w:val="18"/>
                <w:szCs w:val="18"/>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2025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center"/>
              <w:ind w:right="159"/>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5"/>
          </w:tcPr>
          <w:p>
            <w:pPr>
              <w:ind w:left="40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6"/>
                <w:szCs w:val="16"/>
                <w:color w:val="auto"/>
              </w:rPr>
              <w:t>5,723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w w:val="99"/>
              </w:rPr>
              <w:t>9,649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5,693</w:t>
            </w:r>
          </w:p>
        </w:tc>
        <w:tc>
          <w:tcPr>
            <w:tcW w:w="0" w:type="dxa"/>
            <w:vAlign w:val="bottom"/>
          </w:tcPr>
          <w:p>
            <w:pPr>
              <w:spacing w:after="0"/>
              <w:rPr>
                <w:sz w:val="1"/>
                <w:szCs w:val="1"/>
                <w:color w:val="auto"/>
              </w:rPr>
            </w:pP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 (GAAP)</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(3,042)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4"/>
          </w:tcPr>
          <w:p>
            <w:pPr>
              <w:jc w:val="center"/>
              <w:spacing w:after="0"/>
              <w:rPr>
                <w:sz w:val="20"/>
                <w:szCs w:val="20"/>
                <w:color w:val="auto"/>
              </w:rPr>
            </w:pPr>
            <w:r>
              <w:rPr>
                <w:rFonts w:ascii="Arial" w:cs="Arial" w:eastAsia="Arial" w:hAnsi="Arial"/>
                <w:sz w:val="16"/>
                <w:szCs w:val="16"/>
                <w:color w:val="auto"/>
              </w:rPr>
              <w:t>1,575</w:t>
            </w:r>
          </w:p>
        </w:tc>
        <w:tc>
          <w:tcPr>
            <w:tcW w:w="80" w:type="dxa"/>
            <w:vAlign w:val="bottom"/>
          </w:tcPr>
          <w:p>
            <w:pPr>
              <w:spacing w:after="0"/>
              <w:rPr>
                <w:sz w:val="18"/>
                <w:szCs w:val="18"/>
                <w:color w:val="auto"/>
              </w:rPr>
            </w:pPr>
          </w:p>
        </w:tc>
        <w:tc>
          <w:tcPr>
            <w:tcW w:w="1040" w:type="dxa"/>
            <w:vAlign w:val="bottom"/>
            <w:gridSpan w:val="7"/>
          </w:tcPr>
          <w:p>
            <w:pPr>
              <w:jc w:val="right"/>
              <w:spacing w:after="0"/>
              <w:rPr>
                <w:sz w:val="20"/>
                <w:szCs w:val="20"/>
                <w:color w:val="auto"/>
              </w:rPr>
            </w:pPr>
            <w:r>
              <w:rPr>
                <w:rFonts w:ascii="Arial" w:cs="Arial" w:eastAsia="Arial" w:hAnsi="Arial"/>
                <w:sz w:val="16"/>
                <w:szCs w:val="16"/>
                <w:color w:val="auto"/>
              </w:rPr>
              <w:t>(7,268)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for: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240"/>
              <w:spacing w:after="0"/>
              <w:rPr>
                <w:sz w:val="20"/>
                <w:szCs w:val="20"/>
                <w:color w:val="auto"/>
              </w:rPr>
            </w:pPr>
            <w:r>
              <w:rPr>
                <w:rFonts w:ascii="Arial" w:cs="Arial" w:eastAsia="Arial" w:hAnsi="Arial"/>
                <w:sz w:val="16"/>
                <w:szCs w:val="16"/>
                <w:color w:val="auto"/>
              </w:rPr>
              <w:t>Net change in short-term investments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(1,207)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6"/>
          </w:tcPr>
          <w:p>
            <w:pPr>
              <w:jc w:val="right"/>
              <w:spacing w:after="0"/>
              <w:rPr>
                <w:sz w:val="20"/>
                <w:szCs w:val="20"/>
                <w:color w:val="auto"/>
              </w:rPr>
            </w:pPr>
            <w:r>
              <w:rPr>
                <w:rFonts w:ascii="Arial" w:cs="Arial" w:eastAsia="Arial" w:hAnsi="Arial"/>
                <w:sz w:val="16"/>
                <w:szCs w:val="16"/>
                <w:color w:val="auto"/>
              </w:rPr>
              <w:t>(3,946)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Arial" w:cs="Arial" w:eastAsia="Arial" w:hAnsi="Arial"/>
                <w:sz w:val="16"/>
                <w:szCs w:val="16"/>
                <w:color w:val="auto"/>
                <w:w w:val="99"/>
              </w:rPr>
              <w:t>1,878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(5,149)</w:t>
            </w: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change in 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3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Free cash flow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3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3,378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w w:val="99"/>
              </w:rPr>
              <w:t>4,333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
        </w:trPr>
        <w:tc>
          <w:tcPr>
            <w:tcW w:w="572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4"/>
          </w:tcPr>
          <w:p>
            <w:pPr>
              <w:ind w:left="20"/>
              <w:spacing w:after="0"/>
              <w:rPr>
                <w:sz w:val="20"/>
                <w:szCs w:val="20"/>
                <w:color w:val="auto"/>
              </w:rPr>
            </w:pPr>
            <w:r>
              <w:rPr>
                <w:rFonts w:ascii="Arial" w:cs="Arial" w:eastAsia="Arial" w:hAnsi="Arial"/>
                <w:sz w:val="16"/>
                <w:szCs w:val="16"/>
                <w:color w:val="auto"/>
              </w:rPr>
              <w:t>(a) The prior period has been recast to conform to current period presentation.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color w:val="auto"/>
              </w:rPr>
              <w:t>June 30,</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7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 xml:space="preserve">Adjusted Total Debt, Adjusted Net Debt and Net Leverage </w:t>
            </w:r>
            <w:r>
              <w:rPr>
                <w:rFonts w:ascii="Arial" w:cs="Arial" w:eastAsia="Arial" w:hAnsi="Arial"/>
                <w:sz w:val="16"/>
                <w:szCs w:val="16"/>
                <w:color w:val="auto"/>
              </w:rPr>
              <w:t>(in millions)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tcPr>
          <w:p>
            <w:pPr>
              <w:jc w:val="right"/>
              <w:ind w:right="299"/>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gridSpan w:val="4"/>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70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Debt, finance lease obligations and other financial liabilities - current and noncurrent (GAAP)</w:t>
            </w:r>
          </w:p>
        </w:tc>
        <w:tc>
          <w:tcPr>
            <w:tcW w:w="7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27,079</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Operating lease obligations - current and noncurrent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5,707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liabilities - noncurrent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Adjusted total debt (Non-GAAP)</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33,985</w:t>
            </w:r>
          </w:p>
        </w:tc>
        <w:tc>
          <w:tcPr>
            <w:tcW w:w="80" w:type="dxa"/>
            <w:vAlign w:val="bottom"/>
            <w:tcBorders>
              <w:bottom w:val="single" w:sz="8" w:color="auto"/>
            </w:tcBorders>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35,864</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ind w:left="140"/>
              <w:spacing w:after="0"/>
              <w:rPr>
                <w:sz w:val="20"/>
                <w:szCs w:val="20"/>
                <w:color w:val="auto"/>
              </w:rPr>
            </w:pPr>
            <w:r>
              <w:rPr>
                <w:rFonts w:ascii="Arial" w:cs="Arial" w:eastAsia="Arial" w:hAnsi="Arial"/>
                <w:sz w:val="16"/>
                <w:szCs w:val="16"/>
                <w:color w:val="auto"/>
              </w:rPr>
              <w:t>(1,879)</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and cash equivalents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9,354</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5"/>
        </w:trPr>
        <w:tc>
          <w:tcPr>
            <w:tcW w:w="4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6,262</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4,384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3"/>
          </w:tcPr>
          <w:p>
            <w:pPr>
              <w:jc w:val="right"/>
              <w:ind w:right="359"/>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3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debt (Non-GAAP)</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18,368</w:t>
            </w:r>
          </w:p>
        </w:tc>
        <w:tc>
          <w:tcPr>
            <w:tcW w:w="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20,616</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(2,248)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leverage (Non-GAAP) (a)</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(0.4)  pts.</w:t>
            </w:r>
          </w:p>
        </w:tc>
        <w:tc>
          <w:tcPr>
            <w:tcW w:w="0" w:type="dxa"/>
            <w:vAlign w:val="bottom"/>
          </w:tcPr>
          <w:p>
            <w:pPr>
              <w:spacing w:after="0" w:line="20" w:lineRule="exact"/>
              <w:rPr>
                <w:sz w:val="1"/>
                <w:szCs w:val="1"/>
                <w:color w:val="auto"/>
              </w:rPr>
            </w:pPr>
          </w:p>
        </w:tc>
      </w:tr>
      <w:tr>
        <w:trPr>
          <w:trHeight w:val="189"/>
        </w:trPr>
        <w:tc>
          <w:tcPr>
            <w:tcW w:w="44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tcPr>
          <w:p>
            <w:pPr>
              <w:ind w:left="400"/>
              <w:spacing w:after="0"/>
              <w:rPr>
                <w:sz w:val="20"/>
                <w:szCs w:val="20"/>
                <w:color w:val="auto"/>
              </w:rPr>
            </w:pPr>
            <w:r>
              <w:rPr>
                <w:rFonts w:ascii="Arial" w:cs="Arial" w:eastAsia="Arial" w:hAnsi="Arial"/>
                <w:sz w:val="16"/>
                <w:szCs w:val="16"/>
                <w:color w:val="auto"/>
                <w:w w:val="98"/>
              </w:rPr>
              <w:t>2.0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20" w:type="dxa"/>
            <w:vAlign w:val="bottom"/>
            <w:gridSpan w:val="4"/>
          </w:tcPr>
          <w:p>
            <w:pPr>
              <w:ind w:left="20"/>
              <w:spacing w:after="0"/>
              <w:rPr>
                <w:sz w:val="20"/>
                <w:szCs w:val="20"/>
                <w:color w:val="auto"/>
              </w:rPr>
            </w:pPr>
            <w:r>
              <w:rPr>
                <w:rFonts w:ascii="Arial" w:cs="Arial" w:eastAsia="Arial" w:hAnsi="Arial"/>
                <w:sz w:val="16"/>
                <w:szCs w:val="16"/>
                <w:color w:val="auto"/>
              </w:rPr>
              <w:t>(a) The prior period has been recast to conform to current period presentation.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NON-GAAP FINANCIAL INFORMATION (Continued)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Three Months Ended June 30,</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color w:val="auto"/>
              </w:rPr>
              <w:t>Six Months Ended June 30,</w:t>
            </w:r>
          </w:p>
        </w:tc>
        <w:tc>
          <w:tcPr>
            <w:tcW w:w="112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42"/>
        </w:trPr>
        <w:tc>
          <w:tcPr>
            <w:tcW w:w="4340" w:type="dxa"/>
            <w:vAlign w:val="bottom"/>
          </w:tcPr>
          <w:p>
            <w:pPr>
              <w:ind w:left="20"/>
              <w:spacing w:after="0" w:line="142" w:lineRule="exact"/>
              <w:rPr>
                <w:sz w:val="20"/>
                <w:szCs w:val="20"/>
                <w:color w:val="auto"/>
              </w:rPr>
            </w:pPr>
            <w:r>
              <w:rPr>
                <w:rFonts w:ascii="Arial" w:cs="Arial" w:eastAsia="Arial" w:hAnsi="Arial"/>
                <w:sz w:val="16"/>
                <w:szCs w:val="16"/>
                <w:color w:val="auto"/>
              </w:rPr>
              <w:t>(in millions, except for percentage changes and per share</w:t>
            </w:r>
          </w:p>
        </w:tc>
        <w:tc>
          <w:tcPr>
            <w:tcW w:w="240" w:type="dxa"/>
            <w:vAlign w:val="bottom"/>
          </w:tcPr>
          <w:p>
            <w:pPr>
              <w:spacing w:after="0"/>
              <w:rPr>
                <w:sz w:val="12"/>
                <w:szCs w:val="12"/>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2"/>
                <w:szCs w:val="12"/>
                <w:color w:val="auto"/>
              </w:rPr>
            </w:pPr>
          </w:p>
        </w:tc>
        <w:tc>
          <w:tcPr>
            <w:tcW w:w="1100" w:type="dxa"/>
            <w:vAlign w:val="bottom"/>
            <w:gridSpan w:val="2"/>
          </w:tcPr>
          <w:p>
            <w:pPr>
              <w:jc w:val="center"/>
              <w:ind w:right="100"/>
              <w:spacing w:after="0" w:line="142" w:lineRule="exact"/>
              <w:rPr>
                <w:sz w:val="20"/>
                <w:szCs w:val="20"/>
                <w:color w:val="auto"/>
              </w:rPr>
            </w:pPr>
            <w:r>
              <w:rPr>
                <w:rFonts w:ascii="Arial" w:cs="Arial" w:eastAsia="Arial" w:hAnsi="Arial"/>
                <w:sz w:val="16"/>
                <w:szCs w:val="16"/>
                <w:color w:val="auto"/>
              </w:rPr>
              <w:t>Increase/</w:t>
            </w:r>
          </w:p>
        </w:tc>
        <w:tc>
          <w:tcPr>
            <w:tcW w:w="120" w:type="dxa"/>
            <w:vAlign w:val="bottom"/>
          </w:tcPr>
          <w:p>
            <w:pPr>
              <w:spacing w:after="0"/>
              <w:rPr>
                <w:sz w:val="12"/>
                <w:szCs w:val="12"/>
                <w:color w:val="auto"/>
              </w:rPr>
            </w:pPr>
          </w:p>
        </w:tc>
        <w:tc>
          <w:tcPr>
            <w:tcW w:w="940" w:type="dxa"/>
            <w:vAlign w:val="bottom"/>
            <w:vMerge w:val="restart"/>
          </w:tcPr>
          <w:p>
            <w:pPr>
              <w:jc w:val="right"/>
              <w:ind w:right="25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data)</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rPr>
              <w:t>(Decrease)</w:t>
            </w: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 (GAAP)</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13,911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13,057</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26,516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25,497</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excluding special charges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25,448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Fuel expense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4340" w:type="dxa"/>
            <w:vAlign w:val="bottom"/>
          </w:tcPr>
          <w:p>
            <w:pPr>
              <w:ind w:left="260"/>
              <w:spacing w:after="0"/>
              <w:rPr>
                <w:sz w:val="20"/>
                <w:szCs w:val="20"/>
                <w:color w:val="auto"/>
              </w:rPr>
            </w:pPr>
            <w:r>
              <w:rPr>
                <w:rFonts w:ascii="Arial" w:cs="Arial" w:eastAsia="Arial" w:hAnsi="Arial"/>
                <w:sz w:val="16"/>
                <w:szCs w:val="16"/>
                <w:color w:val="auto"/>
              </w:rPr>
              <w:t>Profit sharing</w:t>
            </w: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185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188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Third-party business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Adjusted operating expenses (Non-GAAP)</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10,428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9,639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20,328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19,051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(Non-GAAP)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1,772</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1,965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2,077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i w:val="1"/>
                <w:iCs w:val="1"/>
                <w:color w:val="auto"/>
              </w:rPr>
              <w:t>Operating margin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8.7 %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12.9 %</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(4.2) pts.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(0.6) pts.</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margin (Non-GAAP)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11.6 %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13.1 %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i w:val="1"/>
                <w:iCs w:val="1"/>
                <w:color w:val="auto"/>
              </w:rPr>
              <w:t>(1.5) pts.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7.5 %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0.5 pts.</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income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4340" w:type="dxa"/>
            <w:vAlign w:val="bottom"/>
          </w:tcPr>
          <w:p>
            <w:pPr>
              <w:ind w:left="260"/>
              <w:spacing w:after="0"/>
              <w:rPr>
                <w:sz w:val="20"/>
                <w:szCs w:val="20"/>
                <w:color w:val="auto"/>
              </w:rPr>
            </w:pPr>
            <w:r>
              <w:rPr>
                <w:rFonts w:ascii="Arial" w:cs="Arial" w:eastAsia="Arial" w:hAnsi="Arial"/>
                <w:sz w:val="16"/>
                <w:szCs w:val="16"/>
                <w:color w:val="auto"/>
              </w:rPr>
              <w:t>Unrealized (gains) losses on investments, net</w:t>
            </w:r>
          </w:p>
        </w:tc>
        <w:tc>
          <w:tcPr>
            <w:tcW w:w="2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Adjusted pre-tax income (Non-GAAP)</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1,670</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1,808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2,061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1,729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Pre-tax margin (GAAP)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8.2 %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11.6 %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i w:val="1"/>
                <w:iCs w:val="1"/>
                <w:color w:val="auto"/>
              </w:rPr>
              <w:t>(3.4) pts.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5.7 %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0.4 pts.</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6"/>
                <w:szCs w:val="16"/>
                <w:i w:val="1"/>
                <w:iCs w:val="1"/>
                <w:color w:val="auto"/>
              </w:rPr>
              <w:t>Adjusted pre-tax margin (Non-GAAP)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11.0 %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12.1 %</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(1.1) pts.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7.2 %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6.3 %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0.9 pts.</w:t>
            </w:r>
          </w:p>
        </w:tc>
        <w:tc>
          <w:tcPr>
            <w:tcW w:w="0" w:type="dxa"/>
            <w:vAlign w:val="bottom"/>
          </w:tcPr>
          <w:p>
            <w:pPr>
              <w:spacing w:after="0"/>
              <w:rPr>
                <w:sz w:val="1"/>
                <w:szCs w:val="1"/>
                <w:color w:val="auto"/>
              </w:rPr>
            </w:pPr>
          </w:p>
        </w:tc>
      </w:tr>
      <w:tr>
        <w:trPr>
          <w:trHeight w:val="272"/>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4340" w:type="dxa"/>
            <w:vAlign w:val="bottom"/>
          </w:tcPr>
          <w:p>
            <w:pPr>
              <w:ind w:left="260"/>
              <w:spacing w:after="0"/>
              <w:rPr>
                <w:sz w:val="20"/>
                <w:szCs w:val="20"/>
                <w:color w:val="auto"/>
              </w:rPr>
            </w:pPr>
            <w:r>
              <w:rPr>
                <w:rFonts w:ascii="Arial" w:cs="Arial" w:eastAsia="Arial" w:hAnsi="Arial"/>
                <w:sz w:val="16"/>
                <w:szCs w:val="16"/>
                <w:color w:val="auto"/>
              </w:rPr>
              <w:t>Unrealized (gains) losses on investments, net</w:t>
            </w:r>
          </w:p>
        </w:tc>
        <w:tc>
          <w:tcPr>
            <w:tcW w:w="2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Income tax benefit on adjustments, net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(Non-GAAP)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1,267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1,384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1,334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Diluted earnings per share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4340" w:type="dxa"/>
            <w:vAlign w:val="bottom"/>
          </w:tcPr>
          <w:p>
            <w:pPr>
              <w:ind w:left="260"/>
              <w:spacing w:after="0"/>
              <w:rPr>
                <w:sz w:val="20"/>
                <w:szCs w:val="20"/>
                <w:color w:val="auto"/>
              </w:rPr>
            </w:pPr>
            <w:r>
              <w:rPr>
                <w:rFonts w:ascii="Arial" w:cs="Arial" w:eastAsia="Arial" w:hAnsi="Arial"/>
                <w:sz w:val="16"/>
                <w:szCs w:val="16"/>
                <w:color w:val="auto"/>
              </w:rPr>
              <w:t>Unrealized (gains) losses on investments, net</w:t>
            </w:r>
          </w:p>
        </w:tc>
        <w:tc>
          <w:tcPr>
            <w:tcW w:w="2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(0.08)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Income tax benefit on adjustments, net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 (Non-GAAP)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20" w:type="dxa"/>
            <w:vAlign w:val="bottom"/>
            <w:vMerge w:val="restart"/>
          </w:tcPr>
          <w:p>
            <w:pPr>
              <w:ind w:left="6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Arial" w:cs="Arial" w:eastAsia="Arial" w:hAnsi="Arial"/>
                <w:sz w:val="16"/>
                <w:szCs w:val="16"/>
                <w:color w:val="auto"/>
              </w:rPr>
              <w:t>June 30, 2025</w:t>
            </w:r>
          </w:p>
        </w:tc>
        <w:tc>
          <w:tcPr>
            <w:tcW w:w="120" w:type="dxa"/>
            <w:vAlign w:val="bottom"/>
          </w:tcPr>
          <w:p>
            <w:pPr>
              <w:spacing w:after="0"/>
              <w:rPr>
                <w:sz w:val="16"/>
                <w:szCs w:val="16"/>
                <w:color w:val="auto"/>
              </w:rPr>
            </w:pPr>
          </w:p>
        </w:tc>
        <w:tc>
          <w:tcPr>
            <w:tcW w:w="1580" w:type="dxa"/>
            <w:vAlign w:val="bottom"/>
            <w:vMerge w:val="restart"/>
          </w:tcPr>
          <w:p>
            <w:pPr>
              <w:jc w:val="right"/>
              <w:ind w:right="59"/>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15"/>
        </w:trPr>
        <w:tc>
          <w:tcPr>
            <w:tcW w:w="7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8,769</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6,262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5,706</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net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Aircraft fuel, spare parts and supplies,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18,883</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property and equipment, net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42,908</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affiliates and other, net</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noncurrent assets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56,904</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55,200</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77,163</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Accrued salaries and benefits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Advance ticket sales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7,561</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Frequent flyer deferred revenue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maturities of long-term debt, finance leases, and other financial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Current maturities of operating leases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23,314</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finance leases, and other financial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Long-term obligations under operating leases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5,166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4,510</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Frequent flyer deferred revenue</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215"/>
        </w:trPr>
        <w:tc>
          <w:tcPr>
            <w:tcW w:w="7320" w:type="dxa"/>
            <w:vAlign w:val="bottom"/>
          </w:tcPr>
          <w:p>
            <w:pPr>
              <w:ind w:left="220"/>
              <w:spacing w:after="0"/>
              <w:rPr>
                <w:sz w:val="20"/>
                <w:szCs w:val="20"/>
                <w:color w:val="auto"/>
              </w:rPr>
            </w:pPr>
            <w:r>
              <w:rPr>
                <w:rFonts w:ascii="Arial" w:cs="Arial" w:eastAsia="Arial" w:hAnsi="Arial"/>
                <w:sz w:val="16"/>
                <w:szCs w:val="16"/>
                <w:color w:val="auto"/>
              </w:rPr>
              <w:t>Pension and postretirement benefit liability</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34,798</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38,094</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13,373</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12,675</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77,163</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6"/>
                <w:szCs w:val="16"/>
                <w:color w:val="auto"/>
              </w:rPr>
              <w:t>14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7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STATEMENTS OF CONSOLIDATED CASH FLOWS (UNAUDITED)</w:t>
      </w: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140" w:type="dxa"/>
            <w:vAlign w:val="bottom"/>
          </w:tcPr>
          <w:p>
            <w:pPr>
              <w:ind w:left="6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09"/>
        </w:trPr>
        <w:tc>
          <w:tcPr>
            <w:tcW w:w="8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5,723</w:t>
            </w:r>
          </w:p>
        </w:tc>
        <w:tc>
          <w:tcPr>
            <w:tcW w:w="0" w:type="dxa"/>
            <w:vAlign w:val="bottom"/>
          </w:tcPr>
          <w:p>
            <w:pPr>
              <w:spacing w:after="0"/>
              <w:rPr>
                <w:sz w:val="1"/>
                <w:szCs w:val="1"/>
                <w:color w:val="auto"/>
              </w:rPr>
            </w:pPr>
          </w:p>
        </w:tc>
      </w:tr>
      <w:tr>
        <w:trPr>
          <w:trHeight w:val="257"/>
        </w:trPr>
        <w:tc>
          <w:tcPr>
            <w:tcW w:w="8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Capital expenditures, net of flight equipment purchase deposit returns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(2,530)</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short-term and other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Proceeds from sale of short-term and other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5,820</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and equipment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37"/>
        </w:trPr>
        <w:tc>
          <w:tcPr>
            <w:tcW w:w="8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Proceeds from issuance of debt and other financial liabilities, net of discounts and fees</w:t>
            </w:r>
          </w:p>
        </w:tc>
        <w:tc>
          <w:tcPr>
            <w:tcW w:w="3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3,718</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long-term debt, finance leases and other financial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6,334</w:t>
            </w:r>
          </w:p>
        </w:tc>
        <w:tc>
          <w:tcPr>
            <w:tcW w:w="0" w:type="dxa"/>
            <w:vAlign w:val="bottom"/>
          </w:tcPr>
          <w:p>
            <w:pPr>
              <w:spacing w:after="0"/>
              <w:rPr>
                <w:sz w:val="1"/>
                <w:szCs w:val="1"/>
                <w:color w:val="auto"/>
              </w:rPr>
            </w:pPr>
          </w:p>
        </w:tc>
      </w:tr>
      <w:tr>
        <w:trPr>
          <w:trHeight w:val="23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the period (a)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9,531</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Investing and Financing Activities Not Affecting Cash:</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Right-of-use assets acquired or modified through operating leases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62"/>
        </w:trPr>
        <w:tc>
          <w:tcPr>
            <w:tcW w:w="8140" w:type="dxa"/>
            <w:vAlign w:val="bottom"/>
          </w:tcPr>
          <w:p>
            <w:pPr>
              <w:ind w:left="120"/>
              <w:spacing w:after="0" w:line="162" w:lineRule="exact"/>
              <w:rPr>
                <w:sz w:val="20"/>
                <w:szCs w:val="20"/>
                <w:color w:val="auto"/>
              </w:rPr>
            </w:pPr>
            <w:r>
              <w:rPr>
                <w:rFonts w:ascii="Arial" w:cs="Arial" w:eastAsia="Arial" w:hAnsi="Arial"/>
                <w:sz w:val="16"/>
                <w:szCs w:val="16"/>
                <w:color w:val="auto"/>
              </w:rPr>
              <w:t>Property and equipment acquired through the issuance or modification of debt, finance leases and other</w:t>
            </w: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 converted to finance leases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Investment interests received in exchange for loans, goods and services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(a) The following table provides a reconciliation of cash, cash equivalents and restricted cash to amounts reported within the condensed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96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9,354</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10,864</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Restricted cash in Prepaid expenses and other</w:t>
            </w:r>
          </w:p>
        </w:tc>
        <w:tc>
          <w:tcPr>
            <w:tcW w:w="3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 Investments in affiliates and other, net</w:t>
            </w:r>
          </w:p>
        </w:tc>
        <w:tc>
          <w:tcPr>
            <w:tcW w:w="3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9"/>
        </w:trPr>
        <w:tc>
          <w:tcPr>
            <w:tcW w:w="4800" w:type="dxa"/>
            <w:vAlign w:val="bottom"/>
          </w:tcPr>
          <w:p>
            <w:pPr>
              <w:ind w:left="140"/>
              <w:spacing w:after="0"/>
              <w:rPr>
                <w:sz w:val="20"/>
                <w:szCs w:val="20"/>
                <w:color w:val="auto"/>
              </w:rPr>
            </w:pPr>
            <w:r>
              <w:rPr>
                <w:rFonts w:ascii="Arial" w:cs="Arial" w:eastAsia="Arial" w:hAnsi="Arial"/>
                <w:sz w:val="16"/>
                <w:szCs w:val="16"/>
                <w:color w:val="auto"/>
              </w:rPr>
              <w:t>Total cash, cash equivalents and restricted cash</w:t>
            </w:r>
          </w:p>
        </w:tc>
        <w:tc>
          <w:tcPr>
            <w:tcW w:w="346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9,531</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11,114</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460" w:type="dxa"/>
            <w:vAlign w:val="bottom"/>
            <w:vMerge w:val="restart"/>
          </w:tcPr>
          <w:p>
            <w:pPr>
              <w:jc w:val="right"/>
              <w:ind w:right="2459"/>
              <w:spacing w:after="0"/>
              <w:rPr>
                <w:sz w:val="20"/>
                <w:szCs w:val="20"/>
                <w:color w:val="auto"/>
              </w:rPr>
            </w:pPr>
            <w:r>
              <w:rPr>
                <w:rFonts w:ascii="Arial" w:cs="Arial" w:eastAsia="Arial" w:hAnsi="Arial"/>
                <w:sz w:val="16"/>
                <w:szCs w:val="16"/>
                <w:color w:val="auto"/>
              </w:rPr>
              <w:t>15</w:t>
            </w: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48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United Airlines Reports Second-Quarter 2025 Results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20"/>
                <w:szCs w:val="20"/>
                <w:color w:val="auto"/>
              </w:rPr>
            </w:pPr>
            <w:r>
              <w:rPr>
                <w:rFonts w:ascii="Arial" w:cs="Arial" w:eastAsia="Arial" w:hAnsi="Arial"/>
                <w:sz w:val="16"/>
                <w:szCs w:val="16"/>
                <w:b w:val="1"/>
                <w:bCs w:val="1"/>
                <w:color w:val="auto"/>
              </w:rPr>
              <w:t>Special charges and unrealized (gains) losses on investments, net include the following:</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15"/>
                <w:szCs w:val="15"/>
                <w:color w:val="auto"/>
              </w:rPr>
            </w:pPr>
          </w:p>
        </w:tc>
        <w:tc>
          <w:tcPr>
            <w:tcW w:w="2080" w:type="dxa"/>
            <w:vAlign w:val="bottom"/>
            <w:gridSpan w:val="6"/>
          </w:tcPr>
          <w:p>
            <w:pPr>
              <w:ind w:left="20"/>
              <w:spacing w:after="0"/>
              <w:rPr>
                <w:sz w:val="20"/>
                <w:szCs w:val="20"/>
                <w:color w:val="auto"/>
              </w:rPr>
            </w:pPr>
            <w:r>
              <w:rPr>
                <w:rFonts w:ascii="Arial" w:cs="Arial" w:eastAsia="Arial" w:hAnsi="Arial"/>
                <w:sz w:val="16"/>
                <w:szCs w:val="16"/>
                <w:color w:val="auto"/>
              </w:rPr>
              <w:t>Three Months Ended June</w:t>
            </w:r>
          </w:p>
        </w:tc>
        <w:tc>
          <w:tcPr>
            <w:tcW w:w="1920" w:type="dxa"/>
            <w:vAlign w:val="bottom"/>
            <w:gridSpan w:val="5"/>
          </w:tcPr>
          <w:p>
            <w:pPr>
              <w:jc w:val="right"/>
              <w:ind w:right="19"/>
              <w:spacing w:after="0"/>
              <w:rPr>
                <w:sz w:val="20"/>
                <w:szCs w:val="20"/>
                <w:color w:val="auto"/>
              </w:rPr>
            </w:pPr>
            <w:r>
              <w:rPr>
                <w:rFonts w:ascii="Arial" w:cs="Arial" w:eastAsia="Arial" w:hAnsi="Arial"/>
                <w:sz w:val="16"/>
                <w:szCs w:val="16"/>
                <w:color w:val="auto"/>
              </w:rPr>
              <w:t>Six Months Ended June</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30,</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96"/>
        </w:trPr>
        <w:tc>
          <w:tcPr>
            <w:tcW w:w="7240" w:type="dxa"/>
            <w:vAlign w:val="bottom"/>
          </w:tcPr>
          <w:p>
            <w:pPr>
              <w:ind w:left="2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contract ratification bonuses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(Gains) losses on sale of assets and other special charges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special charges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485"/>
        </w:trPr>
        <w:tc>
          <w:tcPr>
            <w:tcW w:w="7240" w:type="dxa"/>
            <w:vAlign w:val="bottom"/>
          </w:tcPr>
          <w:p>
            <w:pPr>
              <w:ind w:left="20"/>
              <w:spacing w:after="0"/>
              <w:rPr>
                <w:sz w:val="20"/>
                <w:szCs w:val="20"/>
                <w:color w:val="auto"/>
              </w:rPr>
            </w:pPr>
            <w:r>
              <w:rPr>
                <w:rFonts w:ascii="Arial" w:cs="Arial" w:eastAsia="Arial" w:hAnsi="Arial"/>
                <w:sz w:val="16"/>
                <w:szCs w:val="16"/>
                <w:color w:val="auto"/>
              </w:rPr>
              <w:t>Nonoperating:</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unrealized (gains) losses on investments,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Nonoperating debt extinguishment and modification fees</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nonoperating special charges and unrealized (gains) losses on investments,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42"/>
        </w:trPr>
        <w:tc>
          <w:tcPr>
            <w:tcW w:w="7240" w:type="dxa"/>
            <w:vAlign w:val="bottom"/>
          </w:tcPr>
          <w:p>
            <w:pPr>
              <w:ind w:left="20"/>
              <w:spacing w:after="0" w:line="142" w:lineRule="exact"/>
              <w:rPr>
                <w:sz w:val="20"/>
                <w:szCs w:val="20"/>
                <w:color w:val="auto"/>
              </w:rPr>
            </w:pPr>
            <w:r>
              <w:rPr>
                <w:rFonts w:ascii="Arial" w:cs="Arial" w:eastAsia="Arial" w:hAnsi="Arial"/>
                <w:sz w:val="16"/>
                <w:szCs w:val="16"/>
                <w:color w:val="auto"/>
              </w:rPr>
              <w:t>Total operating and nonoperating special charges and unrealized (gains) losses on investments,</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net of valuation allowance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42"/>
        </w:trPr>
        <w:tc>
          <w:tcPr>
            <w:tcW w:w="7240" w:type="dxa"/>
            <w:vAlign w:val="bottom"/>
          </w:tcPr>
          <w:p>
            <w:pPr>
              <w:ind w:left="200"/>
              <w:spacing w:after="0" w:line="142" w:lineRule="exact"/>
              <w:rPr>
                <w:sz w:val="20"/>
                <w:szCs w:val="20"/>
                <w:color w:val="auto"/>
              </w:rPr>
            </w:pPr>
            <w:r>
              <w:rPr>
                <w:rFonts w:ascii="Arial" w:cs="Arial" w:eastAsia="Arial" w:hAnsi="Arial"/>
                <w:sz w:val="16"/>
                <w:szCs w:val="16"/>
                <w:color w:val="auto"/>
              </w:rPr>
              <w:t>Total operating and nonoperating special charges and unrealized (gains) losses on investments,</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4"/>
        </w:trPr>
        <w:tc>
          <w:tcPr>
            <w:tcW w:w="7240" w:type="dxa"/>
            <w:vAlign w:val="bottom"/>
          </w:tcPr>
          <w:p>
            <w:pPr>
              <w:ind w:left="20"/>
              <w:spacing w:after="0"/>
              <w:rPr>
                <w:sz w:val="20"/>
                <w:szCs w:val="20"/>
                <w:color w:val="auto"/>
              </w:rPr>
            </w:pPr>
            <w:r>
              <w:rPr>
                <w:rFonts w:ascii="Arial" w:cs="Arial" w:eastAsia="Arial" w:hAnsi="Arial"/>
                <w:sz w:val="16"/>
                <w:szCs w:val="16"/>
                <w:color w:val="auto"/>
              </w:rPr>
              <w:t>net of income taxes</w:t>
            </w: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Operating and nonoperating special charges and unrealized (gains) losses on investments included the following:</w:t>
      </w:r>
    </w:p>
    <w:p>
      <w:pPr>
        <w:spacing w:after="0" w:line="18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During the three and six months ended June 30, 2025, the company recorded $114 million and $222 million, respectively, of net gains on sale of assets and other special charges, which were primarily comprised of $151 million and $261 million, respectively, of gains on various aircraft sale-leaseback transactions. The company also recorded a $561 million special charge in connection with the tentative agreement with its flight attendants represented by the Association of Flight Attendants.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40" w:type="dxa"/>
            <w:vAlign w:val="bottom"/>
            <w:gridSpan w:val="2"/>
          </w:tcPr>
          <w:p>
            <w:pPr>
              <w:spacing w:after="0"/>
              <w:rPr>
                <w:sz w:val="20"/>
                <w:szCs w:val="20"/>
                <w:color w:val="auto"/>
              </w:rPr>
            </w:pPr>
            <w:r>
              <w:rPr>
                <w:rFonts w:ascii="Arial" w:cs="Arial" w:eastAsia="Arial" w:hAnsi="Arial"/>
                <w:sz w:val="16"/>
                <w:szCs w:val="16"/>
                <w:b w:val="1"/>
                <w:bCs w:val="1"/>
                <w:color w:val="auto"/>
              </w:rPr>
              <w:t>Effective tax rate: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6"/>
        </w:trPr>
        <w:tc>
          <w:tcPr>
            <w:tcW w:w="6140" w:type="dxa"/>
            <w:vAlign w:val="bottom"/>
            <w:gridSpan w:val="2"/>
          </w:tcPr>
          <w:p>
            <w:pPr>
              <w:spacing w:after="0"/>
              <w:rPr>
                <w:sz w:val="20"/>
                <w:szCs w:val="20"/>
                <w:color w:val="auto"/>
              </w:rPr>
            </w:pPr>
            <w:r>
              <w:rPr>
                <w:rFonts w:ascii="Arial" w:cs="Arial" w:eastAsia="Arial" w:hAnsi="Arial"/>
                <w:sz w:val="16"/>
                <w:szCs w:val="16"/>
                <w:color w:val="auto"/>
              </w:rPr>
              <w:t>The company's effective tax rates were as follows:</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4"/>
        </w:trPr>
        <w:tc>
          <w:tcPr>
            <w:tcW w:w="5160" w:type="dxa"/>
            <w:vAlign w:val="bottom"/>
          </w:tcPr>
          <w:p>
            <w:pPr>
              <w:spacing w:after="0"/>
              <w:rPr>
                <w:sz w:val="21"/>
                <w:szCs w:val="21"/>
                <w:color w:val="auto"/>
              </w:rPr>
            </w:pPr>
          </w:p>
        </w:tc>
        <w:tc>
          <w:tcPr>
            <w:tcW w:w="3100" w:type="dxa"/>
            <w:vAlign w:val="bottom"/>
            <w:gridSpan w:val="5"/>
          </w:tcPr>
          <w:p>
            <w:pPr>
              <w:ind w:left="420"/>
              <w:spacing w:after="0"/>
              <w:rPr>
                <w:sz w:val="20"/>
                <w:szCs w:val="20"/>
                <w:color w:val="auto"/>
              </w:rPr>
            </w:pPr>
            <w:r>
              <w:rPr>
                <w:rFonts w:ascii="Arial" w:cs="Arial" w:eastAsia="Arial" w:hAnsi="Arial"/>
                <w:sz w:val="16"/>
                <w:szCs w:val="16"/>
                <w:color w:val="auto"/>
              </w:rPr>
              <w:t>Three Months Ended June 30,</w:t>
            </w:r>
          </w:p>
        </w:tc>
        <w:tc>
          <w:tcPr>
            <w:tcW w:w="2980" w:type="dxa"/>
            <w:vAlign w:val="bottom"/>
            <w:gridSpan w:val="3"/>
          </w:tcPr>
          <w:p>
            <w:pPr>
              <w:jc w:val="right"/>
              <w:ind w:right="419"/>
              <w:spacing w:after="0"/>
              <w:rPr>
                <w:sz w:val="20"/>
                <w:szCs w:val="20"/>
                <w:color w:val="auto"/>
              </w:rPr>
            </w:pPr>
            <w:r>
              <w:rPr>
                <w:rFonts w:ascii="Arial" w:cs="Arial" w:eastAsia="Arial" w:hAnsi="Arial"/>
                <w:sz w:val="16"/>
                <w:szCs w:val="16"/>
                <w:color w:val="auto"/>
              </w:rPr>
              <w:t>Six Months Ended June 30,</w:t>
            </w:r>
          </w:p>
        </w:tc>
      </w:tr>
      <w:tr>
        <w:trPr>
          <w:trHeight w:val="210"/>
        </w:trPr>
        <w:tc>
          <w:tcPr>
            <w:tcW w:w="5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2024</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23.9 %</w:t>
            </w:r>
          </w:p>
        </w:tc>
      </w:tr>
    </w:tbl>
    <w:p>
      <w:pPr>
        <w:spacing w:after="0" w:line="22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provision for income taxes is based on the estimated annual effective tax rate, which represents a blend of federal, state and foreign taxes and includes the impact of certain nondeductible items. The decrease in the effective tax rate, in the three months ended June 30, 2025 as compared to the same period in 2024, was primarily due to a release of valuation allowance related to realized capital gains. The decrease in the effective tax rate, in the six months ended June 30, 2025 as compared to the same period in 2024, was primarily due to an increase in excess tax benefits related to stock-based compensation and a release of valuation allowance related to realized capital gains.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2"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1748790"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9280" w:val="left"/>
        </w:tabs>
        <w:rPr>
          <w:sz w:val="20"/>
          <w:szCs w:val="20"/>
          <w:color w:val="auto"/>
        </w:rPr>
      </w:pPr>
      <w:r>
        <w:rPr>
          <w:rFonts w:ascii="Arial" w:cs="Arial" w:eastAsia="Arial" w:hAnsi="Arial"/>
          <w:sz w:val="16"/>
          <w:szCs w:val="16"/>
          <w:b w:val="1"/>
          <w:bCs w:val="1"/>
          <w:color w:val="auto"/>
        </w:rPr>
        <w:t>Investor Update</w:t>
      </w:r>
      <w:r>
        <w:rPr>
          <w:rFonts w:ascii="Arial" w:cs="Arial" w:eastAsia="Arial" w:hAnsi="Arial"/>
          <w:sz w:val="21"/>
          <w:szCs w:val="21"/>
          <w:b w:val="1"/>
          <w:bCs w:val="1"/>
          <w:color w:val="auto"/>
          <w:vertAlign w:val="superscript"/>
        </w:rPr>
        <w:t>1</w:t>
      </w:r>
      <w:r>
        <w:rPr>
          <w:sz w:val="20"/>
          <w:szCs w:val="20"/>
          <w:color w:val="auto"/>
        </w:rPr>
        <w:tab/>
      </w:r>
      <w:r>
        <w:rPr>
          <w:rFonts w:ascii="Arial" w:cs="Arial" w:eastAsia="Arial" w:hAnsi="Arial"/>
          <w:sz w:val="16"/>
          <w:szCs w:val="16"/>
          <w:b w:val="1"/>
          <w:bCs w:val="1"/>
          <w:color w:val="auto"/>
        </w:rPr>
        <w:t>Issue Date: July 16, 2025</w:t>
      </w:r>
    </w:p>
    <w:p>
      <w:pPr>
        <w:spacing w:after="0" w:line="24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This Investor Update provides guidance and certain other forward-looking statements about United Airlines Holdings, Inc. (the "Company"). The information in this Investor Update contains the preliminary financial and operational outlook for the Company for third-quarter and full-year 2025, among other items.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840" w:type="dxa"/>
            <w:vAlign w:val="bottom"/>
            <w:gridSpan w:val="2"/>
          </w:tcPr>
          <w:p>
            <w:pPr>
              <w:ind w:left="680"/>
              <w:spacing w:after="0"/>
              <w:rPr>
                <w:sz w:val="20"/>
                <w:szCs w:val="20"/>
                <w:color w:val="auto"/>
              </w:rPr>
            </w:pPr>
            <w:r>
              <w:rPr>
                <w:rFonts w:ascii="Arial" w:cs="Arial" w:eastAsia="Arial" w:hAnsi="Arial"/>
                <w:sz w:val="16"/>
                <w:szCs w:val="16"/>
                <w:b w:val="1"/>
                <w:bCs w:val="1"/>
                <w:color w:val="auto"/>
              </w:rPr>
              <w:t>Estimated</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9"/>
              </w:rPr>
              <w:t>Estimated</w:t>
            </w:r>
          </w:p>
        </w:tc>
      </w:tr>
      <w:tr>
        <w:trPr>
          <w:trHeight w:val="216"/>
        </w:trPr>
        <w:tc>
          <w:tcPr>
            <w:tcW w:w="6060" w:type="dxa"/>
            <w:vAlign w:val="bottom"/>
          </w:tcPr>
          <w:p>
            <w:pPr>
              <w:spacing w:after="0"/>
              <w:rPr>
                <w:sz w:val="18"/>
                <w:szCs w:val="18"/>
                <w:color w:val="auto"/>
              </w:rPr>
            </w:pPr>
          </w:p>
        </w:tc>
        <w:tc>
          <w:tcPr>
            <w:tcW w:w="284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rPr>
              <w:t>3Q 2025</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FY 2025</w:t>
            </w:r>
          </w:p>
        </w:tc>
      </w:tr>
      <w:tr>
        <w:trPr>
          <w:trHeight w:val="223"/>
        </w:trPr>
        <w:tc>
          <w:tcPr>
            <w:tcW w:w="6060" w:type="dxa"/>
            <w:vAlign w:val="bottom"/>
            <w:tcBorders>
              <w:top w:val="single" w:sz="8" w:color="CCEEFF"/>
            </w:tcBorders>
            <w:shd w:val="clear" w:color="auto" w:fill="CCEEFF"/>
          </w:tcPr>
          <w:p>
            <w:pPr>
              <w:ind w:left="40"/>
              <w:spacing w:after="0" w:line="223"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2</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$2.25 - $2.75</w:t>
            </w:r>
          </w:p>
        </w:tc>
        <w:tc>
          <w:tcPr>
            <w:tcW w:w="6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$9.00 - $11.00</w:t>
            </w:r>
          </w:p>
        </w:tc>
      </w:tr>
      <w:tr>
        <w:trPr>
          <w:trHeight w:val="285"/>
        </w:trPr>
        <w:tc>
          <w:tcPr>
            <w:tcW w:w="6060" w:type="dxa"/>
            <w:vAlign w:val="bottom"/>
          </w:tcPr>
          <w:p>
            <w:pPr>
              <w:ind w:left="40"/>
              <w:spacing w:after="0"/>
              <w:rPr>
                <w:sz w:val="20"/>
                <w:szCs w:val="20"/>
                <w:color w:val="auto"/>
              </w:rPr>
            </w:pPr>
            <w:r>
              <w:rPr>
                <w:rFonts w:ascii="Arial" w:cs="Arial" w:eastAsia="Arial" w:hAnsi="Arial"/>
                <w:sz w:val="16"/>
                <w:szCs w:val="16"/>
                <w:color w:val="auto"/>
              </w:rPr>
              <w:t>Adjusted total capital expenditures (in billions)</w:t>
            </w:r>
            <w:r>
              <w:rPr>
                <w:rFonts w:ascii="Arial" w:cs="Arial" w:eastAsia="Arial" w:hAnsi="Arial"/>
                <w:sz w:val="21"/>
                <w:szCs w:val="21"/>
                <w:color w:val="auto"/>
                <w:vertAlign w:val="superscript"/>
              </w:rPr>
              <w:t>3</w:t>
            </w:r>
          </w:p>
        </w:tc>
        <w:tc>
          <w:tcPr>
            <w:tcW w:w="2180" w:type="dxa"/>
            <w:vAlign w:val="bottom"/>
          </w:tcPr>
          <w:p>
            <w:pPr>
              <w:jc w:val="center"/>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&lt;$6.5B</w:t>
            </w: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Supplemental Information:</w:t>
      </w:r>
    </w:p>
    <w:p>
      <w:pPr>
        <w:spacing w:after="0" w:line="26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 May 2025, the Company experienced an event at Newark Airport (“EWR”) that drove extensive negative news coverage that drove customer bookaway. EWR currently accounts for over 20% of the Company’s capacity as measured by available seat miles. The financial impact for 2Q25 from the EWR event and expected financial impact for 3Q25 and 4Q25 are estimated below. To date, booking volumes in EWR have recovered to normalized levels in the month of July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Estimated financial impact:</w:t>
            </w:r>
          </w:p>
        </w:tc>
        <w:tc>
          <w:tcPr>
            <w:tcW w:w="2600" w:type="dxa"/>
            <w:vAlign w:val="bottom"/>
            <w:gridSpan w:val="2"/>
            <w:vMerge w:val="restart"/>
          </w:tcPr>
          <w:p>
            <w:pPr>
              <w:jc w:val="center"/>
              <w:ind w:right="860"/>
              <w:spacing w:after="0"/>
              <w:rPr>
                <w:sz w:val="20"/>
                <w:szCs w:val="20"/>
                <w:color w:val="auto"/>
              </w:rPr>
            </w:pPr>
            <w:r>
              <w:rPr>
                <w:rFonts w:ascii="Arial" w:cs="Arial" w:eastAsia="Arial" w:hAnsi="Arial"/>
                <w:sz w:val="16"/>
                <w:szCs w:val="16"/>
                <w:b w:val="1"/>
                <w:bCs w:val="1"/>
                <w:color w:val="auto"/>
              </w:rPr>
              <w:t>2Q 2025</w:t>
            </w:r>
          </w:p>
        </w:tc>
        <w:tc>
          <w:tcPr>
            <w:tcW w:w="2580" w:type="dxa"/>
            <w:vAlign w:val="bottom"/>
            <w:gridSpan w:val="2"/>
            <w:vMerge w:val="restart"/>
          </w:tcPr>
          <w:p>
            <w:pPr>
              <w:jc w:val="center"/>
              <w:ind w:right="880"/>
              <w:spacing w:after="0"/>
              <w:rPr>
                <w:sz w:val="20"/>
                <w:szCs w:val="20"/>
                <w:color w:val="auto"/>
              </w:rPr>
            </w:pPr>
            <w:r>
              <w:rPr>
                <w:rFonts w:ascii="Arial" w:cs="Arial" w:eastAsia="Arial" w:hAnsi="Arial"/>
                <w:sz w:val="16"/>
                <w:szCs w:val="16"/>
                <w:b w:val="1"/>
                <w:bCs w:val="1"/>
                <w:color w:val="auto"/>
              </w:rPr>
              <w:t>3Q 2025</w:t>
            </w: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4Q 2025</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2600" w:type="dxa"/>
            <w:vAlign w:val="bottom"/>
            <w:gridSpan w:val="2"/>
          </w:tcPr>
          <w:p>
            <w:pPr>
              <w:jc w:val="center"/>
              <w:ind w:right="880"/>
              <w:spacing w:after="0" w:line="162" w:lineRule="exact"/>
              <w:rPr>
                <w:sz w:val="20"/>
                <w:szCs w:val="20"/>
                <w:color w:val="auto"/>
              </w:rPr>
            </w:pPr>
            <w:r>
              <w:rPr>
                <w:rFonts w:ascii="Arial" w:cs="Arial" w:eastAsia="Arial" w:hAnsi="Arial"/>
                <w:sz w:val="16"/>
                <w:szCs w:val="16"/>
                <w:b w:val="1"/>
                <w:bCs w:val="1"/>
                <w:color w:val="auto"/>
              </w:rPr>
              <w:t>Estimated EWR</w:t>
            </w:r>
          </w:p>
        </w:tc>
        <w:tc>
          <w:tcPr>
            <w:tcW w:w="2580" w:type="dxa"/>
            <w:vAlign w:val="bottom"/>
            <w:gridSpan w:val="2"/>
          </w:tcPr>
          <w:p>
            <w:pPr>
              <w:jc w:val="center"/>
              <w:ind w:right="860"/>
              <w:spacing w:after="0" w:line="162" w:lineRule="exact"/>
              <w:rPr>
                <w:sz w:val="20"/>
                <w:szCs w:val="20"/>
                <w:color w:val="auto"/>
              </w:rPr>
            </w:pPr>
            <w:r>
              <w:rPr>
                <w:rFonts w:ascii="Arial" w:cs="Arial" w:eastAsia="Arial" w:hAnsi="Arial"/>
                <w:sz w:val="16"/>
                <w:szCs w:val="16"/>
                <w:b w:val="1"/>
                <w:bCs w:val="1"/>
                <w:color w:val="auto"/>
              </w:rPr>
              <w:t>Estimated EWR</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Estimated EWR</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600" w:type="dxa"/>
            <w:vAlign w:val="bottom"/>
            <w:gridSpan w:val="2"/>
          </w:tcPr>
          <w:p>
            <w:pPr>
              <w:jc w:val="center"/>
              <w:ind w:right="880"/>
              <w:spacing w:after="0"/>
              <w:rPr>
                <w:sz w:val="20"/>
                <w:szCs w:val="20"/>
                <w:color w:val="auto"/>
              </w:rPr>
            </w:pPr>
            <w:r>
              <w:rPr>
                <w:rFonts w:ascii="Arial" w:cs="Arial" w:eastAsia="Arial" w:hAnsi="Arial"/>
                <w:sz w:val="16"/>
                <w:szCs w:val="16"/>
                <w:b w:val="1"/>
                <w:bCs w:val="1"/>
                <w:color w:val="auto"/>
              </w:rPr>
              <w:t>Impact</w:t>
            </w:r>
          </w:p>
        </w:tc>
        <w:tc>
          <w:tcPr>
            <w:tcW w:w="258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rPr>
              <w:t>Impact</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Impact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pre-tax margin</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(points)</w:t>
            </w:r>
          </w:p>
        </w:tc>
        <w:tc>
          <w:tcPr>
            <w:tcW w:w="17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~1.2</w:t>
            </w:r>
          </w:p>
        </w:tc>
        <w:tc>
          <w:tcPr>
            <w:tcW w:w="8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~0.9</w:t>
            </w:r>
          </w:p>
        </w:tc>
        <w:tc>
          <w:tcPr>
            <w:tcW w:w="8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35" w:lineRule="exact"/>
        <w:rPr>
          <w:sz w:val="20"/>
          <w:szCs w:val="20"/>
          <w:color w:val="auto"/>
        </w:rPr>
      </w:pPr>
    </w:p>
    <w:p>
      <w:pPr>
        <w:ind w:right="140" w:firstLine="8"/>
        <w:spacing w:after="0" w:line="244" w:lineRule="auto"/>
        <w:tabs>
          <w:tab w:leader="none" w:pos="92" w:val="left"/>
        </w:tabs>
        <w:numPr>
          <w:ilvl w:val="0"/>
          <w:numId w:val="18"/>
        </w:numPr>
        <w:rPr>
          <w:rFonts w:ascii="Arial" w:cs="Arial" w:eastAsia="Arial" w:hAnsi="Arial"/>
          <w:sz w:val="9"/>
          <w:szCs w:val="9"/>
          <w:color w:val="auto"/>
        </w:rPr>
      </w:pPr>
      <w:r>
        <w:rPr>
          <w:rFonts w:ascii="Arial" w:cs="Arial" w:eastAsia="Arial" w:hAnsi="Arial"/>
          <w:sz w:val="14"/>
          <w:szCs w:val="14"/>
          <w:color w:val="auto"/>
        </w:rPr>
        <w:t>The guidance provided in this Investor Update reflects our current expectations and assumptions and our actual results and timing may vary materially based on various factors that include, but are not limited to, those discussed below under "Cautionary Statement Regarding Forward-Looking Statements" and in Part I, Item 1A. Risk Factors of the Company’s Annual Report on Form 10-K for the fiscal year ended December 31, 2024 and in “Economic and Market Factors” and “Governmental Actions” in Part I, Item 2. Management’s Discussion and Analysis of Financial Condition and Results of Operations of our Quarterly Report on Form 10-Q for the fiscal quarter ended March 31, 2025 as well as other risks and uncertainties set forth from time to time in the reports we file with the U.S. Securities and Exchange Commission (the “SEC”). The guidance is only effective as of the date given and should not be considered updated or affirmed unless and until we publicly announce updated or affirmed guidance.</w:t>
      </w:r>
    </w:p>
    <w:p>
      <w:pPr>
        <w:spacing w:after="0" w:line="3" w:lineRule="exact"/>
        <w:rPr>
          <w:rFonts w:ascii="Arial" w:cs="Arial" w:eastAsia="Arial" w:hAnsi="Arial"/>
          <w:sz w:val="9"/>
          <w:szCs w:val="9"/>
          <w:color w:val="auto"/>
        </w:rPr>
      </w:pPr>
    </w:p>
    <w:p>
      <w:pPr>
        <w:ind w:right="80"/>
        <w:spacing w:after="0" w:line="241" w:lineRule="auto"/>
        <w:rPr>
          <w:rFonts w:ascii="Arial" w:cs="Arial" w:eastAsia="Arial" w:hAnsi="Arial"/>
          <w:sz w:val="9"/>
          <w:szCs w:val="9"/>
          <w:color w:val="auto"/>
        </w:rPr>
      </w:pPr>
      <w:r>
        <w:rPr>
          <w:rFonts w:ascii="Arial" w:cs="Arial" w:eastAsia="Arial" w:hAnsi="Arial"/>
          <w:sz w:val="14"/>
          <w:szCs w:val="14"/>
          <w:color w:val="auto"/>
        </w:rPr>
        <w:t>We undertake no obligation to update our guidance. Management will also discuss certain business outlook items during its regularly scheduled quarterly earnings conference call on July 17, 2025. This Investor Update should be read in conjunction with the Company's earnings release issued in connection with this Investor Update and its filings with the SEC.</w:t>
      </w:r>
    </w:p>
    <w:p>
      <w:pPr>
        <w:spacing w:after="0" w:line="1" w:lineRule="exact"/>
        <w:rPr>
          <w:rFonts w:ascii="Arial" w:cs="Arial" w:eastAsia="Arial" w:hAnsi="Arial"/>
          <w:sz w:val="9"/>
          <w:szCs w:val="9"/>
          <w:color w:val="auto"/>
        </w:rPr>
      </w:pPr>
    </w:p>
    <w:p>
      <w:pPr>
        <w:ind w:right="40"/>
        <w:spacing w:after="0" w:line="220"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Adjusted diluted earnings per share is a non-GAAP financial measure that excludes operating and non-operating special charges, unrealized (gains) losses on investments, net, and income tax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w:t>
      </w:r>
    </w:p>
    <w:p>
      <w:pPr>
        <w:spacing w:after="0" w:line="2" w:lineRule="exact"/>
        <w:rPr>
          <w:rFonts w:ascii="Arial" w:cs="Arial" w:eastAsia="Arial" w:hAnsi="Arial"/>
          <w:sz w:val="9"/>
          <w:szCs w:val="9"/>
          <w:color w:val="auto"/>
        </w:rPr>
      </w:pPr>
    </w:p>
    <w:p>
      <w:pPr>
        <w:ind w:right="100"/>
        <w:spacing w:after="0" w:line="241"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Adjusted total capital expenditures is a non-GAAP financial measure calculated as capital expenditures, net of flight equipment purchase deposit returns, plus property and</w:t>
      </w:r>
      <w:r>
        <w:rPr>
          <w:rFonts w:ascii="Arial" w:cs="Arial" w:eastAsia="Arial" w:hAnsi="Arial"/>
          <w:sz w:val="9"/>
          <w:szCs w:val="9"/>
          <w:color w:val="auto"/>
        </w:rPr>
        <w:t xml:space="preserve"> </w:t>
      </w:r>
      <w:r>
        <w:rPr>
          <w:rFonts w:ascii="Arial" w:cs="Arial" w:eastAsia="Arial" w:hAnsi="Arial"/>
          <w:sz w:val="14"/>
          <w:szCs w:val="14"/>
          <w:color w:val="auto"/>
        </w:rPr>
        <w:t>equipment acquired through the issuance or modification of debt, finance leases, and other financial liabilities.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w:t>
      </w:r>
    </w:p>
    <w:p>
      <w:pPr>
        <w:spacing w:after="0" w:line="1" w:lineRule="exact"/>
        <w:rPr>
          <w:rFonts w:ascii="Arial" w:cs="Arial" w:eastAsia="Arial" w:hAnsi="Arial"/>
          <w:sz w:val="9"/>
          <w:szCs w:val="9"/>
          <w:color w:val="auto"/>
        </w:rPr>
      </w:pPr>
    </w:p>
    <w:p>
      <w:pPr>
        <w:ind w:right="60"/>
        <w:spacing w:after="0" w:line="232" w:lineRule="auto"/>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Adjusted pre-tax margin is calculated as pre-tax margin excluding operating and nonoperating special charges, unrealized (gains) losses on investments, net and debt extinguishment and modification fees. The Company provides adjusted pre-tax margin because we believe this measure provides investors a better understanding of the core financial performance of the Company. For the expected impact of the EWR event for 3Q 2025 and 4Q 2025, we are not providing a target for or a reconciliation to pre-tax margin, the most directly comparable GAAP measure, because we are unable to predict the excluded items noted above contained in the GAAP measure without unreasonable efforts, and therefore we also are not able to predict the probable significance of such items.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4" w:right="339" w:bottom="1440" w:gutter="0" w:footer="0" w:header="0"/>
        </w:sectPr>
      </w:pPr>
    </w:p>
    <w:bookmarkStart w:id="20" w:name="page21"/>
    <w:bookmarkEnd w:id="20"/>
    <w:p>
      <w:pPr>
        <w:spacing w:after="0" w:line="200" w:lineRule="exact"/>
        <w:rPr>
          <w:sz w:val="20"/>
          <w:szCs w:val="20"/>
          <w:color w:val="auto"/>
        </w:rPr>
      </w:pPr>
    </w:p>
    <w:p>
      <w:pPr>
        <w:spacing w:after="0" w:line="308"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b w:val="1"/>
          <w:bCs w:val="1"/>
          <w:u w:val="single" w:color="auto"/>
          <w:color w:val="auto"/>
        </w:rPr>
        <w:t>Profit Sharing:</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profit sharing plans in current labor agreements, the Company expects to accrue between $175 million and $225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2025. The accrual is based on the sum of the methodology below.</w:t>
      </w:r>
    </w:p>
    <w:p>
      <w:pPr>
        <w:spacing w:after="0" w:line="183" w:lineRule="exact"/>
        <w:rPr>
          <w:sz w:val="20"/>
          <w:szCs w:val="20"/>
          <w:color w:val="auto"/>
        </w:rPr>
      </w:pPr>
    </w:p>
    <w:p>
      <w:pPr>
        <w:ind w:left="660" w:right="440" w:hanging="328"/>
        <w:spacing w:after="0" w:line="248"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3.7% of total adjusted pre-tax earnings up to a 6.9% adjusted pre-tax margin, plus approximately 3.6% of total adjusted pre-tax earnings above a 6.9% adjusted pre-tax margin.</w:t>
      </w:r>
    </w:p>
    <w:p>
      <w:pPr>
        <w:ind w:left="660" w:right="180" w:hanging="328"/>
        <w:spacing w:after="0" w:line="237"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6.1% of total adjusted pre-tax earnings up to $2.5 billion adjusted pre-tax earnings, plus approximately 12.2% of total adjusted pre-tax earnings above $2.5 billion adjusted pre-tax earnings.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0.0% for all adjusted pre-tax earnings above the prior year’s adjusted pre-tax earnings.</w:t>
      </w:r>
    </w:p>
    <w:p>
      <w:pPr>
        <w:spacing w:after="0" w:line="23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Profit sharing adjusted pre-tax earnings is calculated as GAAP pre-tax income (loss), excluding operating and non-operating special charges and unrealized (gains) losses on investments, net, profit sharing expense and share-based compensation program expense. The Company estimates that share-based compensation expense for the purposes of the profit sharing adjusted pre-tax earnings calculation will be approximately $39 million for the third quarter of 2025.</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gridSpan w:val="4"/>
          </w:tcPr>
          <w:p>
            <w:pPr>
              <w:spacing w:after="0"/>
              <w:rPr>
                <w:sz w:val="20"/>
                <w:szCs w:val="20"/>
                <w:color w:val="auto"/>
              </w:rPr>
            </w:pPr>
            <w:r>
              <w:rPr>
                <w:rFonts w:ascii="Arial" w:cs="Arial" w:eastAsia="Arial" w:hAnsi="Arial"/>
                <w:sz w:val="16"/>
                <w:szCs w:val="16"/>
                <w:b w:val="1"/>
                <w:bCs w:val="1"/>
                <w:color w:val="auto"/>
              </w:rPr>
              <w:t xml:space="preserve">Fleet Plan: </w:t>
            </w:r>
            <w:r>
              <w:rPr>
                <w:rFonts w:ascii="Arial" w:cs="Arial" w:eastAsia="Arial" w:hAnsi="Arial"/>
                <w:sz w:val="16"/>
                <w:szCs w:val="16"/>
                <w:color w:val="auto"/>
              </w:rPr>
              <w:t>As of July 16, 2025, the Company's fleet plan was as follows:</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6"/>
        </w:trPr>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1Q 2025</w:t>
            </w: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2Q 2025</w:t>
            </w: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3Q 2025E</w:t>
            </w: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YE 2025E</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B777-200/300</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color w:val="auto"/>
              </w:rPr>
              <w:t>96</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320" w:type="dxa"/>
            <w:vAlign w:val="bottom"/>
            <w:gridSpan w:val="3"/>
          </w:tcPr>
          <w:p>
            <w:pPr>
              <w:ind w:left="20"/>
              <w:spacing w:after="0"/>
              <w:rPr>
                <w:sz w:val="20"/>
                <w:szCs w:val="20"/>
                <w:color w:val="auto"/>
              </w:rPr>
            </w:pPr>
            <w:r>
              <w:rPr>
                <w:rFonts w:ascii="Arial" w:cs="Arial" w:eastAsia="Arial" w:hAnsi="Arial"/>
                <w:sz w:val="16"/>
                <w:szCs w:val="16"/>
                <w:color w:val="auto"/>
              </w:rPr>
              <w:t>B787-8/9/10</w:t>
            </w:r>
          </w:p>
        </w:tc>
        <w:tc>
          <w:tcPr>
            <w:tcW w:w="1120" w:type="dxa"/>
            <w:vAlign w:val="bottom"/>
          </w:tcPr>
          <w:p>
            <w:pPr>
              <w:jc w:val="center"/>
              <w:ind w:right="139"/>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B767-300/400</w:t>
            </w:r>
          </w:p>
        </w:tc>
        <w:tc>
          <w:tcPr>
            <w:tcW w:w="11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320" w:type="dxa"/>
            <w:vAlign w:val="bottom"/>
            <w:gridSpan w:val="3"/>
          </w:tcPr>
          <w:p>
            <w:pPr>
              <w:ind w:left="20"/>
              <w:spacing w:after="0"/>
              <w:rPr>
                <w:sz w:val="20"/>
                <w:szCs w:val="20"/>
                <w:color w:val="auto"/>
              </w:rPr>
            </w:pPr>
            <w:r>
              <w:rPr>
                <w:rFonts w:ascii="Arial" w:cs="Arial" w:eastAsia="Arial" w:hAnsi="Arial"/>
                <w:sz w:val="16"/>
                <w:szCs w:val="16"/>
                <w:color w:val="auto"/>
              </w:rPr>
              <w:t>B757-200/300</w:t>
            </w:r>
          </w:p>
        </w:tc>
        <w:tc>
          <w:tcPr>
            <w:tcW w:w="1120" w:type="dxa"/>
            <w:vAlign w:val="bottom"/>
          </w:tcPr>
          <w:p>
            <w:pPr>
              <w:jc w:val="center"/>
              <w:ind w:right="139"/>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B737 MAX</w:t>
            </w:r>
          </w:p>
        </w:tc>
        <w:tc>
          <w:tcPr>
            <w:tcW w:w="1120" w:type="dxa"/>
            <w:vAlign w:val="bottom"/>
            <w:vMerge w:val="restart"/>
            <w:shd w:val="clear" w:color="auto" w:fill="CCEEFF"/>
          </w:tcPr>
          <w:p>
            <w:pPr>
              <w:jc w:val="center"/>
              <w:ind w:right="139"/>
              <w:spacing w:after="0"/>
              <w:rPr>
                <w:sz w:val="20"/>
                <w:szCs w:val="20"/>
                <w:color w:val="auto"/>
              </w:rPr>
            </w:pPr>
            <w:r>
              <w:rPr>
                <w:rFonts w:ascii="Arial" w:cs="Arial" w:eastAsia="Arial" w:hAnsi="Arial"/>
                <w:sz w:val="16"/>
                <w:szCs w:val="16"/>
                <w:color w:val="auto"/>
                <w:w w:val="97"/>
              </w:rPr>
              <w:t>209</w:t>
            </w:r>
          </w:p>
        </w:tc>
        <w:tc>
          <w:tcPr>
            <w:tcW w:w="140" w:type="dxa"/>
            <w:vAlign w:val="bottom"/>
            <w:shd w:val="clear" w:color="auto" w:fill="CCEEFF"/>
          </w:tcPr>
          <w:p>
            <w:pPr>
              <w:spacing w:after="0"/>
              <w:rPr>
                <w:sz w:val="22"/>
                <w:szCs w:val="22"/>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227</w:t>
            </w:r>
          </w:p>
        </w:tc>
        <w:tc>
          <w:tcPr>
            <w:tcW w:w="16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233</w:t>
            </w:r>
          </w:p>
        </w:tc>
        <w:tc>
          <w:tcPr>
            <w:tcW w:w="160" w:type="dxa"/>
            <w:vAlign w:val="bottom"/>
            <w:shd w:val="clear" w:color="auto" w:fill="CCEEFF"/>
          </w:tcPr>
          <w:p>
            <w:pPr>
              <w:spacing w:after="0"/>
              <w:rPr>
                <w:sz w:val="22"/>
                <w:szCs w:val="22"/>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69"/>
        </w:trPr>
        <w:tc>
          <w:tcPr>
            <w:tcW w:w="60" w:type="dxa"/>
            <w:vAlign w:val="bottom"/>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320" w:type="dxa"/>
            <w:vAlign w:val="bottom"/>
            <w:gridSpan w:val="3"/>
          </w:tcPr>
          <w:p>
            <w:pPr>
              <w:ind w:left="20"/>
              <w:spacing w:after="0"/>
              <w:rPr>
                <w:sz w:val="20"/>
                <w:szCs w:val="20"/>
                <w:color w:val="auto"/>
              </w:rPr>
            </w:pPr>
            <w:r>
              <w:rPr>
                <w:rFonts w:ascii="Arial" w:cs="Arial" w:eastAsia="Arial" w:hAnsi="Arial"/>
                <w:sz w:val="16"/>
                <w:szCs w:val="16"/>
                <w:color w:val="auto"/>
              </w:rPr>
              <w:t>B737-700/800/900</w:t>
            </w:r>
          </w:p>
        </w:tc>
        <w:tc>
          <w:tcPr>
            <w:tcW w:w="1120" w:type="dxa"/>
            <w:vAlign w:val="bottom"/>
          </w:tcPr>
          <w:p>
            <w:pPr>
              <w:jc w:val="center"/>
              <w:ind w:right="139"/>
              <w:spacing w:after="0"/>
              <w:rPr>
                <w:sz w:val="20"/>
                <w:szCs w:val="20"/>
                <w:color w:val="auto"/>
              </w:rPr>
            </w:pPr>
            <w:r>
              <w:rPr>
                <w:rFonts w:ascii="Arial" w:cs="Arial" w:eastAsia="Arial" w:hAnsi="Arial"/>
                <w:sz w:val="16"/>
                <w:szCs w:val="16"/>
                <w:color w:val="auto"/>
                <w:w w:val="97"/>
              </w:rPr>
              <w:t>329</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329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329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A319/A320</w:t>
            </w:r>
          </w:p>
        </w:tc>
        <w:tc>
          <w:tcPr>
            <w:tcW w:w="11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7"/>
              </w:rPr>
              <w:t>159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157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154</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320" w:type="dxa"/>
            <w:vAlign w:val="bottom"/>
            <w:gridSpan w:val="3"/>
          </w:tcPr>
          <w:p>
            <w:pPr>
              <w:ind w:left="20"/>
              <w:spacing w:after="0"/>
              <w:rPr>
                <w:sz w:val="20"/>
                <w:szCs w:val="20"/>
                <w:color w:val="auto"/>
              </w:rPr>
            </w:pPr>
            <w:r>
              <w:rPr>
                <w:rFonts w:ascii="Arial" w:cs="Arial" w:eastAsia="Arial" w:hAnsi="Arial"/>
                <w:sz w:val="16"/>
                <w:szCs w:val="16"/>
                <w:color w:val="auto"/>
              </w:rPr>
              <w:t>A321neo/XLR</w:t>
            </w:r>
          </w:p>
        </w:tc>
        <w:tc>
          <w:tcPr>
            <w:tcW w:w="1120" w:type="dxa"/>
            <w:vAlign w:val="bottom"/>
          </w:tcPr>
          <w:p>
            <w:pPr>
              <w:jc w:val="center"/>
              <w:ind w:right="139"/>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Mainline Aircraft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center"/>
              <w:ind w:right="159"/>
              <w:spacing w:after="0"/>
              <w:rPr>
                <w:sz w:val="20"/>
                <w:szCs w:val="20"/>
                <w:color w:val="auto"/>
              </w:rPr>
            </w:pPr>
            <w:r>
              <w:rPr>
                <w:rFonts w:ascii="Arial" w:cs="Arial" w:eastAsia="Arial" w:hAnsi="Arial"/>
                <w:sz w:val="16"/>
                <w:szCs w:val="16"/>
                <w:b w:val="1"/>
                <w:bCs w:val="1"/>
                <w:color w:val="auto"/>
                <w:w w:val="99"/>
              </w:rPr>
              <w:t>1,018</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1,039</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1,054</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1,058</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50-seat (ERJ145XR, CRJ550, CRJ200)</w:t>
            </w:r>
          </w:p>
        </w:tc>
        <w:tc>
          <w:tcPr>
            <w:tcW w:w="11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7"/>
              </w:rPr>
              <w:t>169</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179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320" w:type="dxa"/>
            <w:vAlign w:val="bottom"/>
            <w:gridSpan w:val="3"/>
          </w:tcPr>
          <w:p>
            <w:pPr>
              <w:ind w:left="20"/>
              <w:spacing w:after="0"/>
              <w:rPr>
                <w:sz w:val="20"/>
                <w:szCs w:val="20"/>
                <w:color w:val="auto"/>
              </w:rPr>
            </w:pPr>
            <w:r>
              <w:rPr>
                <w:rFonts w:ascii="Arial" w:cs="Arial" w:eastAsia="Arial" w:hAnsi="Arial"/>
                <w:sz w:val="16"/>
                <w:szCs w:val="16"/>
                <w:color w:val="auto"/>
              </w:rPr>
              <w:t>70/76-seat (E175, E170, CRJ700)</w:t>
            </w:r>
          </w:p>
        </w:tc>
        <w:tc>
          <w:tcPr>
            <w:tcW w:w="1120" w:type="dxa"/>
            <w:vAlign w:val="bottom"/>
          </w:tcPr>
          <w:p>
            <w:pPr>
              <w:jc w:val="center"/>
              <w:ind w:right="139"/>
              <w:spacing w:after="0"/>
              <w:rPr>
                <w:sz w:val="20"/>
                <w:szCs w:val="20"/>
                <w:color w:val="auto"/>
              </w:rPr>
            </w:pPr>
            <w:r>
              <w:rPr>
                <w:rFonts w:ascii="Arial" w:cs="Arial" w:eastAsia="Arial" w:hAnsi="Arial"/>
                <w:sz w:val="16"/>
                <w:szCs w:val="16"/>
                <w:color w:val="auto"/>
                <w:w w:val="97"/>
              </w:rPr>
              <w:t>255</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255</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255</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Regional Aircraft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7"/>
              </w:rPr>
              <w:t>424</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434</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435</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429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 Above figures correspond with current expectations for future delivery dates, which are subject to change.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Information:</w:t>
      </w:r>
    </w:p>
    <w:p>
      <w:pPr>
        <w:spacing w:after="0" w:line="167"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The below reconciliation is pre-tax income for the three months ended June 30, 2025, adjusted for the estimated financial impact of the EWR event (in millions, except pre-tax margin and adjusted pre-tax margin):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Estimated</w:t>
            </w:r>
          </w:p>
        </w:tc>
        <w:tc>
          <w:tcPr>
            <w:tcW w:w="200" w:type="dxa"/>
            <w:vAlign w:val="bottom"/>
          </w:tcPr>
          <w:p>
            <w:pPr>
              <w:spacing w:after="0"/>
              <w:rPr>
                <w:sz w:val="16"/>
                <w:szCs w:val="16"/>
                <w:color w:val="auto"/>
              </w:rPr>
            </w:pPr>
          </w:p>
        </w:tc>
        <w:tc>
          <w:tcPr>
            <w:tcW w:w="2140" w:type="dxa"/>
            <w:vAlign w:val="bottom"/>
          </w:tcPr>
          <w:p>
            <w:pPr>
              <w:jc w:val="right"/>
              <w:ind w:right="299"/>
              <w:spacing w:after="0"/>
              <w:rPr>
                <w:sz w:val="20"/>
                <w:szCs w:val="20"/>
                <w:color w:val="auto"/>
              </w:rPr>
            </w:pPr>
            <w:r>
              <w:rPr>
                <w:rFonts w:ascii="Arial" w:cs="Arial" w:eastAsia="Arial" w:hAnsi="Arial"/>
                <w:sz w:val="16"/>
                <w:szCs w:val="16"/>
                <w:b w:val="1"/>
                <w:bCs w:val="1"/>
                <w:color w:val="auto"/>
              </w:rPr>
              <w:t>Adjusted to Exclude</w:t>
            </w: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(Including EWR Impact)</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EWR Impact</w:t>
            </w:r>
          </w:p>
        </w:tc>
        <w:tc>
          <w:tcPr>
            <w:tcW w:w="200" w:type="dxa"/>
            <w:vAlign w:val="bottom"/>
          </w:tcPr>
          <w:p>
            <w:pPr>
              <w:spacing w:after="0"/>
              <w:rPr>
                <w:sz w:val="18"/>
                <w:szCs w:val="18"/>
                <w:color w:val="auto"/>
              </w:rPr>
            </w:pPr>
          </w:p>
        </w:tc>
        <w:tc>
          <w:tcPr>
            <w:tcW w:w="2140" w:type="dxa"/>
            <w:vAlign w:val="bottom"/>
          </w:tcPr>
          <w:p>
            <w:pPr>
              <w:jc w:val="right"/>
              <w:ind w:right="199"/>
              <w:spacing w:after="0"/>
              <w:rPr>
                <w:sz w:val="20"/>
                <w:szCs w:val="20"/>
                <w:color w:val="auto"/>
              </w:rPr>
            </w:pPr>
            <w:r>
              <w:rPr>
                <w:rFonts w:ascii="Arial" w:cs="Arial" w:eastAsia="Arial" w:hAnsi="Arial"/>
                <w:sz w:val="16"/>
                <w:szCs w:val="16"/>
                <w:b w:val="1"/>
                <w:bCs w:val="1"/>
                <w:color w:val="auto"/>
              </w:rPr>
              <w:t>Estimated EWR Impact</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Pre-tax income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1,248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1,466</w:t>
            </w: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auto"/>
              </w:rPr>
              <w:t>Adjusted to exclude:</w:t>
            </w: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7"/>
        </w:trPr>
        <w:tc>
          <w:tcPr>
            <w:tcW w:w="5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Special charges</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447</w:t>
            </w:r>
          </w:p>
        </w:tc>
      </w:tr>
      <w:tr>
        <w:trPr>
          <w:trHeight w:val="215"/>
        </w:trPr>
        <w:tc>
          <w:tcPr>
            <w:tcW w:w="5160" w:type="dxa"/>
            <w:vAlign w:val="bottom"/>
          </w:tcPr>
          <w:p>
            <w:pPr>
              <w:ind w:left="260"/>
              <w:spacing w:after="0"/>
              <w:rPr>
                <w:sz w:val="20"/>
                <w:szCs w:val="20"/>
                <w:color w:val="auto"/>
              </w:rPr>
            </w:pPr>
            <w:r>
              <w:rPr>
                <w:rFonts w:ascii="Arial" w:cs="Arial" w:eastAsia="Arial" w:hAnsi="Arial"/>
                <w:sz w:val="16"/>
                <w:szCs w:val="16"/>
                <w:color w:val="auto"/>
              </w:rPr>
              <w:t>Unrealized (gains) losses on investments, net</w:t>
            </w:r>
          </w:p>
        </w:tc>
        <w:tc>
          <w:tcPr>
            <w:tcW w:w="160" w:type="dxa"/>
            <w:vAlign w:val="bottom"/>
          </w:tcPr>
          <w:p>
            <w:pPr>
              <w:spacing w:after="0"/>
              <w:rPr>
                <w:sz w:val="18"/>
                <w:szCs w:val="18"/>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color w:val="auto"/>
              </w:rPr>
              <w:t>(26)</w:t>
            </w:r>
          </w:p>
        </w:tc>
      </w:tr>
      <w:tr>
        <w:trPr>
          <w:trHeight w:val="23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pre-tax income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1,670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i w:val="1"/>
                <w:iCs w:val="1"/>
                <w:color w:val="auto"/>
              </w:rPr>
              <w:t>Pre-tax margin (GAAP)</w:t>
            </w:r>
          </w:p>
        </w:tc>
        <w:tc>
          <w:tcPr>
            <w:tcW w:w="1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i w:val="1"/>
                <w:iCs w:val="1"/>
                <w:color w:val="auto"/>
              </w:rPr>
              <w:t>8.2 %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i w:val="1"/>
                <w:iCs w:val="1"/>
                <w:color w:val="auto"/>
              </w:rPr>
              <w:t>1.3 %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i w:val="1"/>
                <w:iCs w:val="1"/>
                <w:color w:val="auto"/>
              </w:rPr>
              <w:t>9.5 %</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pre-tax margin (Non-GAAP)</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11.0 %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12.2 %</w:t>
            </w:r>
          </w:p>
        </w:tc>
      </w:tr>
      <w:tr>
        <w:trPr>
          <w:trHeight w:val="849"/>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169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220"/>
          </w:cols>
          <w:pgMar w:left="320" w:top="1440"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This Investor Update contains certain "forward-looking statements," within the meaning of Section 27A of the Securities Act of 1933, as amended, and Section 21E of the Securities Exchange Act of 1934, as amended, relating to, among other things, the Company’s anticipated financial results and guidance, profit sharing accruals and share-based compensation expense, and fleet plans.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Investor Update are based upon information available to the Company on the date of this Investor Update. The Company undertakes no obligation to publicly update or revise any forward-looking statement, whether as a result of new information, future events, changed circumstances or otherwise, except as required by applicable law or regulation.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suspension of our overflying in Russian airspace as a result of the Russia-Ukraine military conflict and interruptions of our flying as a result of the military conflicts in the Middle East, as well as any escalation of the broader economic consequences of any conflicts beyond their current scope or a delay in any planned resumption of service to area impacted by a conflict);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common stock and certain warrants exercisable for common stock; and other risks and uncertainties set forth in Part I, Item 1A. Risk Factors of our Annual Report on Form 10-K for the fiscal year ended December 31, 2024, and under "Economic and Market Factors" and "Governmental Actions" in Part I, Item 2. Management's Discussion and Analysis of Financial Condition and Results of Operations of our Quarterly Report on Form 10-Q for the quarter ended March 31, 2025, as well as other risks and uncertainties set forth from time to time in the reports we file with the SEC.</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Information and Financial Guidance</w:t>
      </w:r>
    </w:p>
    <w:p>
      <w:pPr>
        <w:spacing w:after="0" w:line="3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Company refers to financial measures that are not in accordance with GAAP. The non-GAAP financial measures are provided as supplemental information to the financial measures presented in this Investor Update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922" w:right="35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6"/>
          <w:szCs w:val="16"/>
          <w:color w:val="auto"/>
        </w:rPr>
        <w:t>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w:t>
      </w:r>
    </w:p>
    <w:sectPr>
      <w:pgSz w:w="11900" w:h="16838" w:orient="portrait"/>
      <w:cols w:equalWidth="0" w:num="1">
        <w:col w:w="11060"/>
      </w:cols>
      <w:pgMar w:left="320" w:top="90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872"/>
    </w:lvl>
  </w:abstractNum>
  <w:abstractNum w:abstractNumId="1">
    <w:nsid w:val="216231B"/>
    <w:multiLevelType w:val="hybridMultilevel"/>
    <w:lvl w:ilvl="0">
      <w:lvlJc w:val="left"/>
      <w:lvlText w:val="(%1)"/>
      <w:numFmt w:val="decimal"/>
      <w:start w:val="872"/>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4"/>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bullet"/>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2025-07-16T15:06:44Z</dcterms:created>
  <dcterms:modified xsi:type="dcterms:W3CDTF">2025-07-16T15:06:44Z</dcterms:modified>
</cp:coreProperties>
</file>