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ind w:left="29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CONTINENTAL AIRLINES,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CLASS A COMMON STOCK</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210795209</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960"/>
        <w:spacing w:after="0"/>
        <w:tabs>
          <w:tab w:leader="none" w:pos="4200" w:val="left"/>
          <w:tab w:leader="none" w:pos="4720" w:val="left"/>
        </w:tabs>
        <w:rPr>
          <w:sz w:val="20"/>
          <w:szCs w:val="20"/>
          <w:color w:val="auto"/>
        </w:rPr>
      </w:pPr>
      <w:r>
        <w:rPr>
          <w:rFonts w:ascii="Courier New" w:cs="Courier New" w:eastAsia="Courier New" w:hAnsi="Courier New"/>
          <w:sz w:val="18"/>
          <w:szCs w:val="18"/>
          <w:color w:val="auto"/>
        </w:rPr>
        <w:t>Page 1 of</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320"/>
        <w:spacing w:after="0"/>
        <w:tabs>
          <w:tab w:leader="none" w:pos="840" w:val="left"/>
          <w:tab w:leader="none" w:pos="1980" w:val="left"/>
          <w:tab w:leader="none" w:pos="4520" w:val="left"/>
          <w:tab w:leader="none" w:pos="5260" w:val="left"/>
          <w:tab w:leader="none" w:pos="5780" w:val="left"/>
          <w:tab w:leader="none" w:pos="6300" w:val="left"/>
          <w:tab w:leader="none" w:pos="6840" w:val="left"/>
        </w:tabs>
        <w:rPr>
          <w:sz w:val="20"/>
          <w:szCs w:val="20"/>
          <w:color w:val="auto"/>
        </w:rPr>
      </w:pPr>
      <w:r>
        <w:rPr>
          <w:rFonts w:ascii="Courier New" w:cs="Courier New" w:eastAsia="Courier New" w:hAnsi="Courier New"/>
          <w:sz w:val="18"/>
          <w:szCs w:val="18"/>
          <w:color w:val="auto"/>
        </w:rPr>
        <w:t>13G</w:t>
        <w:tab/>
        <w:t>CUSIP No.</w:t>
        <w:tab/>
        <w:t>210795209</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tab/>
        <w:t>6</w:t>
      </w:r>
      <w:r>
        <w:rPr>
          <w:sz w:val="20"/>
          <w:szCs w:val="20"/>
          <w:color w:val="auto"/>
        </w:rPr>
        <w:tab/>
      </w:r>
      <w:r>
        <w:rPr>
          <w:rFonts w:ascii="Courier New" w:cs="Courier New" w:eastAsia="Courier New" w:hAnsi="Courier New"/>
          <w:sz w:val="16"/>
          <w:szCs w:val="16"/>
          <w:color w:val="auto"/>
        </w:rPr>
        <w:t>Pages</w:t>
      </w:r>
    </w:p>
    <w:p>
      <w:pPr>
        <w:spacing w:after="0" w:line="200" w:lineRule="exact"/>
        <w:rPr>
          <w:sz w:val="24"/>
          <w:szCs w:val="24"/>
          <w:color w:val="auto"/>
        </w:rPr>
      </w:pPr>
    </w:p>
    <w:p>
      <w:pPr>
        <w:spacing w:after="0" w:line="204" w:lineRule="exact"/>
        <w:rPr>
          <w:sz w:val="24"/>
          <w:szCs w:val="24"/>
          <w:color w:val="auto"/>
        </w:rPr>
      </w:pPr>
    </w:p>
    <w:p>
      <w:pPr>
        <w:ind w:left="740" w:hanging="416"/>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AMERICAN GENERAL CORPORATION</w:t>
      </w:r>
    </w:p>
    <w:p>
      <w:pPr>
        <w:ind w:left="740"/>
        <w:spacing w:after="0" w:line="238" w:lineRule="auto"/>
        <w:rPr>
          <w:sz w:val="20"/>
          <w:szCs w:val="20"/>
          <w:color w:val="auto"/>
        </w:rPr>
      </w:pPr>
      <w:r>
        <w:rPr>
          <w:rFonts w:ascii="Courier New" w:cs="Courier New" w:eastAsia="Courier New" w:hAnsi="Courier New"/>
          <w:sz w:val="18"/>
          <w:szCs w:val="18"/>
          <w:color w:val="auto"/>
        </w:rPr>
        <w:t>IRS #74-0483432</w:t>
      </w:r>
    </w:p>
    <w:p>
      <w:pPr>
        <w:spacing w:after="0" w:line="202" w:lineRule="exact"/>
        <w:rPr>
          <w:sz w:val="24"/>
          <w:szCs w:val="24"/>
          <w:color w:val="auto"/>
        </w:rPr>
      </w:pPr>
    </w:p>
    <w:p>
      <w:pPr>
        <w:ind w:left="320"/>
        <w:spacing w:after="0"/>
        <w:tabs>
          <w:tab w:leader="none" w:pos="720" w:val="left"/>
          <w:tab w:leader="none" w:pos="76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w:t>
      </w:r>
    </w:p>
    <w:p>
      <w:pPr>
        <w:spacing w:after="0" w:line="200" w:lineRule="exact"/>
        <w:rPr>
          <w:sz w:val="24"/>
          <w:szCs w:val="24"/>
          <w:color w:val="auto"/>
        </w:rPr>
      </w:pPr>
    </w:p>
    <w:p>
      <w:pPr>
        <w:spacing w:after="0" w:line="204" w:lineRule="exact"/>
        <w:rPr>
          <w:sz w:val="24"/>
          <w:szCs w:val="24"/>
          <w:color w:val="auto"/>
        </w:rPr>
      </w:pPr>
    </w:p>
    <w:p>
      <w:pPr>
        <w:ind w:left="770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ind w:left="740" w:right="5679" w:hanging="416"/>
        <w:spacing w:after="0" w:line="470"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Texas</w:t>
      </w:r>
    </w:p>
    <w:p>
      <w:pPr>
        <w:sectPr>
          <w:pgSz w:w="11900" w:h="17023" w:orient="portrait"/>
          <w:cols w:equalWidth="0" w:num="1">
            <w:col w:w="10219"/>
          </w:cols>
          <w:pgMar w:left="240" w:top="1440"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862,083 (1)(2)</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740" w:type="dxa"/>
            <w:vAlign w:val="bottom"/>
          </w:tcPr>
          <w:p>
            <w:pPr>
              <w:spacing w:after="0"/>
              <w:rPr>
                <w:sz w:val="17"/>
                <w:szCs w:val="17"/>
                <w:color w:val="auto"/>
              </w:rPr>
            </w:pPr>
          </w:p>
        </w:tc>
      </w:tr>
    </w:tbl>
    <w:p>
      <w:pPr>
        <w:spacing w:after="0" w:line="201" w:lineRule="exact"/>
        <w:rPr>
          <w:sz w:val="20"/>
          <w:szCs w:val="20"/>
          <w:color w:val="auto"/>
        </w:rPr>
      </w:pPr>
    </w:p>
    <w:p>
      <w:pPr>
        <w:ind w:left="2432"/>
        <w:spacing w:after="0"/>
        <w:rPr>
          <w:sz w:val="20"/>
          <w:szCs w:val="20"/>
          <w:color w:val="auto"/>
        </w:rPr>
      </w:pPr>
      <w:r>
        <w:rPr>
          <w:rFonts w:ascii="Courier New" w:cs="Courier New" w:eastAsia="Courier New" w:hAnsi="Courier New"/>
          <w:sz w:val="18"/>
          <w:szCs w:val="18"/>
          <w:color w:val="auto"/>
        </w:rPr>
        <w:t>862,083 (1)(2)</w:t>
      </w:r>
    </w:p>
    <w:p>
      <w:pPr>
        <w:ind w:left="732" w:hanging="416"/>
        <w:spacing w:after="0" w:line="238" w:lineRule="auto"/>
        <w:tabs>
          <w:tab w:leader="none" w:pos="7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862,083 (1)(2)</w:t>
      </w:r>
    </w:p>
    <w:p>
      <w:pPr>
        <w:ind w:left="732" w:hanging="521"/>
        <w:spacing w:after="0" w:line="238" w:lineRule="auto"/>
        <w:tabs>
          <w:tab w:leader="none" w:pos="7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206" w:lineRule="exact"/>
        <w:rPr>
          <w:rFonts w:ascii="Courier New" w:cs="Courier New" w:eastAsia="Courier New" w:hAnsi="Courier New"/>
          <w:sz w:val="18"/>
          <w:szCs w:val="18"/>
          <w:color w:val="auto"/>
        </w:rPr>
      </w:pPr>
    </w:p>
    <w:p>
      <w:pPr>
        <w:ind w:left="732" w:right="4319" w:hanging="521"/>
        <w:spacing w:after="0" w:line="470" w:lineRule="auto"/>
        <w:tabs>
          <w:tab w:leader="none" w:pos="7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13.7%</w:t>
      </w:r>
    </w:p>
    <w:p>
      <w:pPr>
        <w:spacing w:after="0" w:line="6" w:lineRule="exact"/>
        <w:rPr>
          <w:rFonts w:ascii="Courier New" w:cs="Courier New" w:eastAsia="Courier New" w:hAnsi="Courier New"/>
          <w:sz w:val="18"/>
          <w:szCs w:val="18"/>
          <w:color w:val="auto"/>
        </w:rPr>
      </w:pPr>
    </w:p>
    <w:p>
      <w:pPr>
        <w:ind w:left="732" w:hanging="521"/>
        <w:spacing w:after="0"/>
        <w:tabs>
          <w:tab w:leader="none" w:pos="7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ind w:left="2212"/>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7" w:lineRule="exact"/>
        <w:rPr>
          <w:sz w:val="20"/>
          <w:szCs w:val="20"/>
          <w:color w:val="auto"/>
        </w:rPr>
      </w:pPr>
    </w:p>
    <w:p>
      <w:pPr>
        <w:jc w:val="both"/>
        <w:ind w:left="632" w:right="1999" w:hanging="632"/>
        <w:spacing w:after="0" w:line="272" w:lineRule="auto"/>
        <w:tabs>
          <w:tab w:leader="none" w:pos="6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774,496 of the shares reported in line items 6, 8 and 9 represent the reporting person's proportionate interest in the Continental Airlines, Inc. ("Continental") securities beneficially owned by Air Partners, L.P. ("Air Partners"), a Texas limited partnership of which American General Corporation ("American General") is a limited partner. American General disclaims beneficial ownership of the Continental securities</w:t>
      </w:r>
    </w:p>
    <w:p>
      <w:pPr>
        <w:sectPr>
          <w:pgSz w:w="11900" w:h="16838" w:orient="portrait"/>
          <w:cols w:equalWidth="0" w:num="1">
            <w:col w:w="10211"/>
          </w:cols>
          <w:pgMar w:left="248" w:top="339" w:right="1440" w:bottom="1440" w:gutter="0" w:footer="0" w:header="0"/>
        </w:sectPr>
      </w:pPr>
    </w:p>
    <w:bookmarkStart w:id="2" w:name="page3"/>
    <w:bookmarkEnd w:id="2"/>
    <w:p>
      <w:pPr>
        <w:ind w:left="632" w:right="1999"/>
        <w:spacing w:after="0" w:line="235" w:lineRule="auto"/>
        <w:rPr>
          <w:sz w:val="20"/>
          <w:szCs w:val="20"/>
          <w:color w:val="auto"/>
        </w:rPr>
      </w:pPr>
      <w:r>
        <w:rPr>
          <w:rFonts w:ascii="Courier New" w:cs="Courier New" w:eastAsia="Courier New" w:hAnsi="Courier New"/>
          <w:sz w:val="18"/>
          <w:szCs w:val="18"/>
          <w:color w:val="auto"/>
        </w:rPr>
        <w:t>beneficially owned by Air Partners that are not attributable to the limited partnership interest of American General in such partnership.</w:t>
      </w:r>
    </w:p>
    <w:p>
      <w:pPr>
        <w:spacing w:after="0" w:line="208" w:lineRule="exact"/>
        <w:rPr>
          <w:sz w:val="20"/>
          <w:szCs w:val="20"/>
          <w:color w:val="auto"/>
        </w:rPr>
      </w:pPr>
    </w:p>
    <w:p>
      <w:pPr>
        <w:jc w:val="both"/>
        <w:ind w:left="632" w:right="1999" w:hanging="632"/>
        <w:spacing w:after="0" w:line="237"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shares of Class A Common Stock issuable upon exercise of 276,315 Class A Common Stock Purchase Warrants beneficially owned by Air Partners and attributable to the limited partnership interest of American General in such partnership.</w:t>
      </w:r>
    </w:p>
    <w:p>
      <w:pPr>
        <w:sectPr>
          <w:pgSz w:w="11900" w:h="16838" w:orient="portrait"/>
          <w:cols w:equalWidth="0" w:num="1">
            <w:col w:w="10211"/>
          </w:cols>
          <w:pgMar w:left="248" w:top="1330" w:right="1440" w:bottom="1440" w:gutter="0" w:footer="0" w:header="0"/>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Page 4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900" w:hanging="628"/>
        <w:spacing w:after="0" w:line="238"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Continental Airlines, Inc. ("Continental")</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900" w:right="6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2929 Allen Parkway Houston, Texas 77019</w:t>
      </w:r>
    </w:p>
    <w:p>
      <w:pPr>
        <w:spacing w:after="0" w:line="164"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AMERICAN GENERAL CORPORATION ("American General")</w:t>
      </w:r>
    </w:p>
    <w:p>
      <w:pPr>
        <w:spacing w:after="0" w:line="201" w:lineRule="exact"/>
        <w:rPr>
          <w:sz w:val="20"/>
          <w:szCs w:val="20"/>
          <w:color w:val="auto"/>
        </w:rPr>
      </w:pPr>
    </w:p>
    <w:p>
      <w:pPr>
        <w:ind w:left="1900" w:hanging="628"/>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900" w:right="6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2929 Allen Parkway Houston, Texas 77019</w:t>
      </w:r>
    </w:p>
    <w:p>
      <w:pPr>
        <w:spacing w:after="0" w:line="169" w:lineRule="exact"/>
        <w:rPr>
          <w:rFonts w:ascii="Courier New" w:cs="Courier New" w:eastAsia="Courier New" w:hAnsi="Courier New"/>
          <w:sz w:val="18"/>
          <w:szCs w:val="18"/>
          <w:color w:val="auto"/>
        </w:rPr>
      </w:pPr>
    </w:p>
    <w:p>
      <w:pPr>
        <w:ind w:left="1900" w:right="7059" w:hanging="628"/>
        <w:spacing w:after="0" w:line="536" w:lineRule="auto"/>
        <w:tabs>
          <w:tab w:leader="none" w:pos="19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Texas</w:t>
      </w:r>
    </w:p>
    <w:p>
      <w:pPr>
        <w:ind w:left="1900" w:right="5259" w:hanging="628"/>
        <w:spacing w:after="0" w:line="536" w:lineRule="auto"/>
        <w:tabs>
          <w:tab w:leader="none" w:pos="19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Common Stock</w:t>
      </w:r>
    </w:p>
    <w:p>
      <w:pPr>
        <w:ind w:left="1900" w:right="6939" w:hanging="628"/>
        <w:spacing w:after="0" w:line="536" w:lineRule="auto"/>
        <w:tabs>
          <w:tab w:leader="none" w:pos="19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210795209</w:t>
      </w:r>
    </w:p>
    <w:tbl>
      <w:tblPr>
        <w:tblLayout w:type="fixed"/>
        <w:tblInd w:w="0" w:type="dxa"/>
        <w:tblCellMar>
          <w:top w:w="0" w:type="dxa"/>
          <w:left w:w="0" w:type="dxa"/>
          <w:bottom w:w="0" w:type="dxa"/>
          <w:right w:w="0" w:type="dxa"/>
        </w:tblCellMar>
      </w:tblPr>
      <w:tr>
        <w:trPr>
          <w:trHeight w:val="199"/>
        </w:trPr>
        <w:tc>
          <w:tcPr>
            <w:tcW w:w="1000" w:type="dxa"/>
            <w:vAlign w:val="bottom"/>
          </w:tcPr>
          <w:p>
            <w:pPr>
              <w:spacing w:after="0" w:line="199" w:lineRule="exact"/>
              <w:rPr>
                <w:sz w:val="20"/>
                <w:szCs w:val="20"/>
                <w:color w:val="auto"/>
              </w:rPr>
            </w:pPr>
            <w:r>
              <w:rPr>
                <w:rFonts w:ascii="Courier New" w:cs="Courier New" w:eastAsia="Courier New" w:hAnsi="Courier New"/>
                <w:sz w:val="18"/>
                <w:szCs w:val="18"/>
                <w:color w:val="auto"/>
              </w:rPr>
              <w:t>Item 3.</w:t>
            </w:r>
          </w:p>
        </w:tc>
        <w:tc>
          <w:tcPr>
            <w:tcW w:w="3280" w:type="dxa"/>
            <w:vAlign w:val="bottom"/>
            <w:gridSpan w:val="2"/>
          </w:tcPr>
          <w:p>
            <w:pPr>
              <w:ind w:left="280"/>
              <w:spacing w:after="0" w:line="199" w:lineRule="exact"/>
              <w:rPr>
                <w:sz w:val="20"/>
                <w:szCs w:val="20"/>
                <w:color w:val="auto"/>
              </w:rPr>
            </w:pPr>
            <w:r>
              <w:rPr>
                <w:rFonts w:ascii="Courier New" w:cs="Courier New" w:eastAsia="Courier New" w:hAnsi="Courier New"/>
                <w:sz w:val="18"/>
                <w:szCs w:val="18"/>
                <w:color w:val="auto"/>
              </w:rPr>
              <w:t>If this statement  is filed</w:t>
            </w:r>
          </w:p>
        </w:tc>
        <w:tc>
          <w:tcPr>
            <w:tcW w:w="12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w w:val="99"/>
              </w:rPr>
              <w:t>pursuant to</w:t>
            </w:r>
          </w:p>
        </w:tc>
        <w:tc>
          <w:tcPr>
            <w:tcW w:w="2220" w:type="dxa"/>
            <w:vAlign w:val="bottom"/>
          </w:tcPr>
          <w:p>
            <w:pPr>
              <w:ind w:left="60"/>
              <w:spacing w:after="0" w:line="199" w:lineRule="exact"/>
              <w:rPr>
                <w:sz w:val="20"/>
                <w:szCs w:val="20"/>
                <w:color w:val="auto"/>
              </w:rPr>
            </w:pPr>
            <w:r>
              <w:rPr>
                <w:rFonts w:ascii="Courier New" w:cs="Courier New" w:eastAsia="Courier New" w:hAnsi="Courier New"/>
                <w:sz w:val="18"/>
                <w:szCs w:val="18"/>
                <w:color w:val="auto"/>
              </w:rPr>
              <w:t>Rules  13d-1(b), or</w:t>
            </w:r>
          </w:p>
        </w:tc>
        <w:tc>
          <w:tcPr>
            <w:tcW w:w="460" w:type="dxa"/>
            <w:vAlign w:val="bottom"/>
          </w:tcPr>
          <w:p>
            <w:pPr>
              <w:jc w:val="right"/>
              <w:spacing w:after="0" w:line="199" w:lineRule="exact"/>
              <w:rPr>
                <w:sz w:val="20"/>
                <w:szCs w:val="20"/>
                <w:color w:val="auto"/>
              </w:rPr>
            </w:pPr>
            <w:r>
              <w:rPr>
                <w:rFonts w:ascii="Courier New" w:cs="Courier New" w:eastAsia="Courier New" w:hAnsi="Courier New"/>
                <w:sz w:val="18"/>
                <w:szCs w:val="18"/>
                <w:color w:val="auto"/>
              </w:rPr>
              <w:t>13d-</w:t>
            </w:r>
          </w:p>
        </w:tc>
      </w:tr>
      <w:tr>
        <w:trPr>
          <w:trHeight w:val="203"/>
        </w:trPr>
        <w:tc>
          <w:tcPr>
            <w:tcW w:w="1000" w:type="dxa"/>
            <w:vAlign w:val="bottom"/>
          </w:tcPr>
          <w:p>
            <w:pPr>
              <w:spacing w:after="0"/>
              <w:rPr>
                <w:sz w:val="17"/>
                <w:szCs w:val="17"/>
                <w:color w:val="auto"/>
              </w:rPr>
            </w:pPr>
          </w:p>
        </w:tc>
        <w:tc>
          <w:tcPr>
            <w:tcW w:w="14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whether the person filing is</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46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1480" w:type="dxa"/>
            <w:vAlign w:val="bottom"/>
          </w:tcPr>
          <w:p>
            <w:pPr>
              <w:ind w:left="280"/>
              <w:spacing w:after="0"/>
              <w:rPr>
                <w:sz w:val="20"/>
                <w:szCs w:val="20"/>
                <w:color w:val="auto"/>
              </w:rPr>
            </w:pPr>
            <w:r>
              <w:rPr>
                <w:rFonts w:ascii="Courier New" w:cs="Courier New" w:eastAsia="Courier New" w:hAnsi="Courier New"/>
                <w:sz w:val="18"/>
                <w:szCs w:val="18"/>
                <w:color w:val="auto"/>
              </w:rPr>
              <w:t>(a)   ( )</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Broker or dealer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registered</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under Section  15 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the</w:t>
            </w:r>
          </w:p>
        </w:tc>
      </w:tr>
      <w:tr>
        <w:trPr>
          <w:trHeight w:val="203"/>
        </w:trPr>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w:t>
            </w:r>
          </w:p>
        </w:tc>
        <w:tc>
          <w:tcPr>
            <w:tcW w:w="12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201" w:lineRule="exact"/>
        <w:rPr>
          <w:sz w:val="20"/>
          <w:szCs w:val="20"/>
          <w:color w:val="auto"/>
        </w:rPr>
      </w:pPr>
    </w:p>
    <w:p>
      <w:pPr>
        <w:ind w:left="1900" w:hanging="628"/>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540" w:right="1999" w:hanging="1268"/>
        <w:spacing w:after="0" w:line="235" w:lineRule="auto"/>
        <w:tabs>
          <w:tab w:leader="none" w:pos="190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540" w:right="1999" w:hanging="1268"/>
        <w:spacing w:after="0" w:line="235" w:lineRule="auto"/>
        <w:tabs>
          <w:tab w:leader="none" w:pos="190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540" w:right="1999" w:hanging="1268"/>
        <w:spacing w:after="0" w:line="235" w:lineRule="auto"/>
        <w:tabs>
          <w:tab w:leader="none" w:pos="190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540" w:right="1999" w:hanging="1268"/>
        <w:spacing w:after="0" w:line="237" w:lineRule="auto"/>
        <w:tabs>
          <w:tab w:leader="none" w:pos="190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Section 240.13d-1(b)(1)(ii)(F),</w:t>
      </w:r>
    </w:p>
    <w:p>
      <w:pPr>
        <w:sectPr>
          <w:pgSz w:w="11900" w:h="16838" w:orient="portrait"/>
          <w:cols w:equalWidth="0" w:num="1">
            <w:col w:w="10219"/>
          </w:cols>
          <w:pgMar w:left="240" w:top="1325" w:right="1440" w:bottom="1440" w:gutter="0" w:footer="0" w:header="0"/>
        </w:sectPr>
      </w:pPr>
    </w:p>
    <w:bookmarkStart w:id="4" w:name="page5"/>
    <w:bookmarkEnd w:id="4"/>
    <w:p>
      <w:pPr>
        <w:jc w:val="right"/>
        <w:ind w:right="1999"/>
        <w:spacing w:after="0"/>
        <w:rPr>
          <w:sz w:val="20"/>
          <w:szCs w:val="20"/>
          <w:color w:val="auto"/>
        </w:rPr>
      </w:pPr>
      <w:r>
        <w:rPr>
          <w:rFonts w:ascii="Courier New" w:cs="Courier New" w:eastAsia="Courier New" w:hAnsi="Courier New"/>
          <w:sz w:val="18"/>
          <w:szCs w:val="18"/>
          <w:color w:val="auto"/>
        </w:rPr>
        <w:t>Page 5 of 6 Pages</w:t>
      </w:r>
    </w:p>
    <w:p>
      <w:pPr>
        <w:spacing w:after="0" w:line="200" w:lineRule="exact"/>
        <w:rPr>
          <w:sz w:val="20"/>
          <w:szCs w:val="20"/>
          <w:color w:val="auto"/>
        </w:rPr>
      </w:pPr>
    </w:p>
    <w:p>
      <w:pPr>
        <w:spacing w:after="0" w:line="209" w:lineRule="exact"/>
        <w:rPr>
          <w:sz w:val="20"/>
          <w:szCs w:val="20"/>
          <w:color w:val="auto"/>
        </w:rPr>
      </w:pPr>
    </w:p>
    <w:p>
      <w:pPr>
        <w:ind w:left="1340" w:right="1999" w:hanging="1268"/>
        <w:spacing w:after="0" w:line="235" w:lineRule="auto"/>
        <w:tabs>
          <w:tab w:leader="none" w:pos="70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Section 240.13d-1(b)(1)(ii)(G), or</w:t>
      </w:r>
    </w:p>
    <w:p>
      <w:pPr>
        <w:sectPr>
          <w:pgSz w:w="11900" w:h="16838" w:orient="portrait"/>
          <w:cols w:equalWidth="0" w:num="1">
            <w:col w:w="9019"/>
          </w:cols>
          <w:pgMar w:left="1440" w:top="1325" w:right="1440" w:bottom="1440" w:gutter="0" w:footer="0" w:header="0"/>
        </w:sectPr>
      </w:pPr>
    </w:p>
    <w:bookmarkStart w:id="5" w:name="page6"/>
    <w:bookmarkEnd w:id="5"/>
    <w:p>
      <w:pPr>
        <w:jc w:val="right"/>
        <w:ind w:right="1999"/>
        <w:spacing w:after="0"/>
        <w:rPr>
          <w:sz w:val="20"/>
          <w:szCs w:val="20"/>
          <w:color w:val="auto"/>
        </w:rPr>
      </w:pPr>
      <w:r>
        <w:rPr>
          <w:rFonts w:ascii="Courier New" w:cs="Courier New" w:eastAsia="Courier New" w:hAnsi="Courier New"/>
          <w:sz w:val="18"/>
          <w:szCs w:val="18"/>
          <w:color w:val="auto"/>
        </w:rPr>
        <w:t>Page 6 of 6 Pages</w:t>
      </w:r>
    </w:p>
    <w:p>
      <w:pPr>
        <w:spacing w:after="0" w:line="200" w:lineRule="exact"/>
        <w:rPr>
          <w:sz w:val="20"/>
          <w:szCs w:val="20"/>
          <w:color w:val="auto"/>
        </w:rPr>
      </w:pPr>
    </w:p>
    <w:p>
      <w:pPr>
        <w:spacing w:after="0" w:line="209" w:lineRule="exact"/>
        <w:rPr>
          <w:sz w:val="20"/>
          <w:szCs w:val="20"/>
          <w:color w:val="auto"/>
        </w:rPr>
      </w:pPr>
    </w:p>
    <w:p>
      <w:pPr>
        <w:ind w:left="2540" w:right="1999" w:hanging="1268"/>
        <w:spacing w:after="0"/>
        <w:tabs>
          <w:tab w:leader="none" w:pos="190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accordancewith Section 240.13d-1(b)(1)(ii)(H).</w:t>
      </w:r>
    </w:p>
    <w:p>
      <w:pPr>
        <w:spacing w:after="0" w:line="200" w:lineRule="exact"/>
        <w:rPr>
          <w:sz w:val="20"/>
          <w:szCs w:val="20"/>
          <w:color w:val="auto"/>
        </w:rPr>
      </w:pPr>
    </w:p>
    <w:p>
      <w:pPr>
        <w:spacing w:after="0" w:line="204" w:lineRule="exact"/>
        <w:rPr>
          <w:sz w:val="20"/>
          <w:szCs w:val="20"/>
          <w:color w:val="auto"/>
        </w:rPr>
      </w:pPr>
    </w:p>
    <w:p>
      <w:pPr>
        <w:jc w:val="both"/>
        <w:ind w:left="1280" w:right="1999"/>
        <w:spacing w:after="0" w:line="273" w:lineRule="auto"/>
        <w:rPr>
          <w:sz w:val="20"/>
          <w:szCs w:val="20"/>
          <w:color w:val="auto"/>
        </w:rPr>
      </w:pPr>
      <w:r>
        <w:rPr>
          <w:rFonts w:ascii="Courier New" w:cs="Courier New" w:eastAsia="Courier New" w:hAnsi="Courier New"/>
          <w:sz w:val="16"/>
          <w:szCs w:val="16"/>
          <w:color w:val="auto"/>
        </w:rPr>
        <w:t>Not applicable. The shares of Class A Common Stock reported in this statement were issued prior to the effective date of the Section 12 registration statement filed by Continental with respect to such class of securities; and, therefore, this statement is filed by American General pursuant to Rule 13d-1(c).</w:t>
      </w:r>
    </w:p>
    <w:p>
      <w:pPr>
        <w:spacing w:after="0" w:line="17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hanging="628"/>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jc w:val="both"/>
        <w:ind w:left="1900"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General is a limited partner of Air Partners, L.P., a Texas limited partnership ("Air Partners"). On the basis of certain provisions of the Air Partners limited partnership agreement (the "Partnership Agreement"), American General may be deemed to beneficially own the shares of Class A Common Stock and Class A Common Stock Purchase Warrants attributable to its limited partnership interest in such partnership (the "Indirect Shares"). On such basis, American General may be deemed to beneficially own 774,496 shares of Class A Common Stock (including the shares of Class A Common Stock issuable upon exercise of 276,315 Class A Common Stock Purchase Warrants). American General disclaims beneficial ownership of the Class A Common Stock and Class A Common Stock Purchase Warrants beneficially owned by Air Partners that are not attributable to the limited partnership interest of American General in such partnership.</w:t>
      </w:r>
    </w:p>
    <w:p>
      <w:pPr>
        <w:spacing w:after="0" w:line="208" w:lineRule="exact"/>
        <w:rPr>
          <w:rFonts w:ascii="Courier New" w:cs="Courier New" w:eastAsia="Courier New" w:hAnsi="Courier New"/>
          <w:sz w:val="18"/>
          <w:szCs w:val="18"/>
          <w:color w:val="auto"/>
        </w:rPr>
      </w:pPr>
    </w:p>
    <w:p>
      <w:pPr>
        <w:jc w:val="both"/>
        <w:ind w:left="190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additional 87,587 shares of Class A Common Stock are held by American General Life Insurance Company ("AGL"), an indirect wholly-owned subsidiary of American General.</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6"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In  the  aggregate,  American  General  may  be  deemed   to</w:t>
      </w:r>
    </w:p>
    <w:p>
      <w:pPr>
        <w:spacing w:after="0" w:line="21" w:lineRule="exact"/>
        <w:rPr>
          <w:sz w:val="20"/>
          <w:szCs w:val="20"/>
          <w:color w:val="auto"/>
        </w:rPr>
      </w:pPr>
    </w:p>
    <w:p>
      <w:pPr>
        <w:jc w:val="both"/>
        <w:ind w:left="1900" w:right="1999"/>
        <w:spacing w:after="0" w:line="235" w:lineRule="auto"/>
        <w:rPr>
          <w:sz w:val="20"/>
          <w:szCs w:val="20"/>
          <w:color w:val="auto"/>
        </w:rPr>
      </w:pPr>
      <w:r>
        <w:rPr>
          <w:rFonts w:ascii="Courier New" w:cs="Courier New" w:eastAsia="Courier New" w:hAnsi="Courier New"/>
          <w:sz w:val="18"/>
          <w:szCs w:val="18"/>
          <w:color w:val="auto"/>
        </w:rPr>
        <w:t>beneficially own 862,083 shares of Class A Common Stock (including the 87,587 shares held by AGL and the Indirect</w:t>
      </w:r>
    </w:p>
    <w:p>
      <w:pPr>
        <w:spacing w:after="0" w:line="6" w:lineRule="exact"/>
        <w:rPr>
          <w:sz w:val="20"/>
          <w:szCs w:val="20"/>
          <w:color w:val="auto"/>
        </w:rPr>
      </w:pPr>
    </w:p>
    <w:p>
      <w:pPr>
        <w:jc w:val="both"/>
        <w:ind w:left="1900" w:right="1999"/>
        <w:spacing w:after="0" w:line="271" w:lineRule="auto"/>
        <w:rPr>
          <w:sz w:val="20"/>
          <w:szCs w:val="20"/>
          <w:color w:val="auto"/>
        </w:rPr>
      </w:pPr>
      <w:r>
        <w:rPr>
          <w:rFonts w:ascii="Courier New" w:cs="Courier New" w:eastAsia="Courier New" w:hAnsi="Courier New"/>
          <w:sz w:val="16"/>
          <w:szCs w:val="16"/>
          <w:color w:val="auto"/>
        </w:rPr>
        <w:t>Shares), representing approximately 13.7% of the outstanding shares of Class A Common Stock. Such percentage has been calculated on the basis of 6,289,531 outstanding shares of Class A Common Stock which, in accordance with Rule 13d-1(e) and Rule 13d-3(d)(1)(i), include the 6,013,216 shares of Class A Common Stock reported outstanding and an additional 276,315 shares of Class A Common Stock issuable upon exercise of Class A Common Stock Purchase Warrants.</w:t>
      </w:r>
    </w:p>
    <w:p>
      <w:pPr>
        <w:sectPr>
          <w:pgSz w:w="11900" w:h="16838" w:orient="portrait"/>
          <w:cols w:equalWidth="0" w:num="1">
            <w:col w:w="10219"/>
          </w:cols>
          <w:pgMar w:left="240" w:top="1325" w:right="1440" w:bottom="1440" w:gutter="0" w:footer="0" w:header="0"/>
        </w:sectPr>
      </w:pPr>
    </w:p>
    <w:bookmarkStart w:id="6" w:name="page7"/>
    <w:bookmarkEnd w:id="6"/>
    <w:p>
      <w:pPr>
        <w:jc w:val="right"/>
        <w:ind w:right="1999"/>
        <w:spacing w:after="0"/>
        <w:rPr>
          <w:sz w:val="20"/>
          <w:szCs w:val="20"/>
          <w:color w:val="auto"/>
        </w:rPr>
      </w:pPr>
      <w:r>
        <w:rPr>
          <w:rFonts w:ascii="Courier New" w:cs="Courier New" w:eastAsia="Courier New" w:hAnsi="Courier New"/>
          <w:sz w:val="18"/>
          <w:szCs w:val="18"/>
          <w:color w:val="auto"/>
        </w:rPr>
        <w:t>Page 7 of 6 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00" w:right="1999" w:hanging="628"/>
        <w:spacing w:after="0" w:line="23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sole or shared voting and disposition power:</w:t>
      </w:r>
    </w:p>
    <w:p>
      <w:pPr>
        <w:spacing w:after="0" w:line="208" w:lineRule="exact"/>
        <w:rPr>
          <w:rFonts w:ascii="Courier New" w:cs="Courier New" w:eastAsia="Courier New" w:hAnsi="Courier New"/>
          <w:sz w:val="18"/>
          <w:szCs w:val="18"/>
          <w:color w:val="auto"/>
        </w:rPr>
      </w:pPr>
    </w:p>
    <w:p>
      <w:pPr>
        <w:jc w:val="both"/>
        <w:ind w:left="190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General may be deemed to have shared power to vote or to direct the vote, and to dispose or to direct the disposition of, the Indirect Shares.</w:t>
      </w:r>
    </w:p>
    <w:p>
      <w:pPr>
        <w:spacing w:after="0" w:line="208" w:lineRule="exact"/>
        <w:rPr>
          <w:rFonts w:ascii="Courier New" w:cs="Courier New" w:eastAsia="Courier New" w:hAnsi="Courier New"/>
          <w:sz w:val="18"/>
          <w:szCs w:val="18"/>
          <w:color w:val="auto"/>
        </w:rPr>
      </w:pPr>
    </w:p>
    <w:p>
      <w:pPr>
        <w:jc w:val="both"/>
        <w:ind w:left="190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the ultimate parent of AGL, American General may be deemed to have shared power to vote or to direct the vote, and to dispose or to direct the disposition of, the 87,587 shares of Class A Common Stock held by AGL.</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left="1280" w:right="1999"/>
        <w:spacing w:after="0" w:line="271" w:lineRule="auto"/>
        <w:rPr>
          <w:sz w:val="20"/>
          <w:szCs w:val="20"/>
          <w:color w:val="auto"/>
        </w:rPr>
      </w:pPr>
      <w:r>
        <w:rPr>
          <w:rFonts w:ascii="Courier New" w:cs="Courier New" w:eastAsia="Courier New" w:hAnsi="Courier New"/>
          <w:sz w:val="16"/>
          <w:szCs w:val="16"/>
          <w:color w:val="auto"/>
        </w:rPr>
        <w:t>With respect to the Indirect Shares, until shares of Class A Common Stock are distributed to American General in accordance with the terms of the Partnership Agreement, American General does not have the right to receive or the power to direct the receipt of dividends from such securities. Other than Air Partners and its Managing General Partner as to the Indirect Shares, American General knows of no other person who has the right to receive or the power to direct the receipt of dividends from, or the proceeds from the sale of, any of the securities reported herein.</w:t>
      </w:r>
    </w:p>
    <w:p>
      <w:pPr>
        <w:spacing w:after="0" w:line="184"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25" w:right="1440" w:bottom="1440" w:gutter="0" w:footer="0" w:header="0"/>
        </w:sectPr>
      </w:pPr>
    </w:p>
    <w:bookmarkStart w:id="7" w:name="page8"/>
    <w:bookmarkEnd w:id="7"/>
    <w:p>
      <w:pPr>
        <w:jc w:val="right"/>
        <w:ind w:right="1999"/>
        <w:spacing w:after="0"/>
        <w:rPr>
          <w:sz w:val="20"/>
          <w:szCs w:val="20"/>
          <w:color w:val="auto"/>
        </w:rPr>
      </w:pPr>
      <w:r>
        <w:rPr>
          <w:rFonts w:ascii="Courier New" w:cs="Courier New" w:eastAsia="Courier New" w:hAnsi="Courier New"/>
          <w:sz w:val="18"/>
          <w:szCs w:val="18"/>
          <w:color w:val="auto"/>
        </w:rPr>
        <w:t>Page 8 of 6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Not applicable. As noted in Item 3 above, this statement is filed pursuant to Rule 13d-1(c).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AMERICAN GENERAL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 w:leader="none" w:pos="4420" w:val="left"/>
          <w:tab w:leader="none" w:pos="5040" w:val="left"/>
        </w:tabs>
        <w:rPr>
          <w:sz w:val="20"/>
          <w:szCs w:val="20"/>
          <w:color w:val="auto"/>
        </w:rPr>
      </w:pPr>
      <w:r>
        <w:rPr>
          <w:rFonts w:ascii="Courier New" w:cs="Courier New" w:eastAsia="Courier New" w:hAnsi="Courier New"/>
          <w:sz w:val="18"/>
          <w:szCs w:val="18"/>
          <w:color w:val="auto"/>
        </w:rPr>
        <w:t>Date:</w:t>
        <w:tab/>
        <w:t>February 11, 1994</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PETER V. TUTERS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Peter V. Tuters</w:t>
      </w:r>
    </w:p>
    <w:p>
      <w:pPr>
        <w:ind w:left="506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5280"/>
        <w:spacing w:after="0"/>
        <w:rPr>
          <w:sz w:val="20"/>
          <w:szCs w:val="20"/>
          <w:color w:val="auto"/>
        </w:rPr>
      </w:pPr>
      <w:r>
        <w:rPr>
          <w:rFonts w:ascii="Courier New" w:cs="Courier New" w:eastAsia="Courier New" w:hAnsi="Courier New"/>
          <w:sz w:val="18"/>
          <w:szCs w:val="18"/>
          <w:color w:val="auto"/>
        </w:rPr>
        <w:t>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contair/13ga.bck</w:t>
      </w:r>
    </w:p>
    <w:p>
      <w:pPr>
        <w:sectPr>
          <w:pgSz w:w="11900" w:h="16838" w:orient="portrait"/>
          <w:cols w:equalWidth="0" w:num="1">
            <w:col w:w="10219"/>
          </w:cols>
          <w:pgMar w:left="240" w:top="1325" w:right="1440"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4"/>
      <w:numFmt w:val="bullet"/>
      <w:start w:val="1"/>
    </w:lvl>
  </w:abstractNum>
  <w:abstractNum w:abstractNumId="3">
    <w:nsid w:val="5BD062C2"/>
    <w:multiLevelType w:val="hybridMultilevel"/>
    <w:lvl w:ilvl="0">
      <w:lvlJc w:val="left"/>
      <w:lvlText w:val="9"/>
      <w:numFmt w:val="bullet"/>
      <w:start w:val="1"/>
    </w:lvl>
  </w:abstractNum>
  <w:abstractNum w:abstractNumId="4">
    <w:nsid w:val="12200854"/>
    <w:multiLevelType w:val="hybridMultilevel"/>
    <w:lvl w:ilvl="0">
      <w:lvlJc w:val="left"/>
      <w:lvlText w:val="%1"/>
      <w:numFmt w:val="decimal"/>
      <w:start w:val="10"/>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7"/>
    </w:lvl>
  </w:abstractNum>
  <w:abstractNum w:abstractNumId="11">
    <w:nsid w:val="3352255A"/>
    <w:multiLevelType w:val="hybridMultilevel"/>
    <w:lvl w:ilvl="0">
      <w:lvlJc w:val="left"/>
      <w:lvlText w:val="(%1)"/>
      <w:numFmt w:val="lowerLetter"/>
      <w:start w:val="8"/>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2019-12-13T10:06:49Z</dcterms:created>
  <dcterms:modified xsi:type="dcterms:W3CDTF">2019-12-13T10:06:49Z</dcterms:modified>
</cp:coreProperties>
</file>