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28, 2024</w:t>
      </w:r>
    </w:p>
    <w:p>
      <w:pPr>
        <w:spacing w:after="0" w:line="2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245"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1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00" w:type="dxa"/>
            <w:vAlign w:val="bottom"/>
          </w:tcPr>
          <w:p>
            <w:pPr>
              <w:spacing w:after="0"/>
              <w:rPr>
                <w:sz w:val="20"/>
                <w:szCs w:val="20"/>
                <w:color w:val="auto"/>
              </w:rPr>
            </w:pPr>
          </w:p>
        </w:tc>
      </w:tr>
      <w:tr>
        <w:trPr>
          <w:trHeight w:val="248"/>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36-2675207</w:t>
            </w:r>
          </w:p>
        </w:tc>
      </w:tr>
      <w:tr>
        <w:trPr>
          <w:trHeight w:val="233"/>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74-2099724</w:t>
            </w:r>
          </w:p>
        </w:tc>
      </w:tr>
      <w:tr>
        <w:trPr>
          <w:trHeight w:val="230"/>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29"/>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8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280" w:type="dxa"/>
            <w:vAlign w:val="bottom"/>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UAL</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Preferred Stock Purchase Rights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9"/>
              </w:rPr>
              <w:t>None</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r>
    </w:tbl>
    <w:p>
      <w:pPr>
        <w:spacing w:after="0" w:line="340" w:lineRule="exact"/>
        <w:rPr>
          <w:sz w:val="24"/>
          <w:szCs w:val="24"/>
          <w:color w:val="auto"/>
        </w:rPr>
      </w:pPr>
    </w:p>
    <w:p>
      <w:pPr>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96" w:lineRule="exact"/>
        <w:rPr>
          <w:sz w:val="24"/>
          <w:szCs w:val="24"/>
          <w:color w:val="auto"/>
        </w:rPr>
      </w:pPr>
    </w:p>
    <w:p>
      <w:pPr>
        <w:ind w:right="9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38735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line="1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94" w:lineRule="exact"/>
        <w:rPr>
          <w:sz w:val="20"/>
          <w:szCs w:val="20"/>
          <w:color w:val="auto"/>
        </w:rPr>
      </w:pPr>
    </w:p>
    <w:p>
      <w:pPr>
        <w:ind w:right="600"/>
        <w:spacing w:after="0" w:line="248" w:lineRule="auto"/>
        <w:rPr>
          <w:sz w:val="20"/>
          <w:szCs w:val="20"/>
          <w:color w:val="auto"/>
        </w:rPr>
      </w:pPr>
      <w:r>
        <w:rPr>
          <w:rFonts w:ascii="Times New Roman" w:cs="Times New Roman" w:eastAsia="Times New Roman" w:hAnsi="Times New Roman"/>
          <w:sz w:val="18"/>
          <w:szCs w:val="18"/>
          <w:color w:val="auto"/>
        </w:rPr>
        <w:t>United Airlines Holdings, Inc. ("UAL"), the holding company whose subsidiary is United Airlines, Inc. ("United," and together with UAL, the "Company"), is providing an update regarding its financial outlook for second quarter 2024. The Company continues to expect second quarter 2024 adjusted diluted earnings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to be between $3.75 and $4.25.</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to Form 8-K, the information set forth in this Current Report on Form 8-K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(the "Securities Act"),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Statement Regarding Forward-Looking Statements:</w:t>
      </w:r>
    </w:p>
    <w:p>
      <w:pPr>
        <w:spacing w:after="0" w:line="23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Section 27A of the Securities Act and Section 21E of the Exchange Act, relating to, among other things, guidance regarding the Company's future financial and operating results.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w:t>
      </w:r>
      <w:r>
        <w:rPr>
          <w:rFonts w:ascii="Calibri" w:cs="Calibri" w:eastAsia="Calibri" w:hAnsi="Calibri"/>
          <w:sz w:val="16"/>
          <w:szCs w:val="16"/>
          <w:color w:val="auto"/>
        </w:rPr>
        <w:t>.</w:t>
      </w:r>
      <w:r>
        <w:rPr>
          <w:rFonts w:ascii="Times New Roman" w:cs="Times New Roman" w:eastAsia="Times New Roman" w:hAnsi="Times New Roman"/>
          <w:sz w:val="18"/>
          <w:szCs w:val="18"/>
          <w:color w:val="auto"/>
        </w:rPr>
        <w:t xml:space="preserve">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 or regulation.</w:t>
      </w:r>
    </w:p>
    <w:p>
      <w:pPr>
        <w:spacing w:after="0" w:line="22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Company's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 the continuation of the suspension of our overflying in Russian airspace as a result of the Russia-Ukraine military conflict and to Tel Aviv as a result of the Israeli-Hamas military conflict, as well as any escalation of the broader economic consequences of these conflicts beyond their current scope);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6" w:lineRule="exact"/>
        <w:rPr>
          <w:sz w:val="20"/>
          <w:szCs w:val="20"/>
          <w:color w:val="auto"/>
        </w:rPr>
      </w:pPr>
    </w:p>
    <w:p>
      <w:pPr>
        <w:ind w:right="120" w:firstLine="8"/>
        <w:spacing w:after="0" w:line="239" w:lineRule="auto"/>
        <w:tabs>
          <w:tab w:leader="none" w:pos="10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diluted earnings/(loss) per share is a non-GAAP financial measure that excludes operating and nonoperating special charges and unrealized (gains) losses on investments,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6" w:lineRule="auto"/>
        <w:rPr>
          <w:sz w:val="20"/>
          <w:szCs w:val="20"/>
          <w:color w:val="auto"/>
        </w:rPr>
      </w:pPr>
      <w:r>
        <w:rPr>
          <w:rFonts w:ascii="Times New Roman" w:cs="Times New Roman" w:eastAsia="Times New Roman" w:hAnsi="Times New Roman"/>
          <w:sz w:val="18"/>
          <w:szCs w:val="18"/>
          <w:color w:val="auto"/>
        </w:rPr>
        <w:t>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and any failure to achieve or demonstrate progress towards our climate goals; high and/or volatile fuel prices or significant disruptions in the supply of aircraft fuel (including as a result of the Russia-Ukraine military conflict); the impacts of our significant amount of financial leverage from fixed obligations and the impacts of insufficient liquidity on our financial condition and business; failure to comply with financial and other covenants governing our debt, including our MileagePlus® financing agreements;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weather events, infrastructure and other factors associated with the airline industry; increases in insurance costs or inadequate insurance coverage; and other risks and uncertainties set forth in Part I, Item 1A. Risk Factors of our Annual Report on Form 10-K for the fiscal year ended December 31, 2023 and under "Economic and Market Factors" "Governmental Actions" in Part I, Item 2. Management's Discussion and Analysis of Financial Condition and Results of Operations of our Quarterly Report on Form 10-Q for the period ended March 31, 2024, as well as other risks and uncertainties set forth from time to time in the reports we file with the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Financial Information and Financial Guidance</w:t>
      </w:r>
    </w:p>
    <w:p>
      <w:pPr>
        <w:spacing w:after="0" w:line="23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refers to financial measures that are not in accordance with GAAP. The non-GAAP financial measures are provided as supplemental information to the financial measures presented in this report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 w:name="page4"/>
    <w:bookmarkEnd w:id="3"/>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0" w:lineRule="exact"/>
        <w:rPr>
          <w:sz w:val="20"/>
          <w:szCs w:val="20"/>
          <w:color w:val="auto"/>
        </w:rPr>
      </w:pPr>
    </w:p>
    <w:p>
      <w:pPr>
        <w:spacing w:after="0" w:line="263" w:lineRule="exact"/>
        <w:rPr>
          <w:sz w:val="20"/>
          <w:szCs w:val="20"/>
          <w:color w:val="auto"/>
        </w:rPr>
      </w:pPr>
    </w:p>
    <w:tbl>
      <w:tblPr>
        <w:tblLayout w:type="fixed"/>
        <w:tblInd w:w="516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r>
      <w:tr>
        <w:trPr>
          <w:trHeight w:val="2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2024</w:t>
      </w:r>
    </w:p>
    <w:p>
      <w:pPr>
        <w:sectPr>
          <w:pgSz w:w="11900" w:h="16838" w:orient="portrait"/>
          <w:cols w:equalWidth="0" w:num="1">
            <w:col w:w="11240"/>
          </w:cols>
          <w:pgMar w:left="320" w:top="1440" w:right="339" w:bottom="1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240"/>
      </w:cols>
      <w:pgMar w:left="320" w:top="1440" w:right="339" w:bottom="11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2024-05-28T17:43:06Z</dcterms:created>
  <dcterms:modified xsi:type="dcterms:W3CDTF">2024-05-28T17:43:06Z</dcterms:modified>
</cp:coreProperties>
</file>