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28, 2023</w:t>
      </w:r>
    </w:p>
    <w:p>
      <w:pPr>
        <w:spacing w:after="0" w:line="24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HOLDINGS, INC.</w:t>
      </w:r>
    </w:p>
    <w:p>
      <w:pPr>
        <w:spacing w:after="0" w:line="5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INC.</w:t>
      </w:r>
    </w:p>
    <w:p>
      <w:pPr>
        <w:spacing w:after="0" w:line="251" w:lineRule="exact"/>
        <w:rPr>
          <w:sz w:val="24"/>
          <w:szCs w:val="24"/>
          <w:color w:val="auto"/>
        </w:rPr>
      </w:pPr>
    </w:p>
    <w:tbl>
      <w:tblPr>
        <w:tblLayout w:type="fixed"/>
        <w:tblInd w:w="1480" w:type="dxa"/>
        <w:tblCellMar>
          <w:top w:w="0" w:type="dxa"/>
          <w:left w:w="0" w:type="dxa"/>
          <w:bottom w:w="0" w:type="dxa"/>
          <w:right w:w="0" w:type="dxa"/>
        </w:tblCellMar>
      </w:tblPr>
      <w:tr>
        <w:trPr>
          <w:trHeight w:val="230"/>
        </w:trPr>
        <w:tc>
          <w:tcPr>
            <w:tcW w:w="6140" w:type="dxa"/>
            <w:vAlign w:val="bottom"/>
            <w:gridSpan w:val="3"/>
          </w:tcPr>
          <w:p>
            <w:pPr>
              <w:ind w:left="2280"/>
              <w:spacing w:after="0"/>
              <w:rPr>
                <w:sz w:val="20"/>
                <w:szCs w:val="20"/>
                <w:color w:val="auto"/>
              </w:rPr>
            </w:pPr>
            <w:r>
              <w:rPr>
                <w:rFonts w:ascii="Arial" w:cs="Arial" w:eastAsia="Arial" w:hAnsi="Arial"/>
                <w:sz w:val="18"/>
                <w:szCs w:val="18"/>
                <w:color w:val="auto"/>
                <w:w w:val="93"/>
              </w:rPr>
              <w:t>(Exact name of registrant as specified in its charter)</w:t>
            </w:r>
          </w:p>
        </w:tc>
        <w:tc>
          <w:tcPr>
            <w:tcW w:w="2000" w:type="dxa"/>
            <w:vAlign w:val="bottom"/>
          </w:tcPr>
          <w:p>
            <w:pPr>
              <w:spacing w:after="0"/>
              <w:rPr>
                <w:sz w:val="20"/>
                <w:szCs w:val="20"/>
                <w:color w:val="auto"/>
              </w:rPr>
            </w:pPr>
          </w:p>
        </w:tc>
      </w:tr>
      <w:tr>
        <w:trPr>
          <w:trHeight w:val="252"/>
        </w:trPr>
        <w:tc>
          <w:tcPr>
            <w:tcW w:w="30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Delaware</w:t>
            </w:r>
          </w:p>
        </w:tc>
        <w:tc>
          <w:tcPr>
            <w:tcW w:w="310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0"/>
              </w:rPr>
              <w:t>001-06033</w:t>
            </w:r>
          </w:p>
        </w:tc>
        <w:tc>
          <w:tcPr>
            <w:tcW w:w="200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36-2675207</w:t>
            </w:r>
          </w:p>
        </w:tc>
      </w:tr>
      <w:tr>
        <w:trPr>
          <w:trHeight w:val="233"/>
        </w:trPr>
        <w:tc>
          <w:tcPr>
            <w:tcW w:w="30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Delaware</w:t>
            </w:r>
          </w:p>
        </w:tc>
        <w:tc>
          <w:tcPr>
            <w:tcW w:w="310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0"/>
              </w:rPr>
              <w:t>001-10323</w:t>
            </w:r>
          </w:p>
        </w:tc>
        <w:tc>
          <w:tcPr>
            <w:tcW w:w="200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74-2099724</w:t>
            </w:r>
          </w:p>
        </w:tc>
      </w:tr>
      <w:tr>
        <w:trPr>
          <w:trHeight w:val="230"/>
        </w:trPr>
        <w:tc>
          <w:tcPr>
            <w:tcW w:w="3040" w:type="dxa"/>
            <w:vAlign w:val="bottom"/>
          </w:tcPr>
          <w:p>
            <w:pPr>
              <w:jc w:val="center"/>
              <w:ind w:right="1050"/>
              <w:spacing w:after="0"/>
              <w:rPr>
                <w:sz w:val="20"/>
                <w:szCs w:val="20"/>
                <w:color w:val="auto"/>
              </w:rPr>
            </w:pPr>
            <w:r>
              <w:rPr>
                <w:rFonts w:ascii="Arial" w:cs="Arial" w:eastAsia="Arial" w:hAnsi="Arial"/>
                <w:sz w:val="18"/>
                <w:szCs w:val="18"/>
                <w:color w:val="auto"/>
                <w:w w:val="92"/>
              </w:rPr>
              <w:t>(State or other jurisdiction</w:t>
            </w:r>
          </w:p>
        </w:tc>
        <w:tc>
          <w:tcPr>
            <w:tcW w:w="3100" w:type="dxa"/>
            <w:vAlign w:val="bottom"/>
            <w:gridSpan w:val="2"/>
          </w:tcPr>
          <w:p>
            <w:pPr>
              <w:jc w:val="center"/>
              <w:ind w:right="850"/>
              <w:spacing w:after="0"/>
              <w:rPr>
                <w:sz w:val="20"/>
                <w:szCs w:val="20"/>
                <w:color w:val="auto"/>
              </w:rPr>
            </w:pPr>
            <w:r>
              <w:rPr>
                <w:rFonts w:ascii="Arial" w:cs="Arial" w:eastAsia="Arial" w:hAnsi="Arial"/>
                <w:sz w:val="18"/>
                <w:szCs w:val="18"/>
                <w:color w:val="auto"/>
                <w:w w:val="93"/>
              </w:rPr>
              <w:t>(Commission File Number)</w:t>
            </w:r>
          </w:p>
        </w:tc>
        <w:tc>
          <w:tcPr>
            <w:tcW w:w="2000" w:type="dxa"/>
            <w:vAlign w:val="bottom"/>
          </w:tcPr>
          <w:p>
            <w:pPr>
              <w:jc w:val="center"/>
              <w:ind w:left="250"/>
              <w:spacing w:after="0"/>
              <w:rPr>
                <w:sz w:val="20"/>
                <w:szCs w:val="20"/>
                <w:color w:val="auto"/>
              </w:rPr>
            </w:pPr>
            <w:r>
              <w:rPr>
                <w:rFonts w:ascii="Arial" w:cs="Arial" w:eastAsia="Arial" w:hAnsi="Arial"/>
                <w:sz w:val="18"/>
                <w:szCs w:val="18"/>
                <w:color w:val="auto"/>
                <w:w w:val="93"/>
              </w:rPr>
              <w:t>(IRS Employer</w:t>
            </w:r>
          </w:p>
        </w:tc>
      </w:tr>
      <w:tr>
        <w:trPr>
          <w:trHeight w:val="230"/>
        </w:trPr>
        <w:tc>
          <w:tcPr>
            <w:tcW w:w="3040" w:type="dxa"/>
            <w:vAlign w:val="bottom"/>
          </w:tcPr>
          <w:p>
            <w:pPr>
              <w:jc w:val="center"/>
              <w:ind w:right="1050"/>
              <w:spacing w:after="0"/>
              <w:rPr>
                <w:sz w:val="20"/>
                <w:szCs w:val="20"/>
                <w:color w:val="auto"/>
              </w:rPr>
            </w:pPr>
            <w:r>
              <w:rPr>
                <w:rFonts w:ascii="Arial" w:cs="Arial" w:eastAsia="Arial" w:hAnsi="Arial"/>
                <w:sz w:val="18"/>
                <w:szCs w:val="18"/>
                <w:color w:val="auto"/>
                <w:w w:val="93"/>
              </w:rPr>
              <w:t>of incorporation)</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left="250"/>
              <w:spacing w:after="0"/>
              <w:rPr>
                <w:sz w:val="20"/>
                <w:szCs w:val="20"/>
                <w:color w:val="auto"/>
              </w:rPr>
            </w:pPr>
            <w:r>
              <w:rPr>
                <w:rFonts w:ascii="Arial" w:cs="Arial" w:eastAsia="Arial" w:hAnsi="Arial"/>
                <w:sz w:val="18"/>
                <w:szCs w:val="18"/>
                <w:color w:val="auto"/>
                <w:w w:val="94"/>
              </w:rPr>
              <w:t>Identification Number)</w:t>
            </w:r>
          </w:p>
        </w:tc>
      </w:tr>
      <w:tr>
        <w:trPr>
          <w:trHeight w:val="333"/>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180" w:type="dxa"/>
            <w:vAlign w:val="bottom"/>
          </w:tcPr>
          <w:p>
            <w:pPr>
              <w:ind w:left="380"/>
              <w:spacing w:after="0"/>
              <w:rPr>
                <w:sz w:val="20"/>
                <w:szCs w:val="20"/>
                <w:color w:val="auto"/>
              </w:rPr>
            </w:pPr>
            <w:r>
              <w:rPr>
                <w:rFonts w:ascii="Arial" w:cs="Arial" w:eastAsia="Arial" w:hAnsi="Arial"/>
                <w:sz w:val="18"/>
                <w:szCs w:val="18"/>
                <w:b w:val="1"/>
                <w:bCs w:val="1"/>
                <w:color w:val="auto"/>
              </w:rPr>
              <w:t>Chicago,</w:t>
            </w:r>
          </w:p>
        </w:tc>
        <w:tc>
          <w:tcPr>
            <w:tcW w:w="192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200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60606</w:t>
            </w:r>
          </w:p>
        </w:tc>
      </w:tr>
      <w:tr>
        <w:trPr>
          <w:trHeight w:val="234"/>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180" w:type="dxa"/>
            <w:vAlign w:val="bottom"/>
          </w:tcPr>
          <w:p>
            <w:pPr>
              <w:ind w:left="380"/>
              <w:spacing w:after="0"/>
              <w:rPr>
                <w:sz w:val="20"/>
                <w:szCs w:val="20"/>
                <w:color w:val="auto"/>
              </w:rPr>
            </w:pPr>
            <w:r>
              <w:rPr>
                <w:rFonts w:ascii="Arial" w:cs="Arial" w:eastAsia="Arial" w:hAnsi="Arial"/>
                <w:sz w:val="18"/>
                <w:szCs w:val="18"/>
                <w:b w:val="1"/>
                <w:bCs w:val="1"/>
                <w:color w:val="auto"/>
              </w:rPr>
              <w:t>Chicago,</w:t>
            </w:r>
          </w:p>
        </w:tc>
        <w:tc>
          <w:tcPr>
            <w:tcW w:w="192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200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60606</w:t>
            </w:r>
          </w:p>
        </w:tc>
      </w:tr>
      <w:tr>
        <w:trPr>
          <w:trHeight w:val="230"/>
        </w:trPr>
        <w:tc>
          <w:tcPr>
            <w:tcW w:w="30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right="850"/>
              <w:spacing w:after="0"/>
              <w:rPr>
                <w:sz w:val="20"/>
                <w:szCs w:val="20"/>
                <w:color w:val="auto"/>
              </w:rPr>
            </w:pPr>
            <w:r>
              <w:rPr>
                <w:rFonts w:ascii="Arial" w:cs="Arial" w:eastAsia="Arial" w:hAnsi="Arial"/>
                <w:sz w:val="18"/>
                <w:szCs w:val="18"/>
                <w:color w:val="auto"/>
                <w:w w:val="91"/>
              </w:rPr>
              <w:t>(Zip Code)</w:t>
            </w:r>
          </w:p>
        </w:tc>
      </w:tr>
    </w:tbl>
    <w:p>
      <w:pPr>
        <w:spacing w:after="0" w:line="76" w:lineRule="exact"/>
        <w:rPr>
          <w:sz w:val="24"/>
          <w:szCs w:val="24"/>
          <w:color w:val="auto"/>
        </w:rPr>
      </w:pPr>
    </w:p>
    <w:p>
      <w:pPr>
        <w:ind w:left="5500" w:hanging="438"/>
        <w:spacing w:after="0"/>
        <w:tabs>
          <w:tab w:leader="none" w:pos="5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27" w:lineRule="exact"/>
        <w:rPr>
          <w:rFonts w:ascii="Arial" w:cs="Arial" w:eastAsia="Arial" w:hAnsi="Arial"/>
          <w:sz w:val="18"/>
          <w:szCs w:val="18"/>
          <w:b w:val="1"/>
          <w:bCs w:val="1"/>
          <w:color w:val="auto"/>
        </w:rPr>
      </w:pPr>
    </w:p>
    <w:p>
      <w:pPr>
        <w:ind w:left="5500" w:hanging="438"/>
        <w:spacing w:after="0"/>
        <w:tabs>
          <w:tab w:leader="none" w:pos="5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103"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2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60"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8"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280" w:type="dxa"/>
            <w:vAlign w:val="bottom"/>
            <w:gridSpan w:val="2"/>
          </w:tcPr>
          <w:p>
            <w:pPr>
              <w:ind w:left="20"/>
              <w:spacing w:after="0"/>
              <w:rPr>
                <w:sz w:val="20"/>
                <w:szCs w:val="20"/>
                <w:color w:val="auto"/>
              </w:rPr>
            </w:pPr>
            <w:r>
              <w:rPr>
                <w:rFonts w:ascii="Arial" w:cs="Arial" w:eastAsia="Arial" w:hAnsi="Arial"/>
                <w:sz w:val="13"/>
                <w:szCs w:val="13"/>
                <w:b w:val="1"/>
                <w:bCs w:val="1"/>
                <w:color w:val="auto"/>
              </w:rPr>
              <w:t>Registrant</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Title of Each Class</w:t>
            </w:r>
          </w:p>
        </w:tc>
        <w:tc>
          <w:tcPr>
            <w:tcW w:w="1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Trading Symbol</w:t>
            </w:r>
          </w:p>
        </w:tc>
        <w:tc>
          <w:tcPr>
            <w:tcW w:w="3600" w:type="dxa"/>
            <w:vAlign w:val="bottom"/>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160"/>
        </w:trPr>
        <w:tc>
          <w:tcPr>
            <w:tcW w:w="30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United Airlines Holdings, Inc.</w:t>
            </w:r>
          </w:p>
        </w:tc>
        <w:tc>
          <w:tcPr>
            <w:tcW w:w="280" w:type="dxa"/>
            <w:vAlign w:val="bottom"/>
          </w:tcPr>
          <w:p>
            <w:pPr>
              <w:spacing w:after="0"/>
              <w:rPr>
                <w:sz w:val="13"/>
                <w:szCs w:val="13"/>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Common Stock, $0.01 par value</w:t>
            </w:r>
          </w:p>
        </w:tc>
        <w:tc>
          <w:tcPr>
            <w:tcW w:w="280" w:type="dxa"/>
            <w:vAlign w:val="bottom"/>
          </w:tcPr>
          <w:p>
            <w:pPr>
              <w:spacing w:after="0"/>
              <w:rPr>
                <w:sz w:val="13"/>
                <w:szCs w:val="13"/>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UAL</w:t>
            </w:r>
          </w:p>
        </w:tc>
        <w:tc>
          <w:tcPr>
            <w:tcW w:w="240" w:type="dxa"/>
            <w:vAlign w:val="bottom"/>
          </w:tcPr>
          <w:p>
            <w:pPr>
              <w:spacing w:after="0"/>
              <w:rPr>
                <w:sz w:val="13"/>
                <w:szCs w:val="13"/>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9"/>
              </w:rPr>
              <w:t>The Nasdaq Stock Market LLC</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13"/>
                <w:szCs w:val="13"/>
                <w:color w:val="auto"/>
              </w:rPr>
              <w:t>United Airlines Holdings, Inc.</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color w:val="auto"/>
                <w:w w:val="86"/>
              </w:rPr>
              <w:t>Preferred Stock Purchase Rights</w:t>
            </w:r>
          </w:p>
        </w:tc>
        <w:tc>
          <w:tcPr>
            <w:tcW w:w="188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None</w:t>
            </w:r>
          </w:p>
        </w:tc>
        <w:tc>
          <w:tcPr>
            <w:tcW w:w="3600" w:type="dxa"/>
            <w:vAlign w:val="bottom"/>
          </w:tcPr>
          <w:p>
            <w:pPr>
              <w:jc w:val="center"/>
              <w:spacing w:after="0"/>
              <w:rPr>
                <w:sz w:val="20"/>
                <w:szCs w:val="20"/>
                <w:color w:val="auto"/>
              </w:rPr>
            </w:pPr>
            <w:r>
              <w:rPr>
                <w:rFonts w:ascii="Arial" w:cs="Arial" w:eastAsia="Arial" w:hAnsi="Arial"/>
                <w:sz w:val="13"/>
                <w:szCs w:val="13"/>
                <w:color w:val="auto"/>
                <w:w w:val="89"/>
              </w:rPr>
              <w:t>The Nasdaq Stock Market LLC</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13"/>
                <w:szCs w:val="13"/>
                <w:color w:val="auto"/>
              </w:rPr>
              <w:t>United Airlines, Inc.</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color w:val="auto"/>
                <w:w w:val="89"/>
              </w:rPr>
              <w:t>None</w:t>
            </w:r>
          </w:p>
        </w:tc>
        <w:tc>
          <w:tcPr>
            <w:tcW w:w="188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None</w:t>
            </w:r>
          </w:p>
        </w:tc>
        <w:tc>
          <w:tcPr>
            <w:tcW w:w="3600" w:type="dxa"/>
            <w:vAlign w:val="bottom"/>
          </w:tcPr>
          <w:p>
            <w:pPr>
              <w:jc w:val="center"/>
              <w:spacing w:after="0"/>
              <w:rPr>
                <w:sz w:val="20"/>
                <w:szCs w:val="20"/>
                <w:color w:val="auto"/>
              </w:rPr>
            </w:pPr>
            <w:r>
              <w:rPr>
                <w:rFonts w:ascii="Arial" w:cs="Arial" w:eastAsia="Arial" w:hAnsi="Arial"/>
                <w:sz w:val="13"/>
                <w:szCs w:val="13"/>
                <w:color w:val="auto"/>
                <w:w w:val="89"/>
              </w:rPr>
              <w:t>None</w:t>
            </w:r>
          </w:p>
        </w:tc>
      </w:tr>
    </w:tbl>
    <w:p>
      <w:pPr>
        <w:spacing w:after="0" w:line="344" w:lineRule="exact"/>
        <w:rPr>
          <w:sz w:val="24"/>
          <w:szCs w:val="24"/>
          <w:color w:val="auto"/>
        </w:rPr>
      </w:pPr>
    </w:p>
    <w:p>
      <w:pPr>
        <w:jc w:val="both"/>
        <w:ind w:right="20"/>
        <w:spacing w:after="0" w:line="211"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201" w:lineRule="exact"/>
        <w:rPr>
          <w:sz w:val="24"/>
          <w:szCs w:val="24"/>
          <w:color w:val="auto"/>
        </w:rPr>
      </w:pPr>
    </w:p>
    <w:p>
      <w:pPr>
        <w:ind w:right="98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652145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13335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39370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 w:name="page2"/>
    <w:bookmarkEnd w:id="1"/>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7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On September 28, 2023, United Airlines, Inc. ("United") entered into a supplemental agreement to Purchase Agreement No. 04815, dated May 31, 2018 ("Purchase Agreement No. 04815"), with The Boeing Company ("Boeing"), pursuant to which United exercised options to purchase 50 Boeing 787-9 aircraft scheduled to be delivered between 2028 and 2031 (the "Boeing Aircraft Order"). In addition, pursuant to such agreement United was granted options to purchase up to an additional 50 Boeing 787 aircraft with deliveries between 2028 and 2031.</w:t>
      </w:r>
    </w:p>
    <w:p>
      <w:pPr>
        <w:spacing w:after="0" w:line="117" w:lineRule="exact"/>
        <w:rPr>
          <w:sz w:val="20"/>
          <w:szCs w:val="20"/>
          <w:color w:val="auto"/>
        </w:rPr>
      </w:pPr>
    </w:p>
    <w:p>
      <w:pPr>
        <w:ind w:right="280" w:firstLine="324"/>
        <w:spacing w:after="0" w:line="301" w:lineRule="auto"/>
        <w:rPr>
          <w:sz w:val="20"/>
          <w:szCs w:val="20"/>
          <w:color w:val="auto"/>
        </w:rPr>
      </w:pPr>
      <w:r>
        <w:rPr>
          <w:rFonts w:ascii="Arial" w:cs="Arial" w:eastAsia="Arial" w:hAnsi="Arial"/>
          <w:sz w:val="16"/>
          <w:szCs w:val="16"/>
          <w:color w:val="auto"/>
        </w:rPr>
        <w:t>In addition, on September 29, 2023, United entered into an amendment to the A320 Family Purchase Agreement, dated December 3, 2019 (as amended, the "A320 Family Purchase Agreement" and, together with Purchase Agreement No. 04815, the "Purchase Agreements"), with Airbus S.A.S. ("Airbus"), pursuant to which United exercised purchase rights to purchase 60 A321neo aircraft scheduled to be delivered between 2028 and 2030 (the "Airbus Aircraft Order") and was granted purchase rights to purchase up to an additional 40 A321neo aircraft at the end of the decade.</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These supplements and amendments build on the early success of the United Next plan and add additional flexibility for United’s long-term fleet.</w:t>
      </w:r>
    </w:p>
    <w:p>
      <w:pPr>
        <w:spacing w:after="0" w:line="18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table set forth in Item 7.01 of this Current Report on Form 8-K with respect to capital commitments to purchase aircraft from Boeing and Airbus is hereby incorporated by reference in its entirety into this Item 1.01.</w:t>
      </w:r>
    </w:p>
    <w:p>
      <w:pPr>
        <w:spacing w:after="0" w:line="116" w:lineRule="exact"/>
        <w:rPr>
          <w:sz w:val="20"/>
          <w:szCs w:val="20"/>
          <w:color w:val="auto"/>
        </w:rPr>
      </w:pPr>
    </w:p>
    <w:p>
      <w:pPr>
        <w:ind w:right="20" w:firstLine="405"/>
        <w:spacing w:after="0" w:line="218" w:lineRule="exact"/>
        <w:rPr>
          <w:sz w:val="20"/>
          <w:szCs w:val="20"/>
          <w:color w:val="auto"/>
        </w:rPr>
      </w:pPr>
      <w:r>
        <w:rPr>
          <w:rFonts w:ascii="Arial" w:cs="Arial" w:eastAsia="Arial" w:hAnsi="Arial"/>
          <w:sz w:val="17"/>
          <w:szCs w:val="17"/>
          <w:color w:val="auto"/>
        </w:rPr>
        <w:t>The description of the supplemental agreement to Purchase Agreement No. 04815, the amendment to the A320 Family Purchase Agreement and the transactions accomplished or contemplated thereby does not purport to be complete and is qualified in its entirety by reference to the full text of the Purchase Agreements and their respective supplemental agreements and amendments. Purchase Agreement No. 04815 was filed as Exhibit 10.92 to United Airlines Holdings, Inc.’s (the "Company") Annual Report on Form 10-K for the fiscal year ended December 31, 2022. The Company intends to file a copy of the supplemental agreement to Purchase Agreement No. 04815 in connection with the Boeing Aircraft Order as an exhibit to its Quarterly Report on Form 10-Q for the fiscal quarter ended September 30, 2023. The A320 Family Purchase Agreement was filed as Exhibit 10.2 to the Company's Quarterly Report on Form 10-Q for the fiscal quarter ended June 30, 2021. The Company intends to file a copy of the amendment to the A320 Family Purchase Agreement in connection with the Airbus Aircraft Order as an exhibit to its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for the fiscal quarter ended September 30, 2023.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75" w:lineRule="exact"/>
        <w:rPr>
          <w:sz w:val="20"/>
          <w:szCs w:val="20"/>
          <w:color w:val="auto"/>
        </w:rPr>
      </w:pPr>
    </w:p>
    <w:p>
      <w:pPr>
        <w:ind w:right="240" w:firstLine="405"/>
        <w:spacing w:after="0" w:line="308" w:lineRule="auto"/>
        <w:rPr>
          <w:sz w:val="20"/>
          <w:szCs w:val="20"/>
          <w:color w:val="auto"/>
        </w:rPr>
      </w:pPr>
      <w:r>
        <w:rPr>
          <w:rFonts w:ascii="Arial" w:cs="Arial" w:eastAsia="Arial" w:hAnsi="Arial"/>
          <w:sz w:val="17"/>
          <w:szCs w:val="17"/>
          <w:color w:val="auto"/>
        </w:rPr>
        <w:t>On October 3, 2023, the Company issued a press release ("Press Release") announcing the Boeing Aircraft Order and the Airbus Aircraft Order. A copy of the Press Release is attached hereto as Exhibit 99.1 to this Current Report on Form 8-K and incorporated herein in its entirety.</w:t>
      </w:r>
    </w:p>
    <w:p>
      <w:pPr>
        <w:spacing w:after="0" w:line="92" w:lineRule="exact"/>
        <w:rPr>
          <w:sz w:val="20"/>
          <w:szCs w:val="20"/>
          <w:color w:val="auto"/>
        </w:rPr>
      </w:pPr>
    </w:p>
    <w:p>
      <w:pPr>
        <w:jc w:val="both"/>
        <w:ind w:right="120" w:firstLine="405"/>
        <w:spacing w:after="0" w:line="263" w:lineRule="auto"/>
        <w:rPr>
          <w:sz w:val="20"/>
          <w:szCs w:val="20"/>
          <w:color w:val="auto"/>
        </w:rPr>
      </w:pPr>
      <w:r>
        <w:rPr>
          <w:rFonts w:ascii="Arial" w:cs="Arial" w:eastAsia="Arial" w:hAnsi="Arial"/>
          <w:sz w:val="18"/>
          <w:szCs w:val="18"/>
          <w:color w:val="auto"/>
        </w:rPr>
        <w:t>The table below summarizes United's firm commitments as of August 31, 2023 (adjusted to include the effects of the Boeing Aircraft Order and the Airbus Aircraft Order) through 2033, which include aircraft and related spare engines, aircraft improvements and all non-aircraft capital commitments (in billions):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57"/>
        </w:trPr>
        <w:tc>
          <w:tcPr>
            <w:tcW w:w="8740" w:type="dxa"/>
            <w:vAlign w:val="bottom"/>
          </w:tcPr>
          <w:p>
            <w:pPr>
              <w:ind w:left="20"/>
              <w:spacing w:after="0"/>
              <w:rPr>
                <w:sz w:val="20"/>
                <w:szCs w:val="20"/>
                <w:color w:val="auto"/>
              </w:rPr>
            </w:pPr>
            <w:r>
              <w:rPr>
                <w:rFonts w:ascii="Arial" w:cs="Arial" w:eastAsia="Arial" w:hAnsi="Arial"/>
                <w:sz w:val="18"/>
                <w:szCs w:val="18"/>
                <w:color w:val="auto"/>
              </w:rPr>
              <w:t>2024</w:t>
            </w:r>
          </w:p>
        </w:tc>
        <w:tc>
          <w:tcPr>
            <w:tcW w:w="10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56"/>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57"/>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2025</w:t>
            </w:r>
          </w:p>
        </w:tc>
        <w:tc>
          <w:tcPr>
            <w:tcW w:w="10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r>
      <w:tr>
        <w:trPr>
          <w:trHeight w:val="223"/>
        </w:trPr>
        <w:tc>
          <w:tcPr>
            <w:tcW w:w="87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r>
    </w:tbl>
    <w:p>
      <w:pPr>
        <w:spacing w:after="0" w:line="242"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color w:val="auto"/>
        </w:rPr>
        <w:t>Pursuant to General Instruction B.2. to Form 8-K, the information set forth in this Item 7.01 of this Current Report on Form 8-K shall not be deemed "filed" for purposes of Section 18 of the Securities Exchange Act of 1934, as amended (the "Exchange Act"), or otherwise subject to the liabilities thereof, nor shall it be incorporated by reference into future filings under the Exchange Act or under the Securities Act of 1933, as amended (the "Securities Act"), except to the extent specifically provided in any such filing. Additionally, the submission of the information set forth in this Item 7.01 is not deemed an admission as to the materiality of any information in this Current Report on Form 8-K that is required to be disclosed solely by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1084580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Cautionary Statement Regarding Forward-Looking Statements: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Current Report on Form 8-K contains certain "forward-looking statements," within the meaning of Section 27A of the Securities Act and Section 21E of the Exchange Act, relating to, among other things, the potential impacts of the Company's aircraft orders.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 internal or external factors that could delay, divert or change any of them, that are difficult to predict, may be beyond the Company's control and could cause the Company's future financial results, goals, plans, commitments, strategies and objectives to differ materially from those expressed in, or implied by, the statements. Words such as "should," "could," "would," "will," "may," "expects," "plans," "intends," "anticipates," "indicates," "remains," "believes," "estimates," "projects," "forecast," "guidance," "outlook," "goals," "targets," "pledge," "confident," "optimistic," "dedicated," "positioned" and other words and terms of similar meaning and expression are intended to identify forward-looking statements, although not all forward-looking statements contain such terms. All statements, other than those that relate solely to historical facts, are forward-looking statements. 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report are based upon information available to us on the date of this report. We undertake no obligation to publicly update or revise any forward-looking statement, whether as a result of new information, future events, changed circumstances or otherwise, except as required by applicable law or regulation.</w:t>
      </w:r>
    </w:p>
    <w:p>
      <w:pPr>
        <w:spacing w:after="0" w:line="11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Company's actual results could differ materially from these forward-looking statements due to numerous factors including, without limitation, the following: any delay or inability of the Company to realize the expected benefits of the transactions, execution risks associated with our strategic operating plan; changes in our network strategy or other factors outside our control resulting in less economic aircraft orders, costs related to modification or termination of aircraft orders or entry into less favorable aircraft orders, as well as any inability to accept or integrate new aircraft into our fleet as planned; any failure to effectively manage, and receive anticipated benefits and returns from, acquisitions, divestitures, investments, joint ventures and other portfolio actions, or related exposures to unknown liabilities or other issues or underperformance as compared to our expectations; the adverse impacts of the ongoing COVID-19 global pandemic on our business, operating results, financial condition and liquidity; adverse publicity, harm to our brand, reduced travel demand, potential tort liability and voluntary or mandatory operational restrictions as a result of an accident, catastrophe or incident involving us, our regional carriers, our codeshare partners or another airline; the highly competitive nature of the global airline industry and susceptibility of the industry to price discounting and changes in capacity, including as a result of alliances, joint business arrangements or other consolidations; our reliance on a limited number of suppliers to source a majority of our aircraft and certain parts, and the impact of any failure to obtain timely deliveries, additional equipment or support from any of these suppliers; disruptions to our regional network and United Express flights provided by third-party regional carriers; unfavorable economic and political conditions in the United States and globally (including inflationary pressures); reliance on third-party service providers and the impact of any significant failure of these parties to perform as expected, or interruptions in our relationships with these providers or their provision of services; extended interruptions or disruptions in service at major airports where we operate and space, facility and infrastructure constrains at our hubs or other airports; geopolitical conflict, terrorist attacks or security events; any damage to our reputation or brand image; our reliance on technology and automated systems to operate our business and the impact of any significant failure or disruption of, or failure to effectively integrate and implement, the technology or systems; increasing privacy and data security obligations or a significant data breach; increased use of social media platforms by us, our employees and others; the impacts of union disputes, employee strikes or slowdowns, and other labor-related disruptions or regulatory compliance costs on our operations or financial performance; any failure to attract, train or retain skilled personnel, including our senior management team or other key employees; the monetary and operational costs of compliance with extensive government regulation of the airline industry; current or future litigation and regulatory actions, or failure to comply with the terms of any settlement, order or arrangement relating to these actions; costs, liabilities and risks associated with environmental regulation and climate change, including our climate goals; high and/or volatile fuel prices or significant disruptions in the supply of aircraft fuel (including as a result of the Russia-Ukraine military conflict); the impacts of our significant amount of financial leverage from fixed obligations and the impacts of insufficient liquidity on our financial condition and business; failure to comply with financial and other covenants governing our debt, including our MileagePlus® financing agreements; the impacts of the phaseout of the London interbank offer rate; limitations on our ability to use our net operating loss carryforwards and certain other tax attributes to offset future taxable income for U.S. federal income tax purposes; our failure to realize the full value of our intangible assets or our long-lived assets, causing us to record impairments; fluctuations in the price of our common stock; the impacts of seasonality, weather events, infrastructure and other factors associated with the airline industry; increases in insurance costs or inadequate insurance coverage; and other risks and uncertainties set forth in Part I, Item 1A. Risk Factors, and under "Economic and Market Factors" in Part II, Item 7. Management's Discussion and Analysis of Financial Condition and Results of Operations, of our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594995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color w:val="auto"/>
        </w:rPr>
        <w:t>for the fiscal year ended December 31, 2022, as well as other risks and uncertainties set forth from time to time in the reports we file with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c>
          <w:tcPr>
            <w:tcW w:w="480" w:type="dxa"/>
            <w:vAlign w:val="bottom"/>
          </w:tcPr>
          <w:p>
            <w:pPr>
              <w:spacing w:after="0"/>
              <w:rPr>
                <w:sz w:val="20"/>
                <w:szCs w:val="20"/>
                <w:color w:val="auto"/>
              </w:rPr>
            </w:pPr>
          </w:p>
        </w:tc>
      </w:tr>
      <w:tr>
        <w:trPr>
          <w:trHeight w:val="223"/>
        </w:trPr>
        <w:tc>
          <w:tcPr>
            <w:tcW w:w="2220" w:type="dxa"/>
            <w:vAlign w:val="bottom"/>
          </w:tcPr>
          <w:p>
            <w:pPr>
              <w:ind w:left="20"/>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5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Press Release issued by United Airlines Holdings, Inc. dated October 3, 2023</w:t>
            </w:r>
          </w:p>
        </w:tc>
        <w:tc>
          <w:tcPr>
            <w:tcW w:w="3260" w:type="dxa"/>
            <w:vAlign w:val="bottom"/>
            <w:gridSpan w:val="2"/>
          </w:tcPr>
          <w:p>
            <w:pPr>
              <w:spacing w:after="0"/>
              <w:rPr>
                <w:sz w:val="19"/>
                <w:szCs w:val="19"/>
                <w:color w:val="auto"/>
              </w:rPr>
            </w:pPr>
          </w:p>
        </w:tc>
      </w:tr>
      <w:tr>
        <w:trPr>
          <w:trHeight w:val="304"/>
        </w:trPr>
        <w:tc>
          <w:tcPr>
            <w:tcW w:w="2220" w:type="dxa"/>
            <w:vAlign w:val="bottom"/>
          </w:tcPr>
          <w:p>
            <w:pPr>
              <w:ind w:left="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65"/>
        </w:trPr>
        <w:tc>
          <w:tcPr>
            <w:tcW w:w="2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 w:name="page5"/>
    <w:bookmarkEnd w:id="4"/>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UNITED AIRLINES, INC.</w:t>
      </w:r>
    </w:p>
    <w:p>
      <w:pPr>
        <w:spacing w:after="0" w:line="200" w:lineRule="exact"/>
        <w:rPr>
          <w:sz w:val="20"/>
          <w:szCs w:val="20"/>
          <w:color w:val="auto"/>
        </w:rPr>
      </w:pPr>
    </w:p>
    <w:p>
      <w:pPr>
        <w:spacing w:after="0" w:line="267" w:lineRule="exact"/>
        <w:rPr>
          <w:sz w:val="20"/>
          <w:szCs w:val="20"/>
          <w:color w:val="auto"/>
        </w:rPr>
      </w:pPr>
    </w:p>
    <w:tbl>
      <w:tblPr>
        <w:tblLayout w:type="fixed"/>
        <w:tblInd w:w="5160" w:type="dxa"/>
        <w:tblCellMar>
          <w:top w:w="0" w:type="dxa"/>
          <w:left w:w="0" w:type="dxa"/>
          <w:bottom w:w="0" w:type="dxa"/>
          <w:right w:w="0" w:type="dxa"/>
        </w:tblCellMar>
      </w:tblPr>
      <w:tr>
        <w:trPr>
          <w:trHeight w:val="244"/>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D. Leskinen</w:t>
            </w:r>
          </w:p>
        </w:tc>
      </w:tr>
      <w:tr>
        <w:trPr>
          <w:trHeight w:val="249"/>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Michael D. Leskinen</w:t>
            </w:r>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Date: October 4, 2023</w:t>
      </w:r>
    </w:p>
    <w:p>
      <w:pPr>
        <w:sectPr>
          <w:pgSz w:w="11900" w:h="16838" w:orient="portrait"/>
          <w:cols w:equalWidth="0" w:num="1">
            <w:col w:w="11240"/>
          </w:cols>
          <w:pgMar w:left="320" w:top="1440"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-139700</wp:posOffset>
            </wp:positionV>
            <wp:extent cx="1834515" cy="7543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34515" cy="754380"/>
                    </a:xfrm>
                    <a:prstGeom prst="rect">
                      <a:avLst/>
                    </a:prstGeom>
                    <a:noFill/>
                  </pic:spPr>
                </pic:pic>
              </a:graphicData>
            </a:graphic>
          </wp:anchor>
        </w:drawing>
      </w:r>
    </w:p>
    <w:p>
      <w:pPr>
        <w:spacing w:after="0" w:line="17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United Airlines</w:t>
      </w:r>
    </w:p>
    <w:p>
      <w:pPr>
        <w:ind w:left="20"/>
        <w:spacing w:after="0" w:line="211" w:lineRule="auto"/>
        <w:rPr>
          <w:sz w:val="20"/>
          <w:szCs w:val="20"/>
          <w:color w:val="auto"/>
        </w:rPr>
      </w:pPr>
      <w:r>
        <w:rPr>
          <w:rFonts w:ascii="Arial" w:cs="Arial" w:eastAsia="Arial" w:hAnsi="Arial"/>
          <w:sz w:val="20"/>
          <w:szCs w:val="20"/>
          <w:b w:val="1"/>
          <w:bCs w:val="1"/>
          <w:color w:val="auto"/>
        </w:rPr>
        <w:t>Worldwide Media Relations</w:t>
      </w:r>
    </w:p>
    <w:p>
      <w:pPr>
        <w:ind w:left="20"/>
        <w:spacing w:after="0" w:line="211" w:lineRule="auto"/>
        <w:rPr>
          <w:sz w:val="20"/>
          <w:szCs w:val="20"/>
          <w:color w:val="auto"/>
        </w:rPr>
      </w:pPr>
      <w:r>
        <w:rPr>
          <w:rFonts w:ascii="Arial" w:cs="Arial" w:eastAsia="Arial" w:hAnsi="Arial"/>
          <w:sz w:val="20"/>
          <w:szCs w:val="20"/>
          <w:color w:val="auto"/>
        </w:rPr>
        <w:t>872.825.8640</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0"/>
          <w:szCs w:val="20"/>
          <w:color w:val="auto"/>
        </w:rPr>
        <w:t>media.relations@united.com</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Orders 110 New Aircraf with Deliveries Startng in 2028</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Order builds on early success of United Next strategy and includes 50 Boeing 787-9 and 60 A321neo aircraf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United also secures new optons for up to 50 more Boeing 787s and new purchase rights for up to 40 A321neos at the end of the decade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b w:val="1"/>
          <w:bCs w:val="1"/>
          <w:color w:val="auto"/>
        </w:rPr>
        <w:t xml:space="preserve">CHICAGO, Oct. 3, 2023 </w:t>
      </w:r>
      <w:r>
        <w:rPr>
          <w:rFonts w:ascii="Arial" w:cs="Arial" w:eastAsia="Arial" w:hAnsi="Arial"/>
          <w:sz w:val="20"/>
          <w:szCs w:val="20"/>
          <w:color w:val="auto"/>
        </w:rPr>
        <w:t>– United Airlines today announced orders for 110 more aircraf for delivery beginning in 2028, building on the early</w:t>
      </w:r>
      <w:r>
        <w:rPr>
          <w:rFonts w:ascii="Arial" w:cs="Arial" w:eastAsia="Arial" w:hAnsi="Arial"/>
          <w:sz w:val="20"/>
          <w:szCs w:val="20"/>
          <w:b w:val="1"/>
          <w:bCs w:val="1"/>
          <w:color w:val="auto"/>
        </w:rPr>
        <w:t xml:space="preserve"> </w:t>
      </w:r>
      <w:r>
        <w:rPr>
          <w:rFonts w:ascii="Arial" w:cs="Arial" w:eastAsia="Arial" w:hAnsi="Arial"/>
          <w:sz w:val="20"/>
          <w:szCs w:val="20"/>
          <w:color w:val="auto"/>
        </w:rPr>
        <w:t>success of United Next and adding additonal fexibility for its long-term feet.</w:t>
      </w:r>
    </w:p>
    <w:p>
      <w:pPr>
        <w:spacing w:after="0" w:line="136"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United converted previous optons and purchase rights into frm orders for 50 Boeing 787-9s for delivery between 2028 through 2031, as well as 60 Airbus A321neos for delivery between 2028 and 2030. The company also secured new optons for up to 50 more Boeing 787s and purchase rights for an additonal 40 A321neo aircraf at the end of the decade.</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"We’re building a bright future at United and this order takes our already successful United Next plan into the next decade and beyond," said United CEO Scot Kirby. "Our planning and focus on the long term have helped us surge past other airlines that stood stll. I’m convinced our strategy is the right one as we contnue to add new, larger aircraf to take full advantage of our growing fying opportunites both internatonally and domestcally."</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color w:val="auto"/>
        </w:rPr>
        <w:t>United expects to take delivery of about 800 new narrowbody and widebody aircraf between 2023 and the end of 2032.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Larger Aircraf to More Places</w:t>
      </w:r>
    </w:p>
    <w:p>
      <w:pPr>
        <w:spacing w:after="0" w:line="162" w:lineRule="exact"/>
        <w:rPr>
          <w:sz w:val="20"/>
          <w:szCs w:val="20"/>
          <w:color w:val="auto"/>
        </w:rPr>
      </w:pPr>
    </w:p>
    <w:p>
      <w:pPr>
        <w:jc w:val="both"/>
        <w:ind w:right="260"/>
        <w:spacing w:after="0" w:line="284" w:lineRule="auto"/>
        <w:rPr>
          <w:sz w:val="20"/>
          <w:szCs w:val="20"/>
          <w:color w:val="auto"/>
        </w:rPr>
      </w:pPr>
      <w:r>
        <w:rPr>
          <w:rFonts w:ascii="Arial" w:cs="Arial" w:eastAsia="Arial" w:hAnsi="Arial"/>
          <w:sz w:val="19"/>
          <w:szCs w:val="19"/>
          <w:color w:val="auto"/>
        </w:rPr>
        <w:t>A key component of the United Next plan is growth in gauge, essentally fying larger planes with more available seats on the same route. Given that United currently operates out of the largest markets in the country - Chicago, Denver, Houston, Los Angeles, Newark/NYC, San Francisco, and Washington, D.C. - upgauging also boosts overall connectvity domestcally and internatonally.</w:t>
      </w:r>
    </w:p>
    <w:p>
      <w:pPr>
        <w:spacing w:after="0" w:line="102" w:lineRule="exact"/>
        <w:rPr>
          <w:sz w:val="20"/>
          <w:szCs w:val="20"/>
          <w:color w:val="auto"/>
        </w:rPr>
      </w:pPr>
    </w:p>
    <w:p>
      <w:pPr>
        <w:ind w:right="80"/>
        <w:spacing w:after="0" w:line="299" w:lineRule="auto"/>
        <w:rPr>
          <w:sz w:val="20"/>
          <w:szCs w:val="20"/>
          <w:color w:val="auto"/>
        </w:rPr>
      </w:pPr>
      <w:r>
        <w:rPr>
          <w:rFonts w:ascii="Arial" w:cs="Arial" w:eastAsia="Arial" w:hAnsi="Arial"/>
          <w:sz w:val="18"/>
          <w:szCs w:val="18"/>
          <w:color w:val="auto"/>
        </w:rPr>
        <w:t>In 2019, United averaged 104 seats per North American departure, among the lowest in the industry. By 2027, United expects that number to jump more than 40% to over 145. United now has 180 A321neo and over 370 737 MAX aircraf on frm order through 2030, a combinaton that will drive the average seats per departure even higher on these larger aircraf, with even lower antcipated per-seat costs.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Fleet Flexibility</w:t>
      </w:r>
    </w:p>
    <w:p>
      <w:pPr>
        <w:spacing w:after="0" w:line="175" w:lineRule="exact"/>
        <w:rPr>
          <w:sz w:val="20"/>
          <w:szCs w:val="20"/>
          <w:color w:val="auto"/>
        </w:rPr>
      </w:pPr>
    </w:p>
    <w:p>
      <w:pPr>
        <w:jc w:val="both"/>
        <w:ind w:right="300"/>
        <w:spacing w:after="0" w:line="299" w:lineRule="auto"/>
        <w:rPr>
          <w:sz w:val="20"/>
          <w:szCs w:val="20"/>
          <w:color w:val="auto"/>
        </w:rPr>
      </w:pPr>
      <w:r>
        <w:rPr>
          <w:rFonts w:ascii="Arial" w:cs="Arial" w:eastAsia="Arial" w:hAnsi="Arial"/>
          <w:sz w:val="18"/>
          <w:szCs w:val="18"/>
          <w:color w:val="auto"/>
        </w:rPr>
        <w:t>United’s latest aircraf order starts at the end of the decade and can be used for feet growth or replacement, depending on the demand and the economic climate at the tme. And from a widebody perspectve, the 50 incremental 787-9s that United ordered today will allow the airline to further simplify its internatonal feet – another beneft to customers and employees as well as an area of cost savings.</w:t>
      </w:r>
    </w:p>
    <w:p>
      <w:pPr>
        <w:spacing w:after="0" w:line="90" w:lineRule="exact"/>
        <w:rPr>
          <w:sz w:val="20"/>
          <w:szCs w:val="20"/>
          <w:color w:val="auto"/>
        </w:rPr>
      </w:pPr>
    </w:p>
    <w:p>
      <w:pPr>
        <w:ind w:right="500"/>
        <w:spacing w:after="0" w:line="274" w:lineRule="auto"/>
        <w:rPr>
          <w:sz w:val="20"/>
          <w:szCs w:val="20"/>
          <w:color w:val="auto"/>
        </w:rPr>
      </w:pPr>
      <w:r>
        <w:rPr>
          <w:rFonts w:ascii="Arial" w:cs="Arial" w:eastAsia="Arial" w:hAnsi="Arial"/>
          <w:sz w:val="20"/>
          <w:szCs w:val="20"/>
          <w:color w:val="auto"/>
        </w:rPr>
        <w:t>United is already the largest carrier across the Atlantc and Pacifc. The airline now has 150 Boeing 787s on frm order – more than any airline in the world.</w:t>
      </w:r>
    </w:p>
    <w:p>
      <w:pPr>
        <w:sectPr>
          <w:pgSz w:w="11900" w:h="16838" w:orient="portrait"/>
          <w:cols w:equalWidth="0" w:num="1">
            <w:col w:w="11240"/>
          </w:cols>
          <w:pgMar w:left="320" w:top="121" w:right="339" w:bottom="1440" w:gutter="0" w:footer="0" w:header="0"/>
        </w:sectPr>
      </w:pPr>
    </w:p>
    <w:bookmarkStart w:id="6" w:name="page7"/>
    <w:bookmarkEnd w:id="6"/>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New Customer Amenites and Lower Carbon Emissions</w:t>
      </w:r>
    </w:p>
    <w:p>
      <w:pPr>
        <w:spacing w:after="0" w:line="175" w:lineRule="exact"/>
        <w:rPr>
          <w:sz w:val="20"/>
          <w:szCs w:val="20"/>
          <w:color w:val="auto"/>
        </w:rPr>
      </w:pPr>
    </w:p>
    <w:p>
      <w:pPr>
        <w:ind w:right="80"/>
        <w:spacing w:after="0" w:line="251" w:lineRule="auto"/>
        <w:rPr>
          <w:sz w:val="20"/>
          <w:szCs w:val="20"/>
          <w:color w:val="auto"/>
        </w:rPr>
      </w:pPr>
      <w:r>
        <w:rPr>
          <w:rFonts w:ascii="Arial" w:cs="Arial" w:eastAsia="Arial" w:hAnsi="Arial"/>
          <w:sz w:val="20"/>
          <w:szCs w:val="20"/>
          <w:color w:val="auto"/>
        </w:rPr>
        <w:t>The new aircraf in today’s order will have the same customer amenites, technological innovatons and fuel efciency benefts as previous United Next narrowbody and widebody orders. For narrowbodies, these include seatback screens in every seat, enough overhead room for everyone’s carry-on, Bluetooth connectvity, and fast Wi-Fi. And each new widebody features United Polaris® business class, where customers get their own pod with a lie-fat seats and 16-inch seatback screens. The airline recently announced new business class amenity products and services from Therabody and Saks Fifh Avenue.</w:t>
      </w:r>
    </w:p>
    <w:p>
      <w:pPr>
        <w:spacing w:after="0" w:line="147" w:lineRule="exact"/>
        <w:rPr>
          <w:sz w:val="20"/>
          <w:szCs w:val="20"/>
          <w:color w:val="auto"/>
        </w:rPr>
      </w:pPr>
    </w:p>
    <w:p>
      <w:pPr>
        <w:jc w:val="both"/>
        <w:ind w:right="20"/>
        <w:spacing w:after="0" w:line="251" w:lineRule="auto"/>
        <w:rPr>
          <w:sz w:val="20"/>
          <w:szCs w:val="20"/>
          <w:color w:val="auto"/>
        </w:rPr>
      </w:pPr>
      <w:r>
        <w:rPr>
          <w:rFonts w:ascii="Arial" w:cs="Arial" w:eastAsia="Arial" w:hAnsi="Arial"/>
          <w:sz w:val="20"/>
          <w:szCs w:val="20"/>
          <w:color w:val="auto"/>
        </w:rPr>
        <w:t>Plus, these new aircraf will contnue to reduce United’s per-seat carbon emissions compared to the older models they replace, in line with the airline’s expectaton to be net zero by 2050 by reducing GHG emissions 100% without relying on traditonal carbon ofsets. According to Boeing, the 787 Dreamliner contributes up to a 25% improvement in fuel efciency and lower carbon emissions per seat compared with the airplanes it replaces and according to Airbus, the A321neo brings a 50% noise reducton and more than 20% fuel savings and CO2 reducton compared to previous generaton single-aisle aircraf.</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color w:val="auto"/>
        </w:rPr>
        <w:t>United expects that 75% of its feet will be new-generaton by 2030.</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About United</w:t>
      </w:r>
    </w:p>
    <w:p>
      <w:pPr>
        <w:spacing w:after="0" w:line="175" w:lineRule="exact"/>
        <w:rPr>
          <w:sz w:val="20"/>
          <w:szCs w:val="20"/>
          <w:color w:val="auto"/>
        </w:rPr>
      </w:pPr>
    </w:p>
    <w:p>
      <w:pPr>
        <w:ind w:right="40"/>
        <w:spacing w:after="0" w:line="251" w:lineRule="auto"/>
        <w:rPr>
          <w:sz w:val="20"/>
          <w:szCs w:val="20"/>
          <w:color w:val="auto"/>
        </w:rPr>
      </w:pPr>
      <w:r>
        <w:rPr>
          <w:rFonts w:ascii="Arial" w:cs="Arial" w:eastAsia="Arial" w:hAnsi="Arial"/>
          <w:sz w:val="20"/>
          <w:szCs w:val="20"/>
          <w:color w:val="auto"/>
        </w:rPr>
        <w:t>At United, Good Leads The Way. With U.S. hubs in Chicago, Denver, Houston, Los Angeles, New York/Newark, San Francisco and Washington, D.C., United operates the most comprehensive global route network among North American carriers and is now the largest airline in the world as measured by available seat miles. For more about how to join the United team, please visit www.united.com/careers and more informaton about the company is at www.united.com. United Airlines Holdings, Inc., the parent company of United Airlines, Inc., is traded on the Nasdaq under the symbol "UAL".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Cautonary Statement Regarding Forward-Looking Statements:</w:t>
      </w:r>
    </w:p>
    <w:p>
      <w:pPr>
        <w:spacing w:after="0" w:line="162"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This press release contains certain "forward-looking statements," within the meaning of Secton 27A of the Securites Act and Secton 21E of the Exchange Act, relatng to, among other things, the potental impacts of the Company’s aircraf orders, including on the Company’s fnancial targets, route and capacity plans and emissions-related targets, and the Company’s fnancial targets. Such forward-looking statements are based on historical performance and current expectatons, estmates, forecasts and projectons about the Company’s future fnancial results, goals, plans, commitments, strategies and objectves and involve inherent risks, assumptons and uncertaintes, known or unknown, including internal or external factors that could delay, divert or change any of them, that are difcult to predict, may be beyond the Company’s control and could cause the Company's future fnancial results, goals, plans, commitments, strategies and objectves to difer materially from those expressed in, or implied by, the statements. Words such as "should," "could," "would," "will," "may," "expects," "plans," "intends," "antcipates," "indicates," "remains," "believes," "estmates," "projects," "forecast," "guidance," "outlook," "goals," "targets," "pledge", "confdent", "optmistc", "dedicated", "positoned" and other words and terms of similar meaning and expression are intended to identfy forward-looking statements, although not all forward-looking statements contain such terms. All statements, other than those that relate solely to historical facts, are forward-looking statements. Additonally, forward-looking statements include conditonal statements and statements that identfy uncertaintes or trends, discuss the possible future efects of known trends or uncertaintes, or that indicate that the future efects of known trends or uncertaintes cannot be predicted, guaranteed or assured. All forward-looking statements in this press release are based upon informaton available to us on the date of this press release. We undertake no obligaton to publicly update or revise any forward-looking statement, whether as a result of new informaton, future events, changed circumstances or otherwise, except as required by applicable law or regulaton.</w:t>
      </w:r>
    </w:p>
    <w:p>
      <w:pPr>
        <w:spacing w:after="0" w:line="108" w:lineRule="exact"/>
        <w:rPr>
          <w:sz w:val="20"/>
          <w:szCs w:val="20"/>
          <w:color w:val="auto"/>
        </w:rPr>
      </w:pPr>
    </w:p>
    <w:p>
      <w:pPr>
        <w:ind w:right="360"/>
        <w:spacing w:after="0" w:line="274" w:lineRule="auto"/>
        <w:rPr>
          <w:sz w:val="20"/>
          <w:szCs w:val="20"/>
          <w:color w:val="auto"/>
        </w:rPr>
      </w:pPr>
      <w:r>
        <w:rPr>
          <w:rFonts w:ascii="Arial" w:cs="Arial" w:eastAsia="Arial" w:hAnsi="Arial"/>
          <w:sz w:val="20"/>
          <w:szCs w:val="20"/>
          <w:color w:val="auto"/>
        </w:rPr>
        <w:t>The Company’s actual results could difer materially from these forward-looking statements due to numerous factors including, without limitaton, the following: any delay or inability of the Company to realize the expected</w:t>
      </w:r>
    </w:p>
    <w:p>
      <w:pPr>
        <w:sectPr>
          <w:pgSz w:w="11900" w:h="16838" w:orient="portrait"/>
          <w:cols w:equalWidth="0" w:num="1">
            <w:col w:w="11220"/>
          </w:cols>
          <w:pgMar w:left="320" w:top="1440" w:right="359" w:bottom="1440" w:gutter="0" w:footer="0" w:header="0"/>
        </w:sectPr>
      </w:pPr>
    </w:p>
    <w:bookmarkStart w:id="7" w:name="page8"/>
    <w:bookmarkEnd w:id="7"/>
    <w:p>
      <w:pPr>
        <w:spacing w:after="0" w:line="261" w:lineRule="auto"/>
        <w:rPr>
          <w:sz w:val="20"/>
          <w:szCs w:val="20"/>
          <w:color w:val="auto"/>
        </w:rPr>
      </w:pPr>
      <w:r>
        <w:rPr>
          <w:rFonts w:ascii="Arial" w:cs="Arial" w:eastAsia="Arial" w:hAnsi="Arial"/>
          <w:sz w:val="19"/>
          <w:szCs w:val="19"/>
          <w:color w:val="auto"/>
        </w:rPr>
        <w:t>benefts of the transactons, executon risks associated with our strategic operatng plan; changes in our network strategy or other factors outside our control resultng in less economic aircraf orders, costs related to modifcaton or terminaton of aircraf orders or entry into less favorable aircraf orders, as well as any inability to accept or integrate new aircraf into our feet as planned; any failure to efectvely manage, and receive antcipated benefts and returns from, acquisitons, divesttures, investments, joint ventures and other portolio actons, or related exposures to unknown liabilites or other issues or underperformance as compared to our expectatons; the adverse impacts of the ongoing COVID-19 global pandemic on our business, operatng results, fnancial conditon and liquidity; adverse publicity, harm to our brand, reduced travel demand, potental tort liability and voluntary or mandatory operatonal restrictons as a result of an accident, catastrophe or incident involving us, our regional carriers, our codeshare partners or another airline; the highly compettve nature of the global airline industry and susceptbility of the industry to price discountng and changes in capacity, including as a result of alliances, joint business arrangements or other consolidatons; our reliance on a limited number of suppliers to source a majority of our aircraf and certain parts, and the impact of any failure to obtain tmely deliveries, additonal equipment or support from any of these suppliers; disruptons to our regional network and United Express fights provided by third-party regional carriers; unfavorable economic and politcal conditons in the United States and globally (including infatonary pressures); reliance on third-party service providers and the impact of any signifcant failure of these partes to perform as expected, or interruptons in our relatonships with these providers or their provision of services; extended interruptons or disruptons in service at major airports where we operate and space, facility and infrastructure constrains at our hubs or other airports; geopolitcal confict, terrorist atacks or security events; any damage to our reputaton or brand image; our reliance on technology and automated systems to operate our business and the impact of any signifcant failure or disrupton of, or failure to efectvely integrate and implement, the technology or systems; increasing privacy and data security obligatons or a signifcant data breach; increased use of social media platorms by us, our employees and others; the impacts of union disputes, employee strikes or slowdowns, and other labor-related disruptons or regulatory compliance costs on our operatons or fnancial performance; any failure to atract, train or retain skilled personnel, including our senior management team or other key employees; the monetary and operatonal costs of compliance with extensive government regulaton of the airline industry; current or future litgaton and regulatory actons, or failure to comply with the terms of any setlement, order or arrangement relatng to these actons; costs, liabilites and risks associated with environmental regulaton and climate change, including our climate goals; high and/or volatle fuel prices or signifcant disruptons in the supply of aircraf fuel (including as a result of the Russia-Ukraine military confict); the impacts of our signifcant amount of fnancial leverage from fxed obligatons and the impacts of insufcient liquidity on our fnancial conditon and business; failure to comply with fnancial and other covenants governing our debt, including our MileagePlus® fnancing agreements; the impacts of the phaseout of the London interbank ofer rate; limitatons on our ability to use our net operatng loss carryforwards and certain other tax atributes to ofset future taxable income for U.S. federal income tax purposes; our failure to realize the full value of our intangible assets or our long-lived assets, causing us to record impairments; fuctuatons in the price of our common stock; the impacts of seasonality, weather events, infrastructure and other factors associated with the airline industry; increases in insurance costs or inadequate insurance coverage; and other risks and uncertaintes set forth in Part I, Item 1A. Risk Factors, and under "Economic and Market Factors" in Part II, Item 7. Management’s Discussion and Analysis of Financial Conditon and Results of Operatons, of our Annual Report on Form 10-K for the fscal year ended December 31, 2022, as well as other risks and uncertaintes set forth from tme to tme in the reports we fle with the U.S. Securites and Exchange Commission.</w:t>
      </w:r>
    </w:p>
    <w:sectPr>
      <w:pgSz w:w="11900" w:h="16838" w:orient="portrait"/>
      <w:cols w:equalWidth="0" w:num="1">
        <w:col w:w="11240"/>
      </w:cols>
      <w:pgMar w:left="320" w:top="10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872"/>
    </w:lvl>
  </w:abstractNum>
  <w:abstractNum w:abstractNumId="1">
    <w:nsid w:val="74B0DC51"/>
    <w:multiLevelType w:val="hybridMultilevel"/>
    <w:lvl w:ilvl="0">
      <w:lvlJc w:val="left"/>
      <w:lvlText w:val="(%1)"/>
      <w:numFmt w:val="decimal"/>
      <w:start w:val="87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2023-10-04T15:39:52Z</dcterms:created>
  <dcterms:modified xsi:type="dcterms:W3CDTF">2023-10-04T15:39:52Z</dcterms:modified>
</cp:coreProperties>
</file>