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auto"/>
        </w:rPr>
        <w:t>SEC Form 4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28" w:lineRule="exact"/>
        <w:rPr>
          <w:sz w:val="24"/>
          <w:szCs w:val="24"/>
          <w:color w:val="auto"/>
        </w:rPr>
      </w:pPr>
    </w:p>
    <w:p>
      <w:pPr>
        <w:ind w:left="340" w:right="80"/>
        <w:spacing w:after="0" w:line="25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1"/>
          <w:szCs w:val="11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1"/>
          <w:szCs w:val="11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33655</wp:posOffset>
            </wp:positionH>
            <wp:positionV relativeFrom="paragraph">
              <wp:posOffset>-230505</wp:posOffset>
            </wp:positionV>
            <wp:extent cx="121285" cy="12128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285" cy="1212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4" w:lineRule="exact"/>
        <w:rPr>
          <w:sz w:val="24"/>
          <w:szCs w:val="24"/>
          <w:color w:val="auto"/>
        </w:rPr>
      </w:pPr>
    </w:p>
    <w:p>
      <w:pPr>
        <w:ind w:left="340"/>
        <w:spacing w:after="0" w:line="24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33655</wp:posOffset>
            </wp:positionH>
            <wp:positionV relativeFrom="paragraph">
              <wp:posOffset>-572770</wp:posOffset>
            </wp:positionV>
            <wp:extent cx="121285" cy="12128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285" cy="1212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0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9"/>
        </w:trPr>
        <w:tc>
          <w:tcPr>
            <w:tcW w:w="6260" w:type="dxa"/>
            <w:vAlign w:val="bottom"/>
          </w:tcPr>
          <w:p>
            <w:pPr>
              <w:jc w:val="center"/>
              <w:ind w:right="1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260" w:type="dxa"/>
            <w:vAlign w:val="bottom"/>
            <w:vMerge w:val="restart"/>
          </w:tcPr>
          <w:p>
            <w:pPr>
              <w:jc w:val="center"/>
              <w:ind w:right="177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3"/>
        </w:trPr>
        <w:tc>
          <w:tcPr>
            <w:tcW w:w="6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60" w:type="dxa"/>
            <w:vAlign w:val="bottom"/>
            <w:vMerge w:val="restart"/>
          </w:tcPr>
          <w:p>
            <w:pPr>
              <w:jc w:val="center"/>
              <w:ind w:right="1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0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6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9"/>
        </w:trPr>
        <w:tc>
          <w:tcPr>
            <w:tcW w:w="6260" w:type="dxa"/>
            <w:vAlign w:val="bottom"/>
            <w:vMerge w:val="restart"/>
          </w:tcPr>
          <w:p>
            <w:pPr>
              <w:jc w:val="center"/>
              <w:ind w:right="1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5242560</wp:posOffset>
            </wp:positionH>
            <wp:positionV relativeFrom="paragraph">
              <wp:posOffset>-619760</wp:posOffset>
            </wp:positionV>
            <wp:extent cx="57785" cy="63309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30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3961765</wp:posOffset>
            </wp:positionH>
            <wp:positionV relativeFrom="paragraph">
              <wp:posOffset>-619760</wp:posOffset>
            </wp:positionV>
            <wp:extent cx="57785" cy="63309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30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-1661795</wp:posOffset>
            </wp:positionH>
            <wp:positionV relativeFrom="paragraph">
              <wp:posOffset>735330</wp:posOffset>
            </wp:positionV>
            <wp:extent cx="7047230" cy="422338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7230" cy="42233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0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00" w:space="300"/>
            <w:col w:w="8480"/>
          </w:cols>
          <w:pgMar w:left="460" w:top="216" w:right="359" w:bottom="1440" w:gutter="0" w:footer="0" w:header="0"/>
        </w:sectPr>
      </w:pPr>
    </w:p>
    <w:p>
      <w:pPr>
        <w:spacing w:after="0" w:line="18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0"/>
          <w:szCs w:val="20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0"/>
            <w:szCs w:val="20"/>
            <w:u w:val="single" w:color="auto"/>
            <w:color w:val="0000EE"/>
          </w:rPr>
          <w:t>SHAPIRO EDWARD</w:t>
        </w:r>
      </w:hyperlink>
    </w:p>
    <w:p>
      <w:pPr>
        <w:spacing w:after="0" w:line="29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7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P. O. BOX 66100 HDQLD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/>
        <w:rPr>
          <w:rFonts w:ascii="Times New Roman" w:cs="Times New Roman" w:eastAsia="Times New Roman" w:hAnsi="Times New Roman"/>
          <w:sz w:val="20"/>
          <w:szCs w:val="20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0"/>
            <w:szCs w:val="20"/>
            <w:u w:val="single" w:color="auto"/>
            <w:color w:val="0000EE"/>
          </w:rPr>
          <w:t>United Airlines Holdings, Inc.</w:t>
        </w:r>
        <w:r>
          <w:rPr>
            <w:rFonts w:ascii="Times New Roman" w:cs="Times New Roman" w:eastAsia="Times New Roman" w:hAnsi="Times New Roman"/>
            <w:sz w:val="20"/>
            <w:szCs w:val="20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[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UAL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]</w:t>
      </w:r>
    </w:p>
    <w:p>
      <w:pPr>
        <w:spacing w:after="0" w:line="25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06/30/2026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3" w:lineRule="exact"/>
        <w:rPr>
          <w:sz w:val="24"/>
          <w:szCs w:val="24"/>
          <w:color w:val="auto"/>
        </w:rPr>
      </w:pPr>
    </w:p>
    <w:p>
      <w:pPr>
        <w:ind w:left="4" w:right="660" w:hanging="4"/>
        <w:spacing w:after="0" w:line="254" w:lineRule="auto"/>
        <w:tabs>
          <w:tab w:leader="none" w:pos="146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524"/>
        <w:spacing w:after="0"/>
        <w:tabs>
          <w:tab w:leader="none" w:pos="2063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67" w:lineRule="exact"/>
        <w:rPr>
          <w:sz w:val="24"/>
          <w:szCs w:val="24"/>
          <w:color w:val="auto"/>
        </w:rPr>
      </w:pPr>
    </w:p>
    <w:p>
      <w:pPr>
        <w:jc w:val="right"/>
        <w:ind w:right="460"/>
        <w:spacing w:after="0"/>
        <w:tabs>
          <w:tab w:leader="none" w:pos="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ind w:left="524"/>
        <w:spacing w:after="0"/>
        <w:tabs>
          <w:tab w:leader="none" w:pos="2063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9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180" w:space="720"/>
            <w:col w:w="3120" w:space="716"/>
            <w:col w:w="3344"/>
          </w:cols>
          <w:pgMar w:left="460" w:top="216" w:right="359" w:bottom="1440" w:gutter="0" w:footer="0" w:header="0"/>
          <w:type w:val="continuous"/>
        </w:sectPr>
      </w:pPr>
    </w:p>
    <w:p>
      <w:pPr>
        <w:spacing w:after="0" w:line="230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8"/>
        </w:trPr>
        <w:tc>
          <w:tcPr>
            <w:tcW w:w="10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CHICAGO</w:t>
            </w:r>
          </w:p>
        </w:tc>
        <w:tc>
          <w:tcPr>
            <w:tcW w:w="104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IL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60666</w:t>
            </w:r>
          </w:p>
        </w:tc>
      </w:tr>
      <w:tr>
        <w:trPr>
          <w:trHeight w:val="1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4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ind w:left="38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43" w:lineRule="exact"/>
        <w:rPr>
          <w:sz w:val="24"/>
          <w:szCs w:val="24"/>
          <w:color w:val="auto"/>
        </w:rPr>
      </w:pPr>
    </w:p>
    <w:p>
      <w:pPr>
        <w:ind w:left="43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67" w:lineRule="exact"/>
        <w:rPr>
          <w:sz w:val="24"/>
          <w:szCs w:val="24"/>
          <w:color w:val="auto"/>
        </w:rPr>
      </w:pPr>
    </w:p>
    <w:p>
      <w:pPr>
        <w:ind w:left="43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ind w:left="43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8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40"/>
            <w:col w:w="7180"/>
          </w:cols>
          <w:pgMar w:left="460" w:top="216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2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4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2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7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28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10.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(D) (Instr. 3,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 and 5)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Number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</w:t>
            </w:r>
          </w:p>
        </w:tc>
        <w:tc>
          <w:tcPr>
            <w:tcW w:w="2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Title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Shares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2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Share</w:t>
            </w:r>
          </w:p>
        </w:tc>
        <w:tc>
          <w:tcPr>
            <w:tcW w:w="7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ind w:right="18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06/30/2026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292.21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(2)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ind w:right="2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292.21</w:t>
            </w:r>
          </w:p>
        </w:tc>
        <w:tc>
          <w:tcPr>
            <w:tcW w:w="68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21,746.22</w:t>
            </w:r>
          </w:p>
        </w:tc>
        <w:tc>
          <w:tcPr>
            <w:tcW w:w="74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160" w:hanging="120"/>
        <w:spacing w:after="0"/>
        <w:tabs>
          <w:tab w:leader="none" w:pos="16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share units convert to shares of common stock on a 1-for-1 basis.</w:t>
      </w:r>
    </w:p>
    <w:p>
      <w:pPr>
        <w:spacing w:after="0" w:line="41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60" w:hanging="120"/>
        <w:spacing w:after="0"/>
        <w:tabs>
          <w:tab w:leader="none" w:pos="16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2026 quarterly retainer fees that the Reporting Person elected to defer into a share account pursuant to the terms of the Company's 2006 Director Equity Incentive Plan ("DEIP").</w:t>
      </w:r>
    </w:p>
    <w:p>
      <w:pPr>
        <w:spacing w:after="0" w:line="41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60" w:hanging="120"/>
        <w:spacing w:after="0"/>
        <w:tabs>
          <w:tab w:leader="none" w:pos="16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share units will be settled in common stock following the Reporting Person's separation from service in accordance with the terms of the DEIP.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07" w:lineRule="exact"/>
        <w:rPr>
          <w:sz w:val="24"/>
          <w:szCs w:val="24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James Cotton for Edward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07/02/2026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520" w:type="dxa"/>
            <w:vAlign w:val="bottom"/>
            <w:tcBorders>
              <w:top w:val="single" w:sz="8" w:color="auto"/>
              <w:bottom w:val="single" w:sz="8" w:color="auto"/>
            </w:tcBorders>
            <w:vMerge w:val="restart"/>
          </w:tcPr>
          <w:p>
            <w:pPr>
              <w:spacing w:after="0" w:line="18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4"/>
              </w:rPr>
              <w:t>Shapiro</w:t>
            </w:r>
          </w:p>
        </w:tc>
        <w:tc>
          <w:tcPr>
            <w:tcW w:w="1360" w:type="dxa"/>
            <w:vAlign w:val="bottom"/>
            <w:tcBorders>
              <w:top w:val="single" w:sz="8" w:color="auto"/>
              <w:bottom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52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4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680"/>
        <w:spacing w:after="0" w:line="332" w:lineRule="auto"/>
        <w:tabs>
          <w:tab w:leader="none" w:pos="175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2"/>
          <w:szCs w:val="12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hyperlink" Target="http://www.sec.gov/cgi-bin/browse-edgar?action=getcompany&amp;CIK=0001168692" TargetMode="External"/><Relationship Id="rId14" Type="http://schemas.openxmlformats.org/officeDocument/2006/relationships/hyperlink" Target="http://www.sec.gov/cgi-bin/browse-edgar?action=getcompany&amp;CIK=000010051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2026-07-02T15:08:22Z</dcterms:created>
  <dcterms:modified xsi:type="dcterms:W3CDTF">2026-07-02T15:08:22Z</dcterms:modified>
</cp:coreProperties>
</file>