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860425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17, 2024</w:t>
      </w:r>
    </w:p>
    <w:p>
      <w:pPr>
        <w:spacing w:after="0" w:line="2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AIRLINES HOLDINGS, INC.</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AIRLINES, INC.</w:t>
      </w:r>
    </w:p>
    <w:p>
      <w:pPr>
        <w:spacing w:after="0" w:line="245"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614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000" w:type="dxa"/>
            <w:vAlign w:val="bottom"/>
          </w:tcPr>
          <w:p>
            <w:pPr>
              <w:spacing w:after="0"/>
              <w:rPr>
                <w:sz w:val="20"/>
                <w:szCs w:val="20"/>
                <w:color w:val="auto"/>
              </w:rPr>
            </w:pPr>
          </w:p>
        </w:tc>
      </w:tr>
      <w:tr>
        <w:trPr>
          <w:trHeight w:val="248"/>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0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001-06033</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36-2675207</w:t>
            </w:r>
          </w:p>
        </w:tc>
      </w:tr>
      <w:tr>
        <w:trPr>
          <w:trHeight w:val="233"/>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0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001-10323</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74-2099724</w:t>
            </w:r>
          </w:p>
        </w:tc>
      </w:tr>
      <w:tr>
        <w:trPr>
          <w:trHeight w:val="230"/>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100" w:type="dxa"/>
            <w:vAlign w:val="bottom"/>
            <w:gridSpan w:val="2"/>
          </w:tcPr>
          <w:p>
            <w:pPr>
              <w:jc w:val="center"/>
              <w:ind w:right="85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329"/>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233 S. Wacker Drive,</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Chicago,</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IL</w:t>
            </w: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233 S. Wacker Drive,</w:t>
            </w:r>
          </w:p>
        </w:tc>
        <w:tc>
          <w:tcPr>
            <w:tcW w:w="1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Chicago,</w:t>
            </w:r>
          </w:p>
        </w:tc>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IL</w:t>
            </w: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34"/>
        </w:trPr>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72"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31" w:lineRule="exact"/>
        <w:rPr>
          <w:rFonts w:ascii="Times New Roman" w:cs="Times New Roman" w:eastAsia="Times New Roman" w:hAnsi="Times New Roman"/>
          <w:sz w:val="18"/>
          <w:szCs w:val="18"/>
          <w:b w:val="1"/>
          <w:bCs w:val="1"/>
          <w:color w:val="auto"/>
        </w:rPr>
      </w:pPr>
    </w:p>
    <w:p>
      <w:pPr>
        <w:ind w:left="5500" w:hanging="438"/>
        <w:spacing w:after="0"/>
        <w:tabs>
          <w:tab w:leader="none" w:pos="5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9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48"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6"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4"/>
        </w:trPr>
        <w:tc>
          <w:tcPr>
            <w:tcW w:w="3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280" w:type="dxa"/>
            <w:vAlign w:val="bottom"/>
          </w:tcPr>
          <w:p>
            <w:pPr>
              <w:spacing w:after="0"/>
              <w:rPr>
                <w:sz w:val="14"/>
                <w:szCs w:val="14"/>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$0.01 par value</w:t>
            </w:r>
          </w:p>
        </w:tc>
        <w:tc>
          <w:tcPr>
            <w:tcW w:w="280" w:type="dxa"/>
            <w:vAlign w:val="bottom"/>
          </w:tcPr>
          <w:p>
            <w:pPr>
              <w:spacing w:after="0"/>
              <w:rPr>
                <w:sz w:val="14"/>
                <w:szCs w:val="14"/>
                <w:color w:val="auto"/>
              </w:rPr>
            </w:pPr>
          </w:p>
        </w:tc>
        <w:tc>
          <w:tcPr>
            <w:tcW w:w="1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UAL</w:t>
            </w:r>
          </w:p>
        </w:tc>
        <w:tc>
          <w:tcPr>
            <w:tcW w:w="240" w:type="dxa"/>
            <w:vAlign w:val="bottom"/>
          </w:tcPr>
          <w:p>
            <w:pPr>
              <w:spacing w:after="0"/>
              <w:rPr>
                <w:sz w:val="14"/>
                <w:szCs w:val="14"/>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71"/>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7"/>
              </w:rPr>
              <w:t>Preferred Stock Purchase Rights</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None</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175"/>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Airlines, Inc.</w:t>
            </w:r>
          </w:p>
        </w:tc>
        <w:tc>
          <w:tcPr>
            <w:tcW w:w="23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color w:val="auto"/>
                <w:w w:val="99"/>
              </w:rPr>
              <w:t>None</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None</w:t>
            </w:r>
          </w:p>
        </w:tc>
        <w:tc>
          <w:tcPr>
            <w:tcW w:w="3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None</w:t>
            </w:r>
          </w:p>
        </w:tc>
      </w:tr>
    </w:tbl>
    <w:p>
      <w:pPr>
        <w:spacing w:after="0" w:line="340" w:lineRule="exact"/>
        <w:rPr>
          <w:sz w:val="24"/>
          <w:szCs w:val="24"/>
          <w:color w:val="auto"/>
        </w:rPr>
      </w:pPr>
    </w:p>
    <w:p>
      <w:pPr>
        <w:ind w:right="4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96" w:lineRule="exact"/>
        <w:rPr>
          <w:sz w:val="24"/>
          <w:szCs w:val="24"/>
          <w:color w:val="auto"/>
        </w:rPr>
      </w:pPr>
    </w:p>
    <w:p>
      <w:pPr>
        <w:ind w:right="9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13335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38735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July 17, 2024, United Airlines Holdings, Inc. ("UAL"), the holding company whose subsidiary is United Airlines, Inc. ("United," and together with UAL, the "Company"), issued a press release (the "Earnings Press Release") announcing the financial results of the Company for the second quarter of 2024. A copy of the Earnings Press Release is furnished pursuant to this Item 2.02 as Exhibit 99.1 to this Current Report on Form 8-K and incorporated by reference herein in its entirety.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17, 2024, the Company posted on its investor relations website at ir.united.com an investor update (the "Investor Update") providing additional information on the Company's business outlook (including certain financial and operational guidance). A copy of the Investor Update is furnished pursuant to this Item 7.01 as Exhibit 99.2 to this Current Report on Form 8-K and incorporated by reference herein in its entirety. The Investor Update should be read in conjunction with the Earnings Press Release. The Company reserves the right to discontinue availability of the Investor Update from its website at any time.</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General Instruction B.2. to Form 8-K, the information set forth in this Current Report on Form 8-K, including Exhibits 99.1 and 99.2, shall not be deemed "filed" for purposes of Section 18 of the Securities Exchange Act of 1934, as amended (the "Exchange Act"), or otherwise subject to the liabilities thereof, nor shall it be incorporated by reference into future filings by the Company under the Exchange Act or under the Securities Act of 1933, as amended, except to the extent specifically provided in any such filing. Additionally, the submission of the information set forth in this Item 7.01 is not deemed an admission as to the materiality of any information in this Current Report on Form 8-K that is required to be disclosed solely by Regulation FD.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issued by United Airlines Holdings, Inc. dated July 17, 2024</w:t>
            </w:r>
          </w:p>
        </w:tc>
      </w:tr>
      <w:tr>
        <w:trPr>
          <w:trHeight w:val="20"/>
        </w:trPr>
        <w:tc>
          <w:tcPr>
            <w:tcW w:w="2380" w:type="dxa"/>
            <w:vAlign w:val="bottom"/>
          </w:tcPr>
          <w:p>
            <w:pPr>
              <w:spacing w:after="0" w:line="20" w:lineRule="exact"/>
              <w:rPr>
                <w:sz w:val="1"/>
                <w:szCs w:val="1"/>
                <w:color w:val="auto"/>
              </w:rPr>
            </w:pPr>
          </w:p>
        </w:tc>
        <w:tc>
          <w:tcPr>
            <w:tcW w:w="5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Investor Update issued by United Airlines Holdings, Inc. dated July 17, 2024</w:t>
            </w:r>
          </w:p>
        </w:tc>
        <w:tc>
          <w:tcPr>
            <w:tcW w:w="220" w:type="dxa"/>
            <w:vAlign w:val="bottom"/>
          </w:tcPr>
          <w:p>
            <w:pPr>
              <w:spacing w:after="0"/>
              <w:rPr>
                <w:sz w:val="22"/>
                <w:szCs w:val="22"/>
                <w:color w:val="auto"/>
              </w:rPr>
            </w:pPr>
          </w:p>
        </w:tc>
      </w:tr>
      <w:tr>
        <w:trPr>
          <w:trHeight w:val="34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9" w:right="399" w:bottom="1440" w:gutter="0" w:footer="0" w:header="0"/>
        </w:sectPr>
      </w:pPr>
    </w:p>
    <w:bookmarkStart w:id="2" w:name="page3"/>
    <w:bookmarkEnd w:id="2"/>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200" w:lineRule="exact"/>
        <w:rPr>
          <w:sz w:val="20"/>
          <w:szCs w:val="20"/>
          <w:color w:val="auto"/>
        </w:rPr>
      </w:pPr>
    </w:p>
    <w:p>
      <w:pPr>
        <w:spacing w:after="0" w:line="263" w:lineRule="exact"/>
        <w:rPr>
          <w:sz w:val="20"/>
          <w:szCs w:val="20"/>
          <w:color w:val="auto"/>
        </w:rPr>
      </w:pPr>
    </w:p>
    <w:tbl>
      <w:tblPr>
        <w:tblLayout w:type="fixed"/>
        <w:tblInd w:w="5160" w:type="dxa"/>
        <w:tblCellMar>
          <w:top w:w="0" w:type="dxa"/>
          <w:left w:w="0" w:type="dxa"/>
          <w:bottom w:w="0" w:type="dxa"/>
          <w:right w:w="0" w:type="dxa"/>
        </w:tblCellMar>
      </w:tblPr>
      <w:tr>
        <w:trPr>
          <w:trHeight w:val="24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Leskinen</w:t>
            </w:r>
          </w:p>
        </w:tc>
      </w:tr>
      <w:tr>
        <w:trPr>
          <w:trHeight w:val="25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Leskinen</w:t>
            </w:r>
          </w:p>
        </w:tc>
      </w:tr>
      <w:tr>
        <w:trPr>
          <w:trHeight w:val="25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17, 2024</w:t>
      </w:r>
    </w:p>
    <w:p>
      <w:pPr>
        <w:sectPr>
          <w:pgSz w:w="11900" w:h="16838" w:orient="portrait"/>
          <w:cols w:equalWidth="0" w:num="1">
            <w:col w:w="11240"/>
          </w:cols>
          <w:pgMar w:left="320" w:top="1440" w:right="339" w:bottom="7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40" w:right="339" w:bottom="70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-137160</wp:posOffset>
            </wp:positionV>
            <wp:extent cx="1834515" cy="754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4515" cy="754380"/>
                    </a:xfrm>
                    <a:prstGeom prst="rect">
                      <a:avLst/>
                    </a:prstGeom>
                    <a:noFill/>
                  </pic:spPr>
                </pic:pic>
              </a:graphicData>
            </a:graphic>
          </wp:anchor>
        </w:drawing>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United Airlines</w:t>
      </w:r>
    </w:p>
    <w:p>
      <w:pPr>
        <w:ind w:left="20"/>
        <w:spacing w:after="0" w:line="211" w:lineRule="auto"/>
        <w:rPr>
          <w:sz w:val="20"/>
          <w:szCs w:val="20"/>
          <w:color w:val="auto"/>
        </w:rPr>
      </w:pPr>
      <w:r>
        <w:rPr>
          <w:rFonts w:ascii="Times New Roman" w:cs="Times New Roman" w:eastAsia="Times New Roman" w:hAnsi="Times New Roman"/>
          <w:sz w:val="20"/>
          <w:szCs w:val="20"/>
          <w:b w:val="1"/>
          <w:bCs w:val="1"/>
          <w:color w:val="auto"/>
        </w:rPr>
        <w:t>Worldwide Media Relations</w:t>
      </w:r>
    </w:p>
    <w:p>
      <w:pPr>
        <w:ind w:left="20"/>
        <w:spacing w:after="0" w:line="211" w:lineRule="auto"/>
        <w:rPr>
          <w:sz w:val="20"/>
          <w:szCs w:val="20"/>
          <w:color w:val="auto"/>
        </w:rPr>
      </w:pPr>
      <w:r>
        <w:rPr>
          <w:rFonts w:ascii="Times New Roman" w:cs="Times New Roman" w:eastAsia="Times New Roman" w:hAnsi="Times New Roman"/>
          <w:sz w:val="20"/>
          <w:szCs w:val="20"/>
          <w:color w:val="auto"/>
        </w:rPr>
        <w:t>872.825.8640</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media.relations@united.com</w:t>
      </w:r>
    </w:p>
    <w:p>
      <w:pPr>
        <w:spacing w:after="0" w:line="260" w:lineRule="exact"/>
        <w:rPr>
          <w:sz w:val="20"/>
          <w:szCs w:val="20"/>
          <w:color w:val="auto"/>
        </w:rPr>
      </w:pPr>
    </w:p>
    <w:p>
      <w:pPr>
        <w:jc w:val="center"/>
        <w:ind w:left="340" w:right="300"/>
        <w:spacing w:after="0" w:line="235" w:lineRule="auto"/>
        <w:rPr>
          <w:sz w:val="20"/>
          <w:szCs w:val="20"/>
          <w:color w:val="auto"/>
        </w:rPr>
      </w:pPr>
      <w:r>
        <w:rPr>
          <w:rFonts w:ascii="Calibri" w:cs="Calibri" w:eastAsia="Calibri" w:hAnsi="Calibri"/>
          <w:sz w:val="32"/>
          <w:szCs w:val="32"/>
          <w:b w:val="1"/>
          <w:bCs w:val="1"/>
          <w:color w:val="auto"/>
        </w:rPr>
        <w:t>United Airlines Announces Second-Quarter 2024 Financial Results; Achieves 2Q EPS Expectatons</w:t>
      </w:r>
    </w:p>
    <w:p>
      <w:pPr>
        <w:spacing w:after="0" w:line="345" w:lineRule="exact"/>
        <w:rPr>
          <w:sz w:val="20"/>
          <w:szCs w:val="20"/>
          <w:color w:val="auto"/>
        </w:rPr>
      </w:pPr>
    </w:p>
    <w:p>
      <w:pPr>
        <w:jc w:val="center"/>
        <w:spacing w:after="0"/>
        <w:rPr>
          <w:sz w:val="20"/>
          <w:szCs w:val="20"/>
          <w:color w:val="auto"/>
        </w:rPr>
      </w:pPr>
      <w:r>
        <w:rPr>
          <w:rFonts w:ascii="Calibri" w:cs="Calibri" w:eastAsia="Calibri" w:hAnsi="Calibri"/>
          <w:sz w:val="20"/>
          <w:szCs w:val="20"/>
          <w:i w:val="1"/>
          <w:iCs w:val="1"/>
          <w:color w:val="auto"/>
        </w:rPr>
        <w:t>2Q pre-tax margin expected to be among industry leaders, despite excess industry capacity in the domestc market</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i w:val="1"/>
          <w:iCs w:val="1"/>
          <w:color w:val="auto"/>
        </w:rPr>
        <w:t>Expect best unit revenue performance among large peers</w:t>
      </w:r>
    </w:p>
    <w:p>
      <w:pPr>
        <w:spacing w:after="0" w:line="238" w:lineRule="exact"/>
        <w:rPr>
          <w:sz w:val="20"/>
          <w:szCs w:val="20"/>
          <w:color w:val="auto"/>
        </w:rPr>
      </w:pPr>
    </w:p>
    <w:p>
      <w:pPr>
        <w:jc w:val="center"/>
        <w:ind w:left="340" w:right="220"/>
        <w:spacing w:after="0" w:line="221" w:lineRule="auto"/>
        <w:rPr>
          <w:sz w:val="20"/>
          <w:szCs w:val="20"/>
          <w:color w:val="auto"/>
        </w:rPr>
      </w:pPr>
      <w:r>
        <w:rPr>
          <w:rFonts w:ascii="Calibri" w:cs="Calibri" w:eastAsia="Calibri" w:hAnsi="Calibri"/>
          <w:sz w:val="20"/>
          <w:szCs w:val="20"/>
          <w:i w:val="1"/>
          <w:iCs w:val="1"/>
          <w:color w:val="auto"/>
        </w:rPr>
        <w:t>United's key revenue diversity advantages – Premium revenue, Basic Economy revenue and market share shif among domestc road warriors – gained additonal momentum in 2Q</w:t>
      </w: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0"/>
          <w:szCs w:val="20"/>
          <w:i w:val="1"/>
          <w:iCs w:val="1"/>
          <w:color w:val="auto"/>
        </w:rPr>
        <w:t>Sees mid-August as infecton point when industry-wide oversupply eases and United is best positoned to beneft</w:t>
      </w:r>
    </w:p>
    <w:p>
      <w:pPr>
        <w:spacing w:after="0" w:line="306" w:lineRule="exact"/>
        <w:rPr>
          <w:sz w:val="20"/>
          <w:szCs w:val="20"/>
          <w:color w:val="auto"/>
        </w:rPr>
      </w:pPr>
    </w:p>
    <w:p>
      <w:pPr>
        <w:ind w:right="160" w:firstLine="648"/>
        <w:spacing w:after="0" w:line="300" w:lineRule="auto"/>
        <w:rPr>
          <w:sz w:val="20"/>
          <w:szCs w:val="20"/>
          <w:color w:val="auto"/>
        </w:rPr>
      </w:pPr>
      <w:r>
        <w:rPr>
          <w:rFonts w:ascii="Calibri" w:cs="Calibri" w:eastAsia="Calibri" w:hAnsi="Calibri"/>
          <w:sz w:val="20"/>
          <w:szCs w:val="20"/>
          <w:b w:val="1"/>
          <w:bCs w:val="1"/>
          <w:color w:val="auto"/>
        </w:rPr>
        <w:t xml:space="preserve">CHICAGO, July 17, 2024 </w:t>
      </w:r>
      <w:r>
        <w:rPr>
          <w:rFonts w:ascii="Calibri" w:cs="Calibri" w:eastAsia="Calibri" w:hAnsi="Calibri"/>
          <w:sz w:val="20"/>
          <w:szCs w:val="20"/>
          <w:color w:val="auto"/>
        </w:rPr>
        <w:t>– United Airlines (UAL) today reported second-quarter 2024 fnancial results. The company had pre-tax</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earnings of $1.7 billion, with a pre-tax margin of 11.6%; adjusted pre-tax earnings</w:t>
      </w:r>
      <w:r>
        <w:rPr>
          <w:rFonts w:ascii="Calibri" w:cs="Calibri" w:eastAsia="Calibri" w:hAnsi="Calibri"/>
          <w:sz w:val="25"/>
          <w:szCs w:val="25"/>
          <w:color w:val="auto"/>
          <w:vertAlign w:val="superscript"/>
        </w:rPr>
        <w:t>1</w:t>
      </w:r>
      <w:r>
        <w:rPr>
          <w:rFonts w:ascii="Calibri" w:cs="Calibri" w:eastAsia="Calibri" w:hAnsi="Calibri"/>
          <w:sz w:val="20"/>
          <w:szCs w:val="20"/>
          <w:color w:val="auto"/>
        </w:rPr>
        <w:t xml:space="preserve"> of $1.8 billion, with an adjusted pre-tax margin</w:t>
      </w:r>
      <w:r>
        <w:rPr>
          <w:rFonts w:ascii="Calibri" w:cs="Calibri" w:eastAsia="Calibri" w:hAnsi="Calibri"/>
          <w:sz w:val="25"/>
          <w:szCs w:val="25"/>
          <w:color w:val="auto"/>
          <w:vertAlign w:val="superscript"/>
        </w:rPr>
        <w:t>1</w:t>
      </w:r>
      <w:r>
        <w:rPr>
          <w:rFonts w:ascii="Calibri" w:cs="Calibri" w:eastAsia="Calibri" w:hAnsi="Calibri"/>
          <w:sz w:val="20"/>
          <w:szCs w:val="20"/>
          <w:color w:val="auto"/>
        </w:rPr>
        <w:t xml:space="preserve"> of</w:t>
      </w:r>
    </w:p>
    <w:p>
      <w:pPr>
        <w:spacing w:after="0" w:line="2" w:lineRule="exact"/>
        <w:rPr>
          <w:sz w:val="20"/>
          <w:szCs w:val="20"/>
          <w:color w:val="auto"/>
        </w:rPr>
      </w:pPr>
    </w:p>
    <w:p>
      <w:pPr>
        <w:jc w:val="both"/>
        <w:ind w:right="60"/>
        <w:spacing w:after="0" w:line="288" w:lineRule="auto"/>
        <w:rPr>
          <w:sz w:val="20"/>
          <w:szCs w:val="20"/>
          <w:color w:val="auto"/>
        </w:rPr>
      </w:pPr>
      <w:r>
        <w:rPr>
          <w:rFonts w:ascii="Calibri" w:cs="Calibri" w:eastAsia="Calibri" w:hAnsi="Calibri"/>
          <w:sz w:val="20"/>
          <w:szCs w:val="20"/>
          <w:color w:val="auto"/>
        </w:rPr>
        <w:t>12.1%. The company expects pre-tax margin to be near the top of the industry. The company also achieved diluted earnings per share of $3.96; adjusted diluted earnings per share</w:t>
      </w:r>
      <w:r>
        <w:rPr>
          <w:rFonts w:ascii="Calibri" w:cs="Calibri" w:eastAsia="Calibri" w:hAnsi="Calibri"/>
          <w:sz w:val="25"/>
          <w:szCs w:val="25"/>
          <w:color w:val="auto"/>
          <w:vertAlign w:val="superscript"/>
        </w:rPr>
        <w:t>1</w:t>
      </w:r>
      <w:r>
        <w:rPr>
          <w:rFonts w:ascii="Calibri" w:cs="Calibri" w:eastAsia="Calibri" w:hAnsi="Calibri"/>
          <w:sz w:val="20"/>
          <w:szCs w:val="20"/>
          <w:color w:val="auto"/>
        </w:rPr>
        <w:t xml:space="preserve"> of $4.14, in line with second-quarter 2024 guidance provided at the start of the quarter. The company contnues to expect full-year 2024 adjusted diluted earnings per share</w:t>
      </w:r>
      <w:r>
        <w:rPr>
          <w:rFonts w:ascii="Calibri" w:cs="Calibri" w:eastAsia="Calibri" w:hAnsi="Calibri"/>
          <w:sz w:val="25"/>
          <w:szCs w:val="25"/>
          <w:color w:val="auto"/>
          <w:vertAlign w:val="superscript"/>
        </w:rPr>
        <w:t>2</w:t>
      </w:r>
      <w:r>
        <w:rPr>
          <w:rFonts w:ascii="Calibri" w:cs="Calibri" w:eastAsia="Calibri" w:hAnsi="Calibri"/>
          <w:sz w:val="20"/>
          <w:szCs w:val="20"/>
          <w:color w:val="auto"/>
        </w:rPr>
        <w:t xml:space="preserve"> of $9 to $11.</w:t>
      </w:r>
    </w:p>
    <w:p>
      <w:pPr>
        <w:spacing w:after="0" w:line="1" w:lineRule="exact"/>
        <w:rPr>
          <w:sz w:val="20"/>
          <w:szCs w:val="20"/>
          <w:color w:val="auto"/>
        </w:rPr>
      </w:pPr>
    </w:p>
    <w:p>
      <w:pPr>
        <w:ind w:right="40" w:firstLine="648"/>
        <w:spacing w:after="0" w:line="337" w:lineRule="auto"/>
        <w:rPr>
          <w:sz w:val="20"/>
          <w:szCs w:val="20"/>
          <w:color w:val="auto"/>
        </w:rPr>
      </w:pPr>
      <w:r>
        <w:rPr>
          <w:rFonts w:ascii="Calibri" w:cs="Calibri" w:eastAsia="Calibri" w:hAnsi="Calibri"/>
          <w:sz w:val="20"/>
          <w:szCs w:val="20"/>
          <w:color w:val="auto"/>
        </w:rPr>
        <w:t>For nearly two years, the airline has been antcipatng signifcant domestc capacity reductons recently announced by a variety of U.S. airlines this summer and mid-August is an infecton point, with published schedule changes showing an approximately 3 point decline in industry capacity growth rate. The airline expects three critcal revenue diversity advantages that propelled it to the top of the industry during this challenging period to further accelerate. The frst, premium revenue, grew 8.5% in the second quarter versus the same quarter last year. The second, Basic Economy revenue, grew 38% year-over-year during the quarter. The third, market share among domestc road warriors, increased during the quarter year-over-year.</w:t>
      </w:r>
    </w:p>
    <w:p>
      <w:pPr>
        <w:spacing w:after="0" w:line="9" w:lineRule="exact"/>
        <w:rPr>
          <w:sz w:val="20"/>
          <w:szCs w:val="20"/>
          <w:color w:val="auto"/>
        </w:rPr>
      </w:pPr>
    </w:p>
    <w:p>
      <w:pPr>
        <w:ind w:right="60" w:firstLine="648"/>
        <w:spacing w:after="0" w:line="339" w:lineRule="auto"/>
        <w:rPr>
          <w:sz w:val="20"/>
          <w:szCs w:val="20"/>
          <w:color w:val="auto"/>
        </w:rPr>
      </w:pPr>
      <w:r>
        <w:rPr>
          <w:rFonts w:ascii="Calibri" w:cs="Calibri" w:eastAsia="Calibri" w:hAnsi="Calibri"/>
          <w:sz w:val="20"/>
          <w:szCs w:val="20"/>
          <w:color w:val="212121"/>
        </w:rPr>
        <w:t>"The revenue diversity advantages that we've built with our premium customers, Basic Economy customers, and domestc road warriors, on top of the world's best loyalty program and leading customer service, have propelled our margins to near the top of the industry," said United Airlines CEO Scot Kirby. "Looking forward, we see multple airlines have begun to cancel loss-making capacity, and we expect leading unit revenue performance among our largest peers in the second half of the third quarter. United has long been preparing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48" w:lineRule="exact"/>
        <w:rPr>
          <w:sz w:val="20"/>
          <w:szCs w:val="20"/>
          <w:color w:val="auto"/>
        </w:rPr>
      </w:pPr>
    </w:p>
    <w:p>
      <w:pPr>
        <w:ind w:left="80" w:hanging="72"/>
        <w:spacing w:after="0"/>
        <w:tabs>
          <w:tab w:leader="none" w:pos="80" w:val="left"/>
        </w:tabs>
        <w:numPr>
          <w:ilvl w:val="0"/>
          <w:numId w:val="4"/>
        </w:numPr>
        <w:rPr>
          <w:rFonts w:ascii="Calibri" w:cs="Calibri" w:eastAsia="Calibri" w:hAnsi="Calibri"/>
          <w:sz w:val="19"/>
          <w:szCs w:val="19"/>
          <w:color w:val="auto"/>
          <w:vertAlign w:val="superscript"/>
        </w:rPr>
      </w:pPr>
      <w:r>
        <w:rPr>
          <w:rFonts w:ascii="Calibri" w:cs="Calibri" w:eastAsia="Calibri" w:hAnsi="Calibri"/>
          <w:sz w:val="14"/>
          <w:szCs w:val="14"/>
          <w:color w:val="auto"/>
        </w:rPr>
        <w:t>For additonal informaton about the non-GAAP measures used in this press release, see "Non-GAAP Financial Informaton" below.</w:t>
      </w:r>
    </w:p>
    <w:p>
      <w:pPr>
        <w:spacing w:after="0" w:line="17" w:lineRule="exact"/>
        <w:rPr>
          <w:sz w:val="20"/>
          <w:szCs w:val="20"/>
          <w:color w:val="auto"/>
        </w:rPr>
      </w:pPr>
    </w:p>
    <w:p>
      <w:pPr>
        <w:ind w:right="160" w:firstLine="8"/>
        <w:spacing w:after="0" w:line="203" w:lineRule="auto"/>
        <w:tabs>
          <w:tab w:leader="none" w:pos="80" w:val="left"/>
        </w:tabs>
        <w:numPr>
          <w:ilvl w:val="0"/>
          <w:numId w:val="5"/>
        </w:numPr>
        <w:rPr>
          <w:rFonts w:ascii="Calibri" w:cs="Calibri" w:eastAsia="Calibri" w:hAnsi="Calibri"/>
          <w:sz w:val="19"/>
          <w:szCs w:val="19"/>
          <w:color w:val="auto"/>
          <w:vertAlign w:val="superscript"/>
        </w:rPr>
      </w:pPr>
      <w:r>
        <w:rPr>
          <w:rFonts w:ascii="Calibri" w:cs="Calibri" w:eastAsia="Calibri" w:hAnsi="Calibri"/>
          <w:sz w:val="14"/>
          <w:szCs w:val="14"/>
          <w:color w:val="auto"/>
        </w:rPr>
        <w:t>Adjusted diluted earnings per share is a non-GAAP fnancial measure that excludes operatng and nonoperatng special charges and unrealized (gains) losses on investments, net. We are not providing a target for or a reconciliaton to diluted earnings per share, the most directly comparable GAAP measure, because we are unable to predict the excluded items noted above contained in the GAAP measure without unreasonable eforts, and therefore we also are not able to predict the probable signifcance of such items. For additonal informaton about the non-GAAP measures used in this press release, see "Non-GAAP Financial Informaton" below.</w:t>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color w:val="auto"/>
        </w:rPr>
        <w:t>United Airlines Reports Second-Quarter 2024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alibri" w:cs="Calibri" w:eastAsia="Calibri" w:hAnsi="Calibri"/>
          <w:sz w:val="20"/>
          <w:szCs w:val="20"/>
          <w:color w:val="212121"/>
        </w:rPr>
        <w:t>the moment when industry wide domestc capacity would adjust - it's now clear that infecton point is just 30 days away."</w:t>
      </w:r>
    </w:p>
    <w:p>
      <w:pPr>
        <w:spacing w:after="0" w:line="117" w:lineRule="exact"/>
        <w:rPr>
          <w:sz w:val="20"/>
          <w:szCs w:val="20"/>
          <w:color w:val="auto"/>
        </w:rPr>
      </w:pPr>
    </w:p>
    <w:p>
      <w:pPr>
        <w:ind w:firstLine="648"/>
        <w:spacing w:after="0" w:line="298" w:lineRule="auto"/>
        <w:rPr>
          <w:sz w:val="20"/>
          <w:szCs w:val="20"/>
          <w:color w:val="auto"/>
        </w:rPr>
      </w:pPr>
      <w:r>
        <w:rPr>
          <w:rFonts w:ascii="Calibri" w:cs="Calibri" w:eastAsia="Calibri" w:hAnsi="Calibri"/>
          <w:sz w:val="20"/>
          <w:szCs w:val="20"/>
          <w:color w:val="auto"/>
        </w:rPr>
        <w:t>United has also contnued to strategically manage the business in the face of industry wide challenges. United reduced costs and delivered CASM of down 4.8% and beter-than-expected CASM-ex</w:t>
      </w:r>
      <w:r>
        <w:rPr>
          <w:rFonts w:ascii="Calibri" w:cs="Calibri" w:eastAsia="Calibri" w:hAnsi="Calibri"/>
          <w:sz w:val="25"/>
          <w:szCs w:val="25"/>
          <w:color w:val="auto"/>
          <w:vertAlign w:val="superscript"/>
        </w:rPr>
        <w:t>1</w:t>
      </w:r>
      <w:r>
        <w:rPr>
          <w:rFonts w:ascii="Calibri" w:cs="Calibri" w:eastAsia="Calibri" w:hAnsi="Calibri"/>
          <w:sz w:val="20"/>
          <w:szCs w:val="20"/>
          <w:color w:val="auto"/>
        </w:rPr>
        <w:t xml:space="preserve"> of up 2.1%. The airline also generated net cash provided by operatng actvites of $2.9 billion and $1.9 billion of free cash fow</w:t>
      </w:r>
      <w:r>
        <w:rPr>
          <w:rFonts w:ascii="Calibri" w:cs="Calibri" w:eastAsia="Calibri" w:hAnsi="Calibri"/>
          <w:sz w:val="25"/>
          <w:szCs w:val="25"/>
          <w:color w:val="auto"/>
          <w:vertAlign w:val="superscript"/>
        </w:rPr>
        <w:t>1</w:t>
      </w:r>
      <w:r>
        <w:rPr>
          <w:rFonts w:ascii="Calibri" w:cs="Calibri" w:eastAsia="Calibri" w:hAnsi="Calibri"/>
          <w:sz w:val="20"/>
          <w:szCs w:val="20"/>
          <w:color w:val="auto"/>
        </w:rPr>
        <w:t xml:space="preserve"> in the quarter. In early July, the company voluntarily prepaid the remaining balance of the high-cost MileagePlus term loan, totaling $1.8 billion, which further strengthens its balance sheet and reduces the airline's interest burden in the years ahead. The airline ended the quarter with trailing twelve months adjusted net debt to EBITDAR of</w:t>
      </w:r>
    </w:p>
    <w:p>
      <w:pPr>
        <w:spacing w:after="0" w:line="46" w:lineRule="exact"/>
        <w:rPr>
          <w:sz w:val="20"/>
          <w:szCs w:val="20"/>
          <w:color w:val="auto"/>
        </w:rPr>
      </w:pPr>
    </w:p>
    <w:p>
      <w:pPr>
        <w:ind w:right="140"/>
        <w:spacing w:after="0" w:line="277" w:lineRule="auto"/>
        <w:rPr>
          <w:sz w:val="20"/>
          <w:szCs w:val="20"/>
          <w:color w:val="auto"/>
        </w:rPr>
      </w:pPr>
      <w:r>
        <w:rPr>
          <w:rFonts w:ascii="Calibri" w:cs="Calibri" w:eastAsia="Calibri" w:hAnsi="Calibri"/>
          <w:sz w:val="20"/>
          <w:szCs w:val="20"/>
          <w:color w:val="auto"/>
        </w:rPr>
        <w:t>2.6x</w:t>
      </w:r>
      <w:r>
        <w:rPr>
          <w:rFonts w:ascii="Calibri" w:cs="Calibri" w:eastAsia="Calibri" w:hAnsi="Calibri"/>
          <w:sz w:val="25"/>
          <w:szCs w:val="25"/>
          <w:color w:val="auto"/>
          <w:vertAlign w:val="superscript"/>
        </w:rPr>
        <w:t>3</w:t>
      </w:r>
      <w:r>
        <w:rPr>
          <w:rFonts w:ascii="Calibri" w:cs="Calibri" w:eastAsia="Calibri" w:hAnsi="Calibri"/>
          <w:sz w:val="20"/>
          <w:szCs w:val="20"/>
          <w:color w:val="auto"/>
        </w:rPr>
        <w:t>. Looking ahead, United has also reduced planned domestc capacity by approximately 3 points in the fourth quarter, compared to the company's previous plan – refectng the airline's frm commitment to taking its own acton to adjust to current trends.</w:t>
      </w:r>
    </w:p>
    <w:p>
      <w:pPr>
        <w:spacing w:after="0" w:line="56" w:lineRule="exact"/>
        <w:rPr>
          <w:sz w:val="20"/>
          <w:szCs w:val="20"/>
          <w:color w:val="auto"/>
        </w:rPr>
      </w:pPr>
    </w:p>
    <w:p>
      <w:pPr>
        <w:ind w:right="120" w:firstLine="648"/>
        <w:spacing w:after="0" w:line="317" w:lineRule="auto"/>
        <w:rPr>
          <w:sz w:val="20"/>
          <w:szCs w:val="20"/>
          <w:color w:val="auto"/>
        </w:rPr>
      </w:pPr>
      <w:r>
        <w:rPr>
          <w:rFonts w:ascii="Calibri" w:cs="Calibri" w:eastAsia="Calibri" w:hAnsi="Calibri"/>
          <w:sz w:val="20"/>
          <w:szCs w:val="20"/>
          <w:color w:val="auto"/>
        </w:rPr>
        <w:t>"At United, we have been efectvely managing costs, cash and capacity against a challenging industry backdrop because we're focused on doing what's necessary to hit our fnancial targets. Thank you to leaders across the company for embracing a 'no excuses' approach to running our business. It gives me confdence in our ability to achieve our $9-$11 EPS</w:t>
      </w:r>
      <w:r>
        <w:rPr>
          <w:rFonts w:ascii="Calibri" w:cs="Calibri" w:eastAsia="Calibri" w:hAnsi="Calibri"/>
          <w:sz w:val="25"/>
          <w:szCs w:val="25"/>
          <w:color w:val="auto"/>
          <w:vertAlign w:val="superscript"/>
        </w:rPr>
        <w:t>2</w:t>
      </w:r>
      <w:r>
        <w:rPr>
          <w:rFonts w:ascii="Calibri" w:cs="Calibri" w:eastAsia="Calibri" w:hAnsi="Calibri"/>
          <w:sz w:val="20"/>
          <w:szCs w:val="20"/>
          <w:color w:val="auto"/>
        </w:rPr>
        <w:t xml:space="preserve"> goal for 2024, despite the challenges the industry has faced this year," said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6" w:lineRule="exact"/>
        <w:rPr>
          <w:sz w:val="20"/>
          <w:szCs w:val="20"/>
          <w:color w:val="auto"/>
        </w:rPr>
      </w:pPr>
    </w:p>
    <w:p>
      <w:pPr>
        <w:ind w:right="340" w:firstLine="8"/>
        <w:spacing w:after="0" w:line="197" w:lineRule="auto"/>
        <w:tabs>
          <w:tab w:leader="none" w:pos="80" w:val="left"/>
        </w:tabs>
        <w:numPr>
          <w:ilvl w:val="0"/>
          <w:numId w:val="6"/>
        </w:numPr>
        <w:rPr>
          <w:rFonts w:ascii="Calibri" w:cs="Calibri" w:eastAsia="Calibri" w:hAnsi="Calibri"/>
          <w:sz w:val="19"/>
          <w:szCs w:val="19"/>
          <w:color w:val="auto"/>
          <w:vertAlign w:val="superscript"/>
        </w:rPr>
      </w:pPr>
      <w:r>
        <w:rPr>
          <w:rFonts w:ascii="Calibri" w:cs="Calibri" w:eastAsia="Calibri" w:hAnsi="Calibri"/>
          <w:sz w:val="14"/>
          <w:szCs w:val="14"/>
          <w:color w:val="auto"/>
        </w:rPr>
        <w:t>Trailing twelve month adjusted net debt to adjusted EBITDAR is a non-GAAP fnancial measure. For additonal informaton and reconciliatons of adjusted net debt to total debt, the most comparable GAAP measure, and of adjusted EBITDAR to net income, the most comparable GAAP measure, please see “NON-GAAP FINANCIAL INFORMATION”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Calibri" w:cs="Calibri" w:eastAsia="Calibri" w:hAnsi="Calibri"/>
          <w:sz w:val="16"/>
          <w:szCs w:val="16"/>
          <w:color w:val="auto"/>
        </w:rPr>
        <w:t>2</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color w:val="auto"/>
        </w:rPr>
        <w:t>United Airlines Reports Second-Quarter 2024 Results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9"/>
        <w:spacing w:after="0"/>
        <w:rPr>
          <w:sz w:val="20"/>
          <w:szCs w:val="20"/>
          <w:color w:val="auto"/>
        </w:rPr>
      </w:pPr>
      <w:r>
        <w:rPr>
          <w:rFonts w:ascii="Calibri" w:cs="Calibri" w:eastAsia="Calibri" w:hAnsi="Calibri"/>
          <w:sz w:val="20"/>
          <w:szCs w:val="20"/>
          <w:b w:val="1"/>
          <w:bCs w:val="1"/>
          <w:color w:val="auto"/>
        </w:rPr>
        <w:t>Second-Quarter Financial Results</w:t>
      </w:r>
    </w:p>
    <w:p>
      <w:pPr>
        <w:spacing w:after="0" w:line="188" w:lineRule="exact"/>
        <w:rPr>
          <w:sz w:val="20"/>
          <w:szCs w:val="20"/>
          <w:color w:val="auto"/>
        </w:rPr>
      </w:pPr>
    </w:p>
    <w:p>
      <w:pPr>
        <w:ind w:left="640" w:hanging="308"/>
        <w:spacing w:after="0"/>
        <w:tabs>
          <w:tab w:leader="none" w:pos="640"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Capacity up 8.3% compared to second-quarter 2023.</w:t>
      </w:r>
    </w:p>
    <w:p>
      <w:pPr>
        <w:spacing w:after="0" w:line="106" w:lineRule="exact"/>
        <w:rPr>
          <w:rFonts w:ascii="Calibri" w:cs="Calibri" w:eastAsia="Calibri" w:hAnsi="Calibri"/>
          <w:sz w:val="20"/>
          <w:szCs w:val="20"/>
          <w:color w:val="auto"/>
        </w:rPr>
      </w:pPr>
    </w:p>
    <w:p>
      <w:pPr>
        <w:ind w:left="640" w:hanging="308"/>
        <w:spacing w:after="0"/>
        <w:tabs>
          <w:tab w:leader="none" w:pos="640"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Total operatng revenue of $15.0 billion, up 5.7% compared to second-quarter 2023.</w:t>
      </w:r>
    </w:p>
    <w:p>
      <w:pPr>
        <w:spacing w:after="0" w:line="93" w:lineRule="exact"/>
        <w:rPr>
          <w:rFonts w:ascii="Calibri" w:cs="Calibri" w:eastAsia="Calibri" w:hAnsi="Calibri"/>
          <w:sz w:val="20"/>
          <w:szCs w:val="20"/>
          <w:color w:val="auto"/>
        </w:rPr>
      </w:pPr>
    </w:p>
    <w:p>
      <w:pPr>
        <w:ind w:left="640" w:hanging="308"/>
        <w:spacing w:after="0"/>
        <w:tabs>
          <w:tab w:leader="none" w:pos="640"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TRASM down 2.4% compared to second-quarter 2023.</w:t>
      </w:r>
    </w:p>
    <w:p>
      <w:pPr>
        <w:spacing w:after="0" w:line="107" w:lineRule="exact"/>
        <w:rPr>
          <w:rFonts w:ascii="Calibri" w:cs="Calibri" w:eastAsia="Calibri" w:hAnsi="Calibri"/>
          <w:sz w:val="20"/>
          <w:szCs w:val="20"/>
          <w:color w:val="auto"/>
        </w:rPr>
      </w:pPr>
    </w:p>
    <w:p>
      <w:pPr>
        <w:ind w:left="640" w:hanging="308"/>
        <w:spacing w:after="0"/>
        <w:tabs>
          <w:tab w:leader="none" w:pos="640"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CASM down 4.8%, and CASM-ex</w:t>
      </w:r>
      <w:r>
        <w:rPr>
          <w:rFonts w:ascii="Calibri" w:cs="Calibri" w:eastAsia="Calibri" w:hAnsi="Calibri"/>
          <w:sz w:val="25"/>
          <w:szCs w:val="25"/>
          <w:color w:val="auto"/>
          <w:vertAlign w:val="superscript"/>
        </w:rPr>
        <w:t>1</w:t>
      </w:r>
      <w:r>
        <w:rPr>
          <w:rFonts w:ascii="Calibri" w:cs="Calibri" w:eastAsia="Calibri" w:hAnsi="Calibri"/>
          <w:sz w:val="20"/>
          <w:szCs w:val="20"/>
          <w:color w:val="auto"/>
        </w:rPr>
        <w:t xml:space="preserve"> up 2.1%, compared to second-quarter 2023.</w:t>
      </w:r>
    </w:p>
    <w:p>
      <w:pPr>
        <w:spacing w:after="0" w:line="40" w:lineRule="exact"/>
        <w:rPr>
          <w:rFonts w:ascii="Calibri" w:cs="Calibri" w:eastAsia="Calibri" w:hAnsi="Calibri"/>
          <w:sz w:val="20"/>
          <w:szCs w:val="20"/>
          <w:color w:val="auto"/>
        </w:rPr>
      </w:pPr>
    </w:p>
    <w:p>
      <w:pPr>
        <w:ind w:left="660" w:hanging="328"/>
        <w:spacing w:after="0" w:line="269" w:lineRule="auto"/>
        <w:tabs>
          <w:tab w:leader="none" w:pos="653"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Pre-tax earnings of $1.7 billion, with a pre-tax margin of 11.6%; adjusted pre-tax earnings</w:t>
      </w:r>
      <w:r>
        <w:rPr>
          <w:rFonts w:ascii="Calibri" w:cs="Calibri" w:eastAsia="Calibri" w:hAnsi="Calibri"/>
          <w:sz w:val="25"/>
          <w:szCs w:val="25"/>
          <w:color w:val="auto"/>
          <w:vertAlign w:val="superscript"/>
        </w:rPr>
        <w:t>1</w:t>
      </w:r>
      <w:r>
        <w:rPr>
          <w:rFonts w:ascii="Calibri" w:cs="Calibri" w:eastAsia="Calibri" w:hAnsi="Calibri"/>
          <w:sz w:val="20"/>
          <w:szCs w:val="20"/>
          <w:color w:val="auto"/>
        </w:rPr>
        <w:t xml:space="preserve"> of $1.8 billion, with an adjusted pre-tax margin</w:t>
      </w:r>
      <w:r>
        <w:rPr>
          <w:rFonts w:ascii="Calibri" w:cs="Calibri" w:eastAsia="Calibri" w:hAnsi="Calibri"/>
          <w:sz w:val="25"/>
          <w:szCs w:val="25"/>
          <w:color w:val="auto"/>
          <w:vertAlign w:val="superscript"/>
        </w:rPr>
        <w:t>1</w:t>
      </w:r>
      <w:r>
        <w:rPr>
          <w:rFonts w:ascii="Calibri" w:cs="Calibri" w:eastAsia="Calibri" w:hAnsi="Calibri"/>
          <w:sz w:val="20"/>
          <w:szCs w:val="20"/>
          <w:color w:val="auto"/>
        </w:rPr>
        <w:t xml:space="preserve"> of 12.1%.</w:t>
      </w:r>
    </w:p>
    <w:p>
      <w:pPr>
        <w:ind w:left="640" w:hanging="308"/>
        <w:spacing w:after="0"/>
        <w:tabs>
          <w:tab w:leader="none" w:pos="640"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Net income of $1.3 billion; adjusted net income</w:t>
      </w:r>
      <w:r>
        <w:rPr>
          <w:rFonts w:ascii="Calibri" w:cs="Calibri" w:eastAsia="Calibri" w:hAnsi="Calibri"/>
          <w:sz w:val="25"/>
          <w:szCs w:val="25"/>
          <w:color w:val="auto"/>
          <w:vertAlign w:val="superscript"/>
        </w:rPr>
        <w:t>1</w:t>
      </w:r>
      <w:r>
        <w:rPr>
          <w:rFonts w:ascii="Calibri" w:cs="Calibri" w:eastAsia="Calibri" w:hAnsi="Calibri"/>
          <w:sz w:val="20"/>
          <w:szCs w:val="20"/>
          <w:color w:val="auto"/>
        </w:rPr>
        <w:t xml:space="preserve"> of $1.4 billion.</w:t>
      </w:r>
    </w:p>
    <w:p>
      <w:pPr>
        <w:spacing w:after="0" w:line="45" w:lineRule="exact"/>
        <w:rPr>
          <w:rFonts w:ascii="Calibri" w:cs="Calibri" w:eastAsia="Calibri" w:hAnsi="Calibri"/>
          <w:sz w:val="20"/>
          <w:szCs w:val="20"/>
          <w:color w:val="auto"/>
        </w:rPr>
      </w:pPr>
    </w:p>
    <w:p>
      <w:pPr>
        <w:ind w:left="640" w:hanging="308"/>
        <w:spacing w:after="0"/>
        <w:tabs>
          <w:tab w:leader="none" w:pos="640"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Diluted earnings per share of $3.96; adjusted diluted earnings per share</w:t>
      </w:r>
      <w:r>
        <w:rPr>
          <w:rFonts w:ascii="Calibri" w:cs="Calibri" w:eastAsia="Calibri" w:hAnsi="Calibri"/>
          <w:sz w:val="25"/>
          <w:szCs w:val="25"/>
          <w:color w:val="auto"/>
          <w:vertAlign w:val="superscript"/>
        </w:rPr>
        <w:t>1</w:t>
      </w:r>
      <w:r>
        <w:rPr>
          <w:rFonts w:ascii="Calibri" w:cs="Calibri" w:eastAsia="Calibri" w:hAnsi="Calibri"/>
          <w:sz w:val="20"/>
          <w:szCs w:val="20"/>
          <w:color w:val="auto"/>
        </w:rPr>
        <w:t xml:space="preserve"> of $4.14.</w:t>
      </w:r>
    </w:p>
    <w:p>
      <w:pPr>
        <w:spacing w:after="0" w:line="32" w:lineRule="exact"/>
        <w:rPr>
          <w:rFonts w:ascii="Calibri" w:cs="Calibri" w:eastAsia="Calibri" w:hAnsi="Calibri"/>
          <w:sz w:val="20"/>
          <w:szCs w:val="20"/>
          <w:color w:val="auto"/>
        </w:rPr>
      </w:pPr>
    </w:p>
    <w:p>
      <w:pPr>
        <w:ind w:left="640" w:hanging="308"/>
        <w:spacing w:after="0"/>
        <w:tabs>
          <w:tab w:leader="none" w:pos="640"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Average fuel price per gallon of $2.76.</w:t>
      </w:r>
    </w:p>
    <w:p>
      <w:pPr>
        <w:spacing w:after="0" w:line="107" w:lineRule="exact"/>
        <w:rPr>
          <w:rFonts w:ascii="Calibri" w:cs="Calibri" w:eastAsia="Calibri" w:hAnsi="Calibri"/>
          <w:sz w:val="20"/>
          <w:szCs w:val="20"/>
          <w:color w:val="auto"/>
        </w:rPr>
      </w:pPr>
    </w:p>
    <w:p>
      <w:pPr>
        <w:ind w:left="640" w:hanging="308"/>
        <w:spacing w:after="0"/>
        <w:tabs>
          <w:tab w:leader="none" w:pos="640"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Ending available liquidity</w:t>
      </w:r>
      <w:r>
        <w:rPr>
          <w:rFonts w:ascii="Calibri" w:cs="Calibri" w:eastAsia="Calibri" w:hAnsi="Calibri"/>
          <w:sz w:val="25"/>
          <w:szCs w:val="25"/>
          <w:color w:val="auto"/>
          <w:vertAlign w:val="superscript"/>
        </w:rPr>
        <w:t>4</w:t>
      </w:r>
      <w:r>
        <w:rPr>
          <w:rFonts w:ascii="Calibri" w:cs="Calibri" w:eastAsia="Calibri" w:hAnsi="Calibri"/>
          <w:sz w:val="20"/>
          <w:szCs w:val="20"/>
          <w:color w:val="auto"/>
        </w:rPr>
        <w:t xml:space="preserve"> of $18.2 billion.</w:t>
      </w:r>
    </w:p>
    <w:p>
      <w:pPr>
        <w:spacing w:after="0" w:line="32" w:lineRule="exact"/>
        <w:rPr>
          <w:rFonts w:ascii="Calibri" w:cs="Calibri" w:eastAsia="Calibri" w:hAnsi="Calibri"/>
          <w:sz w:val="20"/>
          <w:szCs w:val="20"/>
          <w:color w:val="auto"/>
        </w:rPr>
      </w:pPr>
    </w:p>
    <w:p>
      <w:pPr>
        <w:ind w:left="640" w:hanging="308"/>
        <w:spacing w:after="0"/>
        <w:tabs>
          <w:tab w:leader="none" w:pos="640"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Total debt and fnance lease obligatons of $26.6 billion at quarter end.</w:t>
      </w:r>
    </w:p>
    <w:p>
      <w:pPr>
        <w:spacing w:after="0" w:line="107" w:lineRule="exact"/>
        <w:rPr>
          <w:rFonts w:ascii="Calibri" w:cs="Calibri" w:eastAsia="Calibri" w:hAnsi="Calibri"/>
          <w:sz w:val="20"/>
          <w:szCs w:val="20"/>
          <w:color w:val="auto"/>
        </w:rPr>
      </w:pPr>
    </w:p>
    <w:p>
      <w:pPr>
        <w:ind w:left="640" w:hanging="308"/>
        <w:spacing w:after="0"/>
        <w:tabs>
          <w:tab w:leader="none" w:pos="640"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Trailing twelve months adjusted net debt to adjusted EBITDAR of 2.6x</w:t>
      </w:r>
      <w:r>
        <w:rPr>
          <w:rFonts w:ascii="Calibri" w:cs="Calibri" w:eastAsia="Calibri" w:hAnsi="Calibri"/>
          <w:sz w:val="25"/>
          <w:szCs w:val="25"/>
          <w:color w:val="auto"/>
          <w:vertAlign w:val="superscript"/>
        </w:rPr>
        <w:t>3</w:t>
      </w:r>
      <w:r>
        <w:rPr>
          <w:rFonts w:ascii="Calibri" w:cs="Calibri" w:eastAsia="Calibri" w:hAnsi="Calibri"/>
          <w:sz w:val="20"/>
          <w:szCs w:val="20"/>
          <w:color w:val="auto"/>
        </w:rPr>
        <w:t>.</w:t>
      </w:r>
    </w:p>
    <w:p>
      <w:pPr>
        <w:spacing w:after="0" w:line="41" w:lineRule="exact"/>
        <w:rPr>
          <w:rFonts w:ascii="Calibri" w:cs="Calibri" w:eastAsia="Calibri" w:hAnsi="Calibri"/>
          <w:sz w:val="20"/>
          <w:szCs w:val="20"/>
          <w:color w:val="auto"/>
        </w:rPr>
      </w:pPr>
    </w:p>
    <w:p>
      <w:pPr>
        <w:ind w:left="660" w:right="200" w:hanging="328"/>
        <w:spacing w:after="0" w:line="335" w:lineRule="auto"/>
        <w:tabs>
          <w:tab w:leader="none" w:pos="653" w:val="left"/>
        </w:tabs>
        <w:numPr>
          <w:ilvl w:val="0"/>
          <w:numId w:val="7"/>
        </w:numPr>
        <w:rPr>
          <w:rFonts w:ascii="Calibri" w:cs="Calibri" w:eastAsia="Calibri" w:hAnsi="Calibri"/>
          <w:sz w:val="20"/>
          <w:szCs w:val="20"/>
          <w:color w:val="auto"/>
        </w:rPr>
      </w:pPr>
      <w:r>
        <w:rPr>
          <w:rFonts w:ascii="Calibri" w:cs="Calibri" w:eastAsia="Calibri" w:hAnsi="Calibri"/>
          <w:sz w:val="20"/>
          <w:szCs w:val="20"/>
          <w:color w:val="auto"/>
        </w:rPr>
        <w:t>In July, voluntarily pre-paid the remaining $1.8 billion outstanding balance of the MileagePlus term loan with an interest rate near 11%.</w:t>
      </w: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Calibri" w:cs="Calibri" w:eastAsia="Calibri" w:hAnsi="Calibri"/>
          <w:sz w:val="20"/>
          <w:szCs w:val="20"/>
          <w:b w:val="1"/>
          <w:bCs w:val="1"/>
          <w:color w:val="auto"/>
        </w:rPr>
        <w:t>Key Highlights</w:t>
      </w:r>
    </w:p>
    <w:p>
      <w:pPr>
        <w:spacing w:after="0" w:line="196" w:lineRule="exact"/>
        <w:rPr>
          <w:sz w:val="20"/>
          <w:szCs w:val="20"/>
          <w:color w:val="auto"/>
        </w:rPr>
      </w:pPr>
    </w:p>
    <w:p>
      <w:pPr>
        <w:ind w:left="660" w:right="260" w:hanging="328"/>
        <w:spacing w:after="0" w:line="277" w:lineRule="auto"/>
        <w:tabs>
          <w:tab w:leader="none" w:pos="653"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Launched Kinectve Media</w:t>
      </w:r>
      <w:r>
        <w:rPr>
          <w:rFonts w:ascii="Calibri" w:cs="Calibri" w:eastAsia="Calibri" w:hAnsi="Calibri"/>
          <w:sz w:val="25"/>
          <w:szCs w:val="25"/>
          <w:color w:val="auto"/>
          <w:vertAlign w:val="superscript"/>
        </w:rPr>
        <w:t>SM</w:t>
      </w:r>
      <w:r>
        <w:rPr>
          <w:rFonts w:ascii="Calibri" w:cs="Calibri" w:eastAsia="Calibri" w:hAnsi="Calibri"/>
          <w:sz w:val="20"/>
          <w:szCs w:val="20"/>
          <w:color w:val="auto"/>
        </w:rPr>
        <w:t xml:space="preserve"> by United Airlines – the frst media network that uses insights from travel behaviors to connect customers to personalized advertsing, experiences and ofers from leading brands.</w:t>
      </w:r>
    </w:p>
    <w:p>
      <w:pPr>
        <w:spacing w:after="0" w:line="59" w:lineRule="exact"/>
        <w:rPr>
          <w:rFonts w:ascii="Calibri" w:cs="Calibri" w:eastAsia="Calibri" w:hAnsi="Calibri"/>
          <w:sz w:val="20"/>
          <w:szCs w:val="20"/>
          <w:color w:val="auto"/>
        </w:rPr>
      </w:pPr>
    </w:p>
    <w:p>
      <w:pPr>
        <w:ind w:left="640" w:hanging="308"/>
        <w:spacing w:after="0"/>
        <w:tabs>
          <w:tab w:leader="none" w:pos="640"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Resumed the airline's two daily fights from Newark to Tel Aviv.</w:t>
      </w:r>
    </w:p>
    <w:p>
      <w:pPr>
        <w:spacing w:after="0" w:line="103" w:lineRule="exact"/>
        <w:rPr>
          <w:rFonts w:ascii="Calibri" w:cs="Calibri" w:eastAsia="Calibri" w:hAnsi="Calibri"/>
          <w:sz w:val="20"/>
          <w:szCs w:val="20"/>
          <w:color w:val="auto"/>
        </w:rPr>
      </w:pPr>
    </w:p>
    <w:p>
      <w:pPr>
        <w:ind w:left="660" w:right="460" w:hanging="328"/>
        <w:spacing w:after="0" w:line="300" w:lineRule="auto"/>
        <w:tabs>
          <w:tab w:leader="none" w:pos="653"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Recognized as one of TIME100's Most Infuental Companies for United's commitment to sustainability through its United Airlines Ventures Sustainable Flight Fund</w:t>
      </w:r>
      <w:r>
        <w:rPr>
          <w:rFonts w:ascii="Calibri" w:cs="Calibri" w:eastAsia="Calibri" w:hAnsi="Calibri"/>
          <w:sz w:val="25"/>
          <w:szCs w:val="25"/>
          <w:color w:val="auto"/>
          <w:vertAlign w:val="superscript"/>
        </w:rPr>
        <w:t>SM</w:t>
      </w:r>
      <w:r>
        <w:rPr>
          <w:rFonts w:ascii="Calibri" w:cs="Calibri" w:eastAsia="Calibri" w:hAnsi="Calibri"/>
          <w:sz w:val="20"/>
          <w:szCs w:val="20"/>
          <w:color w:val="auto"/>
        </w:rPr>
        <w:t>.</w:t>
      </w:r>
    </w:p>
    <w:p>
      <w:pPr>
        <w:spacing w:after="0" w:line="1" w:lineRule="exact"/>
        <w:rPr>
          <w:rFonts w:ascii="Calibri" w:cs="Calibri" w:eastAsia="Calibri" w:hAnsi="Calibri"/>
          <w:sz w:val="20"/>
          <w:szCs w:val="20"/>
          <w:color w:val="auto"/>
        </w:rPr>
      </w:pPr>
    </w:p>
    <w:p>
      <w:pPr>
        <w:ind w:left="660" w:right="280" w:hanging="328"/>
        <w:spacing w:after="0" w:line="335" w:lineRule="auto"/>
        <w:tabs>
          <w:tab w:leader="none" w:pos="653"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Announced the additon of nearly 200 fights to Milwaukee and Chicago this summer for easier travel to the Republican and Democratc Natonal Conventons.</w:t>
      </w:r>
    </w:p>
    <w:p>
      <w:pPr>
        <w:ind w:left="640" w:hanging="308"/>
        <w:spacing w:after="0"/>
        <w:tabs>
          <w:tab w:leader="none" w:pos="640"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Debuted a new onboard safety video, providing clear, easy-to-follow demonstratons of critcal safety procedures.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Calibri" w:cs="Calibri" w:eastAsia="Calibri" w:hAnsi="Calibri"/>
          <w:sz w:val="20"/>
          <w:szCs w:val="20"/>
          <w:b w:val="1"/>
          <w:bCs w:val="1"/>
          <w:color w:val="auto"/>
        </w:rPr>
        <w:t>Customer Experience</w:t>
      </w:r>
    </w:p>
    <w:p>
      <w:pPr>
        <w:spacing w:after="0" w:line="188" w:lineRule="exact"/>
        <w:rPr>
          <w:sz w:val="20"/>
          <w:szCs w:val="20"/>
          <w:color w:val="auto"/>
        </w:rPr>
      </w:pPr>
    </w:p>
    <w:p>
      <w:pPr>
        <w:ind w:left="640" w:hanging="308"/>
        <w:spacing w:after="0"/>
        <w:tabs>
          <w:tab w:leader="none" w:pos="640"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Achieved the highest ratng for a second quarter</w:t>
      </w:r>
      <w:r>
        <w:rPr>
          <w:rFonts w:ascii="Calibri" w:cs="Calibri" w:eastAsia="Calibri" w:hAnsi="Calibri"/>
          <w:sz w:val="25"/>
          <w:szCs w:val="25"/>
          <w:color w:val="auto"/>
          <w:vertAlign w:val="superscript"/>
        </w:rPr>
        <w:t>5</w:t>
      </w:r>
      <w:r>
        <w:rPr>
          <w:rFonts w:ascii="Calibri" w:cs="Calibri" w:eastAsia="Calibri" w:hAnsi="Calibri"/>
          <w:sz w:val="20"/>
          <w:szCs w:val="20"/>
          <w:color w:val="auto"/>
        </w:rPr>
        <w:t xml:space="preserve"> on the consumer satsfacton ratng scale, the Net Promoter Score.</w:t>
      </w:r>
    </w:p>
    <w:p>
      <w:pPr>
        <w:spacing w:after="0" w:line="41" w:lineRule="exact"/>
        <w:rPr>
          <w:rFonts w:ascii="Calibri" w:cs="Calibri" w:eastAsia="Calibri" w:hAnsi="Calibri"/>
          <w:sz w:val="20"/>
          <w:szCs w:val="20"/>
          <w:color w:val="auto"/>
        </w:rPr>
      </w:pPr>
    </w:p>
    <w:p>
      <w:pPr>
        <w:ind w:left="660" w:right="140" w:hanging="328"/>
        <w:spacing w:after="0" w:line="335" w:lineRule="auto"/>
        <w:tabs>
          <w:tab w:leader="none" w:pos="653" w:val="left"/>
        </w:tabs>
        <w:numPr>
          <w:ilvl w:val="0"/>
          <w:numId w:val="9"/>
        </w:numPr>
        <w:rPr>
          <w:rFonts w:ascii="Calibri" w:cs="Calibri" w:eastAsia="Calibri" w:hAnsi="Calibri"/>
          <w:sz w:val="20"/>
          <w:szCs w:val="20"/>
          <w:color w:val="auto"/>
        </w:rPr>
      </w:pPr>
      <w:r>
        <w:rPr>
          <w:rFonts w:ascii="Calibri" w:cs="Calibri" w:eastAsia="Calibri" w:hAnsi="Calibri"/>
          <w:sz w:val="20"/>
          <w:szCs w:val="20"/>
          <w:color w:val="auto"/>
        </w:rPr>
        <w:t>Expanded TSA PreCheck Touchless ID technology across key markets, including Newark, Los Angeles and Atlanta, following its debut in 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64" w:lineRule="exact"/>
        <w:rPr>
          <w:sz w:val="20"/>
          <w:szCs w:val="20"/>
          <w:color w:val="auto"/>
        </w:rPr>
      </w:pPr>
    </w:p>
    <w:p>
      <w:pPr>
        <w:ind w:left="80" w:hanging="72"/>
        <w:spacing w:after="0"/>
        <w:tabs>
          <w:tab w:leader="none" w:pos="80" w:val="left"/>
        </w:tabs>
        <w:numPr>
          <w:ilvl w:val="0"/>
          <w:numId w:val="10"/>
        </w:numPr>
        <w:rPr>
          <w:rFonts w:ascii="Calibri" w:cs="Calibri" w:eastAsia="Calibri" w:hAnsi="Calibri"/>
          <w:sz w:val="19"/>
          <w:szCs w:val="19"/>
          <w:color w:val="auto"/>
          <w:vertAlign w:val="superscript"/>
        </w:rPr>
      </w:pPr>
      <w:r>
        <w:rPr>
          <w:rFonts w:ascii="Calibri" w:cs="Calibri" w:eastAsia="Calibri" w:hAnsi="Calibri"/>
          <w:sz w:val="14"/>
          <w:szCs w:val="14"/>
          <w:color w:val="auto"/>
        </w:rPr>
        <w:t>Includes cash, cash equivalents, short-term investments and undrawn credit facilites.</w:t>
      </w:r>
    </w:p>
    <w:p>
      <w:pPr>
        <w:spacing w:after="0" w:line="20" w:lineRule="exact"/>
        <w:rPr>
          <w:rFonts w:ascii="Calibri" w:cs="Calibri" w:eastAsia="Calibri" w:hAnsi="Calibri"/>
          <w:sz w:val="19"/>
          <w:szCs w:val="19"/>
          <w:color w:val="auto"/>
          <w:vertAlign w:val="superscript"/>
        </w:rPr>
      </w:pPr>
    </w:p>
    <w:p>
      <w:pPr>
        <w:spacing w:after="0" w:line="197" w:lineRule="auto"/>
        <w:rPr>
          <w:rFonts w:ascii="Calibri" w:cs="Calibri" w:eastAsia="Calibri" w:hAnsi="Calibri"/>
          <w:sz w:val="19"/>
          <w:szCs w:val="19"/>
          <w:color w:val="auto"/>
          <w:vertAlign w:val="superscript"/>
        </w:rPr>
      </w:pPr>
      <w:r>
        <w:rPr>
          <w:rFonts w:ascii="Calibri" w:cs="Calibri" w:eastAsia="Calibri" w:hAnsi="Calibri"/>
          <w:sz w:val="18"/>
          <w:szCs w:val="18"/>
          <w:color w:val="auto"/>
          <w:vertAlign w:val="superscript"/>
        </w:rPr>
        <w:t>5</w:t>
      </w:r>
      <w:r>
        <w:rPr>
          <w:rFonts w:ascii="Calibri" w:cs="Calibri" w:eastAsia="Calibri" w:hAnsi="Calibri"/>
          <w:sz w:val="14"/>
          <w:szCs w:val="14"/>
          <w:color w:val="auto"/>
        </w:rPr>
        <w:t xml:space="preserve"> Excluding years impactng the COVID-19 pandemic — 2020 and 2021.</w:t>
      </w:r>
    </w:p>
    <w:p>
      <w:pPr>
        <w:sectPr>
          <w:pgSz w:w="11900" w:h="16838" w:orient="portrait"/>
          <w:cols w:equalWidth="0" w:num="1">
            <w:col w:w="11040"/>
          </w:cols>
          <w:pgMar w:left="320" w:top="112"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900"/>
        <w:spacing w:after="0"/>
        <w:rPr>
          <w:sz w:val="20"/>
          <w:szCs w:val="20"/>
          <w:color w:val="auto"/>
        </w:rPr>
      </w:pPr>
      <w:r>
        <w:rPr>
          <w:rFonts w:ascii="Calibri" w:cs="Calibri" w:eastAsia="Calibri" w:hAnsi="Calibri"/>
          <w:sz w:val="15"/>
          <w:szCs w:val="15"/>
          <w:color w:val="auto"/>
        </w:rPr>
        <w:t>3</w:t>
      </w:r>
    </w:p>
    <w:p>
      <w:pPr>
        <w:sectPr>
          <w:pgSz w:w="11900" w:h="16838" w:orient="portrait"/>
          <w:cols w:equalWidth="0" w:num="1">
            <w:col w:w="11040"/>
          </w:cols>
          <w:pgMar w:left="320" w:top="112" w:right="53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8"/>
          <w:szCs w:val="18"/>
          <w:color w:val="auto"/>
        </w:rPr>
        <w:t>United Airlines Reports Second-Quarter 2024 Results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308"/>
        <w:spacing w:after="0"/>
        <w:tabs>
          <w:tab w:leader="none" w:pos="640" w:val="left"/>
        </w:tabs>
        <w:numPr>
          <w:ilvl w:val="0"/>
          <w:numId w:val="11"/>
        </w:numPr>
        <w:rPr>
          <w:rFonts w:ascii="Calibri" w:cs="Calibri" w:eastAsia="Calibri" w:hAnsi="Calibri"/>
          <w:sz w:val="20"/>
          <w:szCs w:val="20"/>
          <w:color w:val="auto"/>
        </w:rPr>
      </w:pPr>
      <w:r>
        <w:rPr>
          <w:rFonts w:ascii="Calibri" w:cs="Calibri" w:eastAsia="Calibri" w:hAnsi="Calibri"/>
          <w:sz w:val="20"/>
          <w:szCs w:val="20"/>
          <w:color w:val="auto"/>
        </w:rPr>
        <w:t>The United app contnues to be the most downloaded airline app with over 89% of customers engaging digitally on day of travel.</w:t>
      </w:r>
    </w:p>
    <w:p>
      <w:pPr>
        <w:spacing w:after="0" w:line="116" w:lineRule="exact"/>
        <w:rPr>
          <w:rFonts w:ascii="Calibri" w:cs="Calibri" w:eastAsia="Calibri" w:hAnsi="Calibri"/>
          <w:sz w:val="20"/>
          <w:szCs w:val="20"/>
          <w:color w:val="auto"/>
        </w:rPr>
      </w:pPr>
    </w:p>
    <w:p>
      <w:pPr>
        <w:ind w:left="660" w:right="340" w:hanging="328"/>
        <w:spacing w:after="0" w:line="322" w:lineRule="auto"/>
        <w:tabs>
          <w:tab w:leader="none" w:pos="653" w:val="left"/>
        </w:tabs>
        <w:numPr>
          <w:ilvl w:val="0"/>
          <w:numId w:val="11"/>
        </w:numPr>
        <w:rPr>
          <w:rFonts w:ascii="Calibri" w:cs="Calibri" w:eastAsia="Calibri" w:hAnsi="Calibri"/>
          <w:sz w:val="20"/>
          <w:szCs w:val="20"/>
          <w:color w:val="auto"/>
        </w:rPr>
      </w:pPr>
      <w:r>
        <w:rPr>
          <w:rFonts w:ascii="Calibri" w:cs="Calibri" w:eastAsia="Calibri" w:hAnsi="Calibri"/>
          <w:sz w:val="20"/>
          <w:szCs w:val="20"/>
          <w:color w:val="auto"/>
        </w:rPr>
        <w:t>Launched a new seat preference feature that automatcally re-seats customers when their preferred seat becomes available. Over 30% of customers who have saved their seat preferences are moved to their preferred seat.</w:t>
      </w:r>
    </w:p>
    <w:p>
      <w:pPr>
        <w:spacing w:after="0" w:line="33" w:lineRule="exact"/>
        <w:rPr>
          <w:rFonts w:ascii="Calibri" w:cs="Calibri" w:eastAsia="Calibri" w:hAnsi="Calibri"/>
          <w:sz w:val="20"/>
          <w:szCs w:val="20"/>
          <w:color w:val="auto"/>
        </w:rPr>
      </w:pPr>
    </w:p>
    <w:p>
      <w:pPr>
        <w:ind w:left="660" w:right="120" w:hanging="328"/>
        <w:spacing w:after="0" w:line="322" w:lineRule="auto"/>
        <w:tabs>
          <w:tab w:leader="none" w:pos="653" w:val="left"/>
        </w:tabs>
        <w:numPr>
          <w:ilvl w:val="0"/>
          <w:numId w:val="11"/>
        </w:numPr>
        <w:rPr>
          <w:rFonts w:ascii="Calibri" w:cs="Calibri" w:eastAsia="Calibri" w:hAnsi="Calibri"/>
          <w:sz w:val="20"/>
          <w:szCs w:val="20"/>
          <w:color w:val="auto"/>
        </w:rPr>
      </w:pPr>
      <w:r>
        <w:rPr>
          <w:rFonts w:ascii="Calibri" w:cs="Calibri" w:eastAsia="Calibri" w:hAnsi="Calibri"/>
          <w:sz w:val="20"/>
          <w:szCs w:val="20"/>
          <w:color w:val="auto"/>
        </w:rPr>
        <w:t>For the quarter, 47% of passengers were rebooked through United's automated service or through self-service, an increase in 7 points year over year.</w:t>
      </w:r>
    </w:p>
    <w:p>
      <w:pPr>
        <w:spacing w:after="0" w:line="33" w:lineRule="exact"/>
        <w:rPr>
          <w:rFonts w:ascii="Calibri" w:cs="Calibri" w:eastAsia="Calibri" w:hAnsi="Calibri"/>
          <w:sz w:val="20"/>
          <w:szCs w:val="20"/>
          <w:color w:val="auto"/>
        </w:rPr>
      </w:pPr>
    </w:p>
    <w:p>
      <w:pPr>
        <w:ind w:left="660" w:right="240" w:hanging="328"/>
        <w:spacing w:after="0" w:line="322" w:lineRule="auto"/>
        <w:tabs>
          <w:tab w:leader="none" w:pos="653" w:val="left"/>
        </w:tabs>
        <w:numPr>
          <w:ilvl w:val="0"/>
          <w:numId w:val="11"/>
        </w:numPr>
        <w:rPr>
          <w:rFonts w:ascii="Calibri" w:cs="Calibri" w:eastAsia="Calibri" w:hAnsi="Calibri"/>
          <w:sz w:val="20"/>
          <w:szCs w:val="20"/>
          <w:color w:val="auto"/>
        </w:rPr>
      </w:pPr>
      <w:r>
        <w:rPr>
          <w:rFonts w:ascii="Calibri" w:cs="Calibri" w:eastAsia="Calibri" w:hAnsi="Calibri"/>
          <w:sz w:val="20"/>
          <w:szCs w:val="20"/>
          <w:color w:val="auto"/>
        </w:rPr>
        <w:t>Debuted limited-editon Wrexham AFC-themed amenity kits and pajamas in premium cabins on select long-haul internatonal fights for customers to share in celebraton of the soccer team's success.</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b w:val="1"/>
          <w:bCs w:val="1"/>
          <w:color w:val="auto"/>
        </w:rPr>
        <w:t>Operatons</w:t>
      </w:r>
    </w:p>
    <w:p>
      <w:pPr>
        <w:spacing w:after="0" w:line="198" w:lineRule="exact"/>
        <w:rPr>
          <w:sz w:val="20"/>
          <w:szCs w:val="20"/>
          <w:color w:val="auto"/>
        </w:rPr>
      </w:pPr>
    </w:p>
    <w:p>
      <w:pPr>
        <w:ind w:left="660" w:right="240" w:hanging="328"/>
        <w:spacing w:after="0" w:line="322" w:lineRule="auto"/>
        <w:tabs>
          <w:tab w:leader="none" w:pos="653" w:val="left"/>
        </w:tabs>
        <w:numPr>
          <w:ilvl w:val="0"/>
          <w:numId w:val="12"/>
        </w:numPr>
        <w:rPr>
          <w:rFonts w:ascii="Calibri" w:cs="Calibri" w:eastAsia="Calibri" w:hAnsi="Calibri"/>
          <w:sz w:val="20"/>
          <w:szCs w:val="20"/>
          <w:color w:val="auto"/>
        </w:rPr>
      </w:pPr>
      <w:r>
        <w:rPr>
          <w:rFonts w:ascii="Calibri" w:cs="Calibri" w:eastAsia="Calibri" w:hAnsi="Calibri"/>
          <w:sz w:val="20"/>
          <w:szCs w:val="20"/>
          <w:color w:val="auto"/>
        </w:rPr>
        <w:t>Flew the most customers for a second quarter in company history, carrying 44.4 million passengers, and set the record for the most ever customers carried in a day by the airline at 565,000.</w:t>
      </w:r>
    </w:p>
    <w:p>
      <w:pPr>
        <w:spacing w:after="0" w:line="33" w:lineRule="exact"/>
        <w:rPr>
          <w:rFonts w:ascii="Calibri" w:cs="Calibri" w:eastAsia="Calibri" w:hAnsi="Calibri"/>
          <w:sz w:val="20"/>
          <w:szCs w:val="20"/>
          <w:color w:val="auto"/>
        </w:rPr>
      </w:pPr>
    </w:p>
    <w:p>
      <w:pPr>
        <w:ind w:left="660" w:right="320" w:hanging="328"/>
        <w:spacing w:after="0" w:line="322" w:lineRule="auto"/>
        <w:tabs>
          <w:tab w:leader="none" w:pos="653" w:val="left"/>
        </w:tabs>
        <w:numPr>
          <w:ilvl w:val="0"/>
          <w:numId w:val="12"/>
        </w:numPr>
        <w:rPr>
          <w:rFonts w:ascii="Calibri" w:cs="Calibri" w:eastAsia="Calibri" w:hAnsi="Calibri"/>
          <w:sz w:val="20"/>
          <w:szCs w:val="20"/>
          <w:color w:val="auto"/>
        </w:rPr>
      </w:pPr>
      <w:r>
        <w:rPr>
          <w:rFonts w:ascii="Calibri" w:cs="Calibri" w:eastAsia="Calibri" w:hAnsi="Calibri"/>
          <w:sz w:val="20"/>
          <w:szCs w:val="20"/>
          <w:color w:val="auto"/>
        </w:rPr>
        <w:t>Completed 34 days rated frst amongst U.S. airlines for on-tme departures, closing the quarter with the second best on-tme departures amongst U.S. carriers.</w:t>
      </w:r>
    </w:p>
    <w:p>
      <w:pPr>
        <w:spacing w:after="0" w:line="30" w:lineRule="exact"/>
        <w:rPr>
          <w:rFonts w:ascii="Calibri" w:cs="Calibri" w:eastAsia="Calibri" w:hAnsi="Calibri"/>
          <w:sz w:val="20"/>
          <w:szCs w:val="20"/>
          <w:color w:val="auto"/>
        </w:rPr>
      </w:pPr>
    </w:p>
    <w:p>
      <w:pPr>
        <w:ind w:left="640" w:hanging="308"/>
        <w:spacing w:after="0"/>
        <w:tabs>
          <w:tab w:leader="none" w:pos="640" w:val="left"/>
        </w:tabs>
        <w:numPr>
          <w:ilvl w:val="0"/>
          <w:numId w:val="12"/>
        </w:numPr>
        <w:rPr>
          <w:rFonts w:ascii="Calibri" w:cs="Calibri" w:eastAsia="Calibri" w:hAnsi="Calibri"/>
          <w:sz w:val="20"/>
          <w:szCs w:val="20"/>
          <w:color w:val="auto"/>
        </w:rPr>
      </w:pPr>
      <w:r>
        <w:rPr>
          <w:rFonts w:ascii="Calibri" w:cs="Calibri" w:eastAsia="Calibri" w:hAnsi="Calibri"/>
          <w:sz w:val="20"/>
          <w:szCs w:val="20"/>
          <w:color w:val="auto"/>
        </w:rPr>
        <w:t>United Express achieved the lowest cancel rate for a second quarter</w:t>
      </w:r>
      <w:r>
        <w:rPr>
          <w:rFonts w:ascii="Calibri" w:cs="Calibri" w:eastAsia="Calibri" w:hAnsi="Calibri"/>
          <w:sz w:val="23"/>
          <w:szCs w:val="23"/>
          <w:color w:val="auto"/>
          <w:vertAlign w:val="superscript"/>
        </w:rPr>
        <w:t>5</w:t>
      </w:r>
      <w:r>
        <w:rPr>
          <w:rFonts w:ascii="Calibri" w:cs="Calibri" w:eastAsia="Calibri" w:hAnsi="Calibri"/>
          <w:sz w:val="20"/>
          <w:szCs w:val="20"/>
          <w:color w:val="auto"/>
        </w:rPr>
        <w:t xml:space="preserve"> in company history.</w:t>
      </w:r>
    </w:p>
    <w:p>
      <w:pPr>
        <w:spacing w:after="0" w:line="59" w:lineRule="exact"/>
        <w:rPr>
          <w:rFonts w:ascii="Calibri" w:cs="Calibri" w:eastAsia="Calibri" w:hAnsi="Calibri"/>
          <w:sz w:val="20"/>
          <w:szCs w:val="20"/>
          <w:color w:val="auto"/>
        </w:rPr>
      </w:pPr>
    </w:p>
    <w:p>
      <w:pPr>
        <w:ind w:left="660" w:right="600" w:hanging="328"/>
        <w:spacing w:after="0" w:line="335" w:lineRule="auto"/>
        <w:tabs>
          <w:tab w:leader="none" w:pos="653" w:val="left"/>
        </w:tabs>
        <w:numPr>
          <w:ilvl w:val="0"/>
          <w:numId w:val="12"/>
        </w:numPr>
        <w:rPr>
          <w:rFonts w:ascii="Calibri" w:cs="Calibri" w:eastAsia="Calibri" w:hAnsi="Calibri"/>
          <w:sz w:val="20"/>
          <w:szCs w:val="20"/>
          <w:color w:val="auto"/>
        </w:rPr>
      </w:pPr>
      <w:r>
        <w:rPr>
          <w:rFonts w:ascii="Calibri" w:cs="Calibri" w:eastAsia="Calibri" w:hAnsi="Calibri"/>
          <w:sz w:val="20"/>
          <w:szCs w:val="20"/>
          <w:color w:val="auto"/>
        </w:rPr>
        <w:t>Opened a state-of-the-art cargo facility at the New York/Newark airport, expanding the airline's cargo space at the hub to 319,000 square feet.</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b w:val="1"/>
          <w:bCs w:val="1"/>
          <w:color w:val="auto"/>
        </w:rPr>
        <w:t>Network</w:t>
      </w:r>
    </w:p>
    <w:p>
      <w:pPr>
        <w:spacing w:after="0" w:line="211" w:lineRule="exact"/>
        <w:rPr>
          <w:sz w:val="20"/>
          <w:szCs w:val="20"/>
          <w:color w:val="auto"/>
        </w:rPr>
      </w:pPr>
    </w:p>
    <w:p>
      <w:pPr>
        <w:jc w:val="both"/>
        <w:ind w:left="660" w:right="80" w:hanging="328"/>
        <w:spacing w:after="0" w:line="333" w:lineRule="auto"/>
        <w:tabs>
          <w:tab w:leader="none" w:pos="653" w:val="left"/>
        </w:tabs>
        <w:numPr>
          <w:ilvl w:val="0"/>
          <w:numId w:val="13"/>
        </w:numPr>
        <w:rPr>
          <w:rFonts w:ascii="Calibri" w:cs="Calibri" w:eastAsia="Calibri" w:hAnsi="Calibri"/>
          <w:sz w:val="20"/>
          <w:szCs w:val="20"/>
          <w:color w:val="auto"/>
        </w:rPr>
      </w:pPr>
      <w:r>
        <w:rPr>
          <w:rFonts w:ascii="Calibri" w:cs="Calibri" w:eastAsia="Calibri" w:hAnsi="Calibri"/>
          <w:sz w:val="20"/>
          <w:szCs w:val="20"/>
          <w:color w:val="auto"/>
        </w:rPr>
        <w:t>Operated the largest schedule in the airline's history, with the highest number of daily departures at nearly 2,700. Operated the largest domestc U.S. and Canada second quarter schedule in the airline's history and an internatonal schedule 35% larger than the next largest U.S. carrier by available seat miles.</w:t>
      </w:r>
    </w:p>
    <w:p>
      <w:pPr>
        <w:spacing w:after="0" w:line="9" w:lineRule="exact"/>
        <w:rPr>
          <w:rFonts w:ascii="Calibri" w:cs="Calibri" w:eastAsia="Calibri" w:hAnsi="Calibri"/>
          <w:sz w:val="20"/>
          <w:szCs w:val="20"/>
          <w:color w:val="auto"/>
        </w:rPr>
      </w:pPr>
    </w:p>
    <w:p>
      <w:pPr>
        <w:ind w:left="660" w:right="60" w:hanging="328"/>
        <w:spacing w:after="0" w:line="333" w:lineRule="auto"/>
        <w:tabs>
          <w:tab w:leader="none" w:pos="653" w:val="left"/>
        </w:tabs>
        <w:numPr>
          <w:ilvl w:val="0"/>
          <w:numId w:val="13"/>
        </w:numPr>
        <w:rPr>
          <w:rFonts w:ascii="Calibri" w:cs="Calibri" w:eastAsia="Calibri" w:hAnsi="Calibri"/>
          <w:sz w:val="20"/>
          <w:szCs w:val="20"/>
          <w:color w:val="auto"/>
        </w:rPr>
      </w:pPr>
      <w:r>
        <w:rPr>
          <w:rFonts w:ascii="Calibri" w:cs="Calibri" w:eastAsia="Calibri" w:hAnsi="Calibri"/>
          <w:sz w:val="20"/>
          <w:szCs w:val="20"/>
          <w:color w:val="auto"/>
        </w:rPr>
        <w:t>Inaugurated service to Georgetown, Guyana and launched new routes to existng destnatons, with new fights between Tulum, Mexico and Chicago and Los Angeles; Barcelona, Spain and San Francisco; Athens, Greece and Chicago; and Tokyo-Haneda and Guam.</w:t>
      </w:r>
    </w:p>
    <w:p>
      <w:pPr>
        <w:spacing w:after="0" w:line="23" w:lineRule="exact"/>
        <w:rPr>
          <w:rFonts w:ascii="Calibri" w:cs="Calibri" w:eastAsia="Calibri" w:hAnsi="Calibri"/>
          <w:sz w:val="20"/>
          <w:szCs w:val="20"/>
          <w:color w:val="auto"/>
        </w:rPr>
      </w:pPr>
    </w:p>
    <w:p>
      <w:pPr>
        <w:ind w:left="660" w:right="120" w:hanging="328"/>
        <w:spacing w:after="0" w:line="333" w:lineRule="auto"/>
        <w:tabs>
          <w:tab w:leader="none" w:pos="653" w:val="left"/>
        </w:tabs>
        <w:numPr>
          <w:ilvl w:val="0"/>
          <w:numId w:val="13"/>
        </w:numPr>
        <w:rPr>
          <w:rFonts w:ascii="Calibri" w:cs="Calibri" w:eastAsia="Calibri" w:hAnsi="Calibri"/>
          <w:sz w:val="20"/>
          <w:szCs w:val="20"/>
          <w:color w:val="auto"/>
        </w:rPr>
      </w:pPr>
      <w:r>
        <w:rPr>
          <w:rFonts w:ascii="Calibri" w:cs="Calibri" w:eastAsia="Calibri" w:hAnsi="Calibri"/>
          <w:sz w:val="20"/>
          <w:szCs w:val="20"/>
          <w:color w:val="auto"/>
        </w:rPr>
        <w:t>Added second daily seasonal fights between Porto, Portugal and New York/Newark; Brussels and New York/Newark; and between Rome and Washington D.C., and resumed a seasonal daily fight between Reykjavik, Iceland and New York/Newark for the frst tme since 2022.</w:t>
      </w:r>
    </w:p>
    <w:p>
      <w:pPr>
        <w:spacing w:after="0" w:line="9" w:lineRule="exact"/>
        <w:rPr>
          <w:rFonts w:ascii="Calibri" w:cs="Calibri" w:eastAsia="Calibri" w:hAnsi="Calibri"/>
          <w:sz w:val="20"/>
          <w:szCs w:val="20"/>
          <w:color w:val="auto"/>
        </w:rPr>
      </w:pPr>
    </w:p>
    <w:p>
      <w:pPr>
        <w:ind w:left="660" w:right="220" w:hanging="328"/>
        <w:spacing w:after="0" w:line="333" w:lineRule="auto"/>
        <w:tabs>
          <w:tab w:leader="none" w:pos="653" w:val="left"/>
        </w:tabs>
        <w:numPr>
          <w:ilvl w:val="0"/>
          <w:numId w:val="13"/>
        </w:numPr>
        <w:rPr>
          <w:rFonts w:ascii="Calibri" w:cs="Calibri" w:eastAsia="Calibri" w:hAnsi="Calibri"/>
          <w:sz w:val="20"/>
          <w:szCs w:val="20"/>
          <w:color w:val="auto"/>
        </w:rPr>
      </w:pPr>
      <w:r>
        <w:rPr>
          <w:rFonts w:ascii="Calibri" w:cs="Calibri" w:eastAsia="Calibri" w:hAnsi="Calibri"/>
          <w:sz w:val="20"/>
          <w:szCs w:val="20"/>
          <w:color w:val="auto"/>
        </w:rPr>
        <w:t>Launched or reinstated 12 additonal domestc routes, including Chicago to Nantucket, Mass. and Wilmington, N.C.; Denver to Fairbanks, Alaska and Myrtle Beach, S.C.; Houston to Traverse City, Mich. and Ontario, Canada; and Washington, D.C. to Anchorage, Alaska, Mobile, Ala., State College, Pa., Wilkes Barre/Scranton, Pa., Harrisburg, Pa. and Philadelphia.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Calibri" w:cs="Calibri" w:eastAsia="Calibri" w:hAnsi="Calibri"/>
          <w:sz w:val="16"/>
          <w:szCs w:val="16"/>
          <w:color w:val="auto"/>
        </w:rPr>
        <w:t>4</w:t>
      </w:r>
    </w:p>
    <w:p>
      <w:pPr>
        <w:sectPr>
          <w:pgSz w:w="11900" w:h="16838" w:orient="portrait"/>
          <w:cols w:equalWidth="0" w:num="1">
            <w:col w:w="11180"/>
          </w:cols>
          <w:pgMar w:left="320" w:top="112" w:right="39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color w:val="auto"/>
        </w:rPr>
        <w:t>United Airlines Reports Second-Quarter 2024 Results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right="440" w:hanging="328"/>
        <w:spacing w:after="0" w:line="333" w:lineRule="auto"/>
        <w:tabs>
          <w:tab w:leader="none" w:pos="653" w:val="left"/>
        </w:tabs>
        <w:numPr>
          <w:ilvl w:val="0"/>
          <w:numId w:val="14"/>
        </w:numPr>
        <w:rPr>
          <w:rFonts w:ascii="Calibri" w:cs="Calibri" w:eastAsia="Calibri" w:hAnsi="Calibri"/>
          <w:sz w:val="20"/>
          <w:szCs w:val="20"/>
          <w:color w:val="auto"/>
        </w:rPr>
      </w:pPr>
      <w:r>
        <w:rPr>
          <w:rFonts w:ascii="Calibri" w:cs="Calibri" w:eastAsia="Calibri" w:hAnsi="Calibri"/>
          <w:sz w:val="20"/>
          <w:szCs w:val="20"/>
          <w:color w:val="auto"/>
        </w:rPr>
        <w:t>United operated the largest ever schedule to Canada since the start of the Air Canada/United joint business agreement, including the launch or reinstatement of Chicago to Winnipeg and Quebec City; Denver to Winnipeg; Newark to Halifax; Los Angeles to Calgary; and Washington, D.C. to Vancouver.</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b w:val="1"/>
          <w:bCs w:val="1"/>
          <w:color w:val="auto"/>
        </w:rPr>
        <w:t>Awards</w:t>
      </w:r>
    </w:p>
    <w:p>
      <w:pPr>
        <w:spacing w:after="0" w:line="188" w:lineRule="exact"/>
        <w:rPr>
          <w:sz w:val="20"/>
          <w:szCs w:val="20"/>
          <w:color w:val="auto"/>
        </w:rPr>
      </w:pPr>
    </w:p>
    <w:p>
      <w:pPr>
        <w:ind w:left="640" w:hanging="308"/>
        <w:spacing w:after="0"/>
        <w:tabs>
          <w:tab w:leader="none" w:pos="640" w:val="left"/>
        </w:tabs>
        <w:numPr>
          <w:ilvl w:val="0"/>
          <w:numId w:val="15"/>
        </w:numPr>
        <w:rPr>
          <w:rFonts w:ascii="Calibri" w:cs="Calibri" w:eastAsia="Calibri" w:hAnsi="Calibri"/>
          <w:sz w:val="20"/>
          <w:szCs w:val="20"/>
          <w:color w:val="auto"/>
        </w:rPr>
      </w:pPr>
      <w:r>
        <w:rPr>
          <w:rFonts w:ascii="Calibri" w:cs="Calibri" w:eastAsia="Calibri" w:hAnsi="Calibri"/>
          <w:sz w:val="20"/>
          <w:szCs w:val="20"/>
          <w:color w:val="auto"/>
        </w:rPr>
        <w:t>United was recognized in Fast Company's 2024 World Changing Ideas List for its United Airlines Ventures Sustainable Flight Fund.</w:t>
      </w:r>
    </w:p>
    <w:p>
      <w:pPr>
        <w:spacing w:after="0" w:line="103" w:lineRule="exact"/>
        <w:rPr>
          <w:rFonts w:ascii="Calibri" w:cs="Calibri" w:eastAsia="Calibri" w:hAnsi="Calibri"/>
          <w:sz w:val="20"/>
          <w:szCs w:val="20"/>
          <w:color w:val="auto"/>
        </w:rPr>
      </w:pPr>
    </w:p>
    <w:p>
      <w:pPr>
        <w:ind w:left="660" w:right="380" w:hanging="328"/>
        <w:spacing w:after="0" w:line="335" w:lineRule="auto"/>
        <w:tabs>
          <w:tab w:leader="none" w:pos="653" w:val="left"/>
        </w:tabs>
        <w:numPr>
          <w:ilvl w:val="0"/>
          <w:numId w:val="15"/>
        </w:numPr>
        <w:rPr>
          <w:rFonts w:ascii="Calibri" w:cs="Calibri" w:eastAsia="Calibri" w:hAnsi="Calibri"/>
          <w:sz w:val="20"/>
          <w:szCs w:val="20"/>
          <w:color w:val="auto"/>
        </w:rPr>
      </w:pPr>
      <w:r>
        <w:rPr>
          <w:rFonts w:ascii="Calibri" w:cs="Calibri" w:eastAsia="Calibri" w:hAnsi="Calibri"/>
          <w:sz w:val="20"/>
          <w:szCs w:val="20"/>
          <w:color w:val="auto"/>
        </w:rPr>
        <w:t>Recognized as the only airline in Fair360's Top 50 Companies list for an ongoing commitment to workplace fairness, a list the company has made for the sixth year in a row.</w:t>
      </w:r>
    </w:p>
    <w:p>
      <w:pPr>
        <w:spacing w:after="0" w:line="6" w:lineRule="exact"/>
        <w:rPr>
          <w:rFonts w:ascii="Calibri" w:cs="Calibri" w:eastAsia="Calibri" w:hAnsi="Calibri"/>
          <w:sz w:val="20"/>
          <w:szCs w:val="20"/>
          <w:color w:val="auto"/>
        </w:rPr>
      </w:pPr>
    </w:p>
    <w:p>
      <w:pPr>
        <w:ind w:left="660" w:right="80" w:hanging="328"/>
        <w:spacing w:after="0" w:line="335" w:lineRule="auto"/>
        <w:tabs>
          <w:tab w:leader="none" w:pos="653" w:val="left"/>
        </w:tabs>
        <w:numPr>
          <w:ilvl w:val="0"/>
          <w:numId w:val="15"/>
        </w:numPr>
        <w:rPr>
          <w:rFonts w:ascii="Calibri" w:cs="Calibri" w:eastAsia="Calibri" w:hAnsi="Calibri"/>
          <w:sz w:val="20"/>
          <w:szCs w:val="20"/>
          <w:color w:val="auto"/>
        </w:rPr>
      </w:pPr>
      <w:r>
        <w:rPr>
          <w:rFonts w:ascii="Calibri" w:cs="Calibri" w:eastAsia="Calibri" w:hAnsi="Calibri"/>
          <w:sz w:val="20"/>
          <w:szCs w:val="20"/>
          <w:color w:val="auto"/>
        </w:rPr>
        <w:t>Awarded the Helen Darling Award for Excellence in Health Care Value and Innovaton by Business Group on Health for providing best-in-class healthcare benefts and resources to support employees and their families.</w:t>
      </w:r>
    </w:p>
    <w:p>
      <w:pPr>
        <w:spacing w:after="0" w:line="6" w:lineRule="exact"/>
        <w:rPr>
          <w:rFonts w:ascii="Calibri" w:cs="Calibri" w:eastAsia="Calibri" w:hAnsi="Calibri"/>
          <w:sz w:val="20"/>
          <w:szCs w:val="20"/>
          <w:color w:val="auto"/>
        </w:rPr>
      </w:pPr>
    </w:p>
    <w:p>
      <w:pPr>
        <w:ind w:left="660" w:right="140" w:hanging="328"/>
        <w:spacing w:after="0" w:line="335" w:lineRule="auto"/>
        <w:tabs>
          <w:tab w:leader="none" w:pos="653" w:val="left"/>
        </w:tabs>
        <w:numPr>
          <w:ilvl w:val="0"/>
          <w:numId w:val="15"/>
        </w:numPr>
        <w:rPr>
          <w:rFonts w:ascii="Calibri" w:cs="Calibri" w:eastAsia="Calibri" w:hAnsi="Calibri"/>
          <w:sz w:val="20"/>
          <w:szCs w:val="20"/>
          <w:color w:val="auto"/>
        </w:rPr>
      </w:pPr>
      <w:r>
        <w:rPr>
          <w:rFonts w:ascii="Calibri" w:cs="Calibri" w:eastAsia="Calibri" w:hAnsi="Calibri"/>
          <w:sz w:val="20"/>
          <w:szCs w:val="20"/>
          <w:color w:val="auto"/>
        </w:rPr>
        <w:t>Recognized as a VETS Indexes 3 Star Employer for the company's commitment to recruitng, hiring and supportng veterans and the military-connected community.</w:t>
      </w:r>
    </w:p>
    <w:p>
      <w:pPr>
        <w:spacing w:after="0" w:line="6" w:lineRule="exact"/>
        <w:rPr>
          <w:rFonts w:ascii="Calibri" w:cs="Calibri" w:eastAsia="Calibri" w:hAnsi="Calibri"/>
          <w:sz w:val="20"/>
          <w:szCs w:val="20"/>
          <w:color w:val="auto"/>
        </w:rPr>
      </w:pPr>
    </w:p>
    <w:p>
      <w:pPr>
        <w:ind w:left="660" w:right="440" w:hanging="328"/>
        <w:spacing w:after="0" w:line="335" w:lineRule="auto"/>
        <w:tabs>
          <w:tab w:leader="none" w:pos="653" w:val="left"/>
        </w:tabs>
        <w:numPr>
          <w:ilvl w:val="0"/>
          <w:numId w:val="15"/>
        </w:numPr>
        <w:rPr>
          <w:rFonts w:ascii="Calibri" w:cs="Calibri" w:eastAsia="Calibri" w:hAnsi="Calibri"/>
          <w:sz w:val="20"/>
          <w:szCs w:val="20"/>
          <w:color w:val="auto"/>
        </w:rPr>
      </w:pPr>
      <w:r>
        <w:rPr>
          <w:rFonts w:ascii="Calibri" w:cs="Calibri" w:eastAsia="Calibri" w:hAnsi="Calibri"/>
          <w:sz w:val="20"/>
          <w:szCs w:val="20"/>
          <w:color w:val="auto"/>
        </w:rPr>
        <w:t>Recognized with the Silver Anvil award for Best In-House Team by the Public Relatons Society of America for the company's Good Leads the Way campaign.</w:t>
      </w:r>
    </w:p>
    <w:p>
      <w:pPr>
        <w:spacing w:after="0" w:line="6" w:lineRule="exact"/>
        <w:rPr>
          <w:rFonts w:ascii="Calibri" w:cs="Calibri" w:eastAsia="Calibri" w:hAnsi="Calibri"/>
          <w:sz w:val="20"/>
          <w:szCs w:val="20"/>
          <w:color w:val="auto"/>
        </w:rPr>
      </w:pPr>
    </w:p>
    <w:p>
      <w:pPr>
        <w:ind w:left="660" w:right="80" w:hanging="328"/>
        <w:spacing w:after="0" w:line="335" w:lineRule="auto"/>
        <w:tabs>
          <w:tab w:leader="none" w:pos="653" w:val="left"/>
        </w:tabs>
        <w:numPr>
          <w:ilvl w:val="0"/>
          <w:numId w:val="15"/>
        </w:numPr>
        <w:rPr>
          <w:rFonts w:ascii="Calibri" w:cs="Calibri" w:eastAsia="Calibri" w:hAnsi="Calibri"/>
          <w:sz w:val="20"/>
          <w:szCs w:val="20"/>
          <w:color w:val="auto"/>
        </w:rPr>
      </w:pPr>
      <w:r>
        <w:rPr>
          <w:rFonts w:ascii="Calibri" w:cs="Calibri" w:eastAsia="Calibri" w:hAnsi="Calibri"/>
          <w:sz w:val="20"/>
          <w:szCs w:val="20"/>
          <w:color w:val="auto"/>
        </w:rPr>
        <w:t>Executve Vice President of Government Afairs and Global Public Policy Terri Fariello was named one of "Washington, D.C.'s 500 Most Infuental People of 2024" by the Washingtonian.</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b w:val="1"/>
          <w:bCs w:val="1"/>
          <w:color w:val="auto"/>
        </w:rPr>
        <w:t>Employees, Communites</w:t>
      </w:r>
    </w:p>
    <w:p>
      <w:pPr>
        <w:spacing w:after="0" w:line="211" w:lineRule="exact"/>
        <w:rPr>
          <w:sz w:val="20"/>
          <w:szCs w:val="20"/>
          <w:color w:val="auto"/>
        </w:rPr>
      </w:pPr>
    </w:p>
    <w:p>
      <w:pPr>
        <w:ind w:left="660" w:right="20" w:hanging="328"/>
        <w:spacing w:after="0" w:line="322" w:lineRule="auto"/>
        <w:tabs>
          <w:tab w:leader="none" w:pos="653" w:val="left"/>
        </w:tabs>
        <w:numPr>
          <w:ilvl w:val="0"/>
          <w:numId w:val="16"/>
        </w:numPr>
        <w:rPr>
          <w:rFonts w:ascii="Calibri" w:cs="Calibri" w:eastAsia="Calibri" w:hAnsi="Calibri"/>
          <w:sz w:val="20"/>
          <w:szCs w:val="20"/>
          <w:color w:val="auto"/>
        </w:rPr>
      </w:pPr>
      <w:r>
        <w:rPr>
          <w:rFonts w:ascii="Calibri" w:cs="Calibri" w:eastAsia="Calibri" w:hAnsi="Calibri"/>
          <w:sz w:val="20"/>
          <w:szCs w:val="20"/>
          <w:color w:val="auto"/>
        </w:rPr>
        <w:t>Over 2,000 United employees volunteered more than 12,000 hours in communites across hub markets, including 5,300 hours of service to local communites during volunteer month.</w:t>
      </w:r>
    </w:p>
    <w:p>
      <w:pPr>
        <w:spacing w:after="0" w:line="33" w:lineRule="exact"/>
        <w:rPr>
          <w:rFonts w:ascii="Calibri" w:cs="Calibri" w:eastAsia="Calibri" w:hAnsi="Calibri"/>
          <w:sz w:val="20"/>
          <w:szCs w:val="20"/>
          <w:color w:val="auto"/>
        </w:rPr>
      </w:pPr>
    </w:p>
    <w:p>
      <w:pPr>
        <w:ind w:left="660" w:right="540" w:hanging="328"/>
        <w:spacing w:after="0" w:line="300" w:lineRule="auto"/>
        <w:tabs>
          <w:tab w:leader="none" w:pos="653" w:val="left"/>
        </w:tabs>
        <w:numPr>
          <w:ilvl w:val="0"/>
          <w:numId w:val="16"/>
        </w:numPr>
        <w:rPr>
          <w:rFonts w:ascii="Calibri" w:cs="Calibri" w:eastAsia="Calibri" w:hAnsi="Calibri"/>
          <w:sz w:val="20"/>
          <w:szCs w:val="20"/>
          <w:color w:val="auto"/>
        </w:rPr>
      </w:pPr>
      <w:r>
        <w:rPr>
          <w:rFonts w:ascii="Calibri" w:cs="Calibri" w:eastAsia="Calibri" w:hAnsi="Calibri"/>
          <w:sz w:val="20"/>
          <w:szCs w:val="20"/>
          <w:color w:val="auto"/>
        </w:rPr>
        <w:t>MileagePlus members donated more than 10 million miles to partcipatng non-proft organizatons via United's Miles on a Mission</w:t>
      </w:r>
      <w:r>
        <w:rPr>
          <w:rFonts w:ascii="Calibri" w:cs="Calibri" w:eastAsia="Calibri" w:hAnsi="Calibri"/>
          <w:sz w:val="25"/>
          <w:szCs w:val="25"/>
          <w:color w:val="auto"/>
          <w:vertAlign w:val="superscript"/>
        </w:rPr>
        <w:t>SM</w:t>
      </w:r>
      <w:r>
        <w:rPr>
          <w:rFonts w:ascii="Calibri" w:cs="Calibri" w:eastAsia="Calibri" w:hAnsi="Calibri"/>
          <w:sz w:val="20"/>
          <w:szCs w:val="20"/>
          <w:color w:val="auto"/>
        </w:rPr>
        <w:t xml:space="preserve"> program, and over 350 in-kind fights to disaster relief partners.</w:t>
      </w:r>
    </w:p>
    <w:p>
      <w:pPr>
        <w:spacing w:after="0" w:line="1" w:lineRule="exact"/>
        <w:rPr>
          <w:rFonts w:ascii="Calibri" w:cs="Calibri" w:eastAsia="Calibri" w:hAnsi="Calibri"/>
          <w:sz w:val="20"/>
          <w:szCs w:val="20"/>
          <w:color w:val="auto"/>
        </w:rPr>
      </w:pPr>
    </w:p>
    <w:p>
      <w:pPr>
        <w:jc w:val="both"/>
        <w:ind w:left="660" w:right="100" w:hanging="328"/>
        <w:spacing w:after="0" w:line="333" w:lineRule="auto"/>
        <w:tabs>
          <w:tab w:leader="none" w:pos="653" w:val="left"/>
        </w:tabs>
        <w:numPr>
          <w:ilvl w:val="0"/>
          <w:numId w:val="16"/>
        </w:numPr>
        <w:rPr>
          <w:rFonts w:ascii="Calibri" w:cs="Calibri" w:eastAsia="Calibri" w:hAnsi="Calibri"/>
          <w:sz w:val="20"/>
          <w:szCs w:val="20"/>
          <w:color w:val="auto"/>
        </w:rPr>
      </w:pPr>
      <w:r>
        <w:rPr>
          <w:rFonts w:ascii="Calibri" w:cs="Calibri" w:eastAsia="Calibri" w:hAnsi="Calibri"/>
          <w:sz w:val="20"/>
          <w:szCs w:val="20"/>
          <w:color w:val="auto"/>
        </w:rPr>
        <w:t>United transported nearly 320 million pounds of cargo, including approximately 33 million pounds of medical shipments and 29 thousand pounds of military shipments, with more than 110 tons of cargo fown to support the Gaza humanitarian crisis, Brazil food relief, Maui Recovery, and other disaster preparedness, relief and recovery eforts.</w:t>
      </w:r>
    </w:p>
    <w:p>
      <w:pPr>
        <w:spacing w:after="0" w:line="9" w:lineRule="exact"/>
        <w:rPr>
          <w:rFonts w:ascii="Calibri" w:cs="Calibri" w:eastAsia="Calibri" w:hAnsi="Calibri"/>
          <w:sz w:val="20"/>
          <w:szCs w:val="20"/>
          <w:color w:val="auto"/>
        </w:rPr>
      </w:pPr>
    </w:p>
    <w:p>
      <w:pPr>
        <w:ind w:left="660" w:right="660" w:hanging="328"/>
        <w:spacing w:after="0" w:line="335" w:lineRule="auto"/>
        <w:tabs>
          <w:tab w:leader="none" w:pos="653" w:val="left"/>
        </w:tabs>
        <w:numPr>
          <w:ilvl w:val="0"/>
          <w:numId w:val="16"/>
        </w:numPr>
        <w:rPr>
          <w:rFonts w:ascii="Calibri" w:cs="Calibri" w:eastAsia="Calibri" w:hAnsi="Calibri"/>
          <w:sz w:val="20"/>
          <w:szCs w:val="20"/>
          <w:color w:val="auto"/>
        </w:rPr>
      </w:pPr>
      <w:r>
        <w:rPr>
          <w:rFonts w:ascii="Calibri" w:cs="Calibri" w:eastAsia="Calibri" w:hAnsi="Calibri"/>
          <w:sz w:val="20"/>
          <w:szCs w:val="20"/>
          <w:color w:val="auto"/>
        </w:rPr>
        <w:t>United's Aviate Academy launched a pilot development program with Texas Southern University and United awarded the university's aviaton program with more than $200,000 in scholarships.</w:t>
      </w:r>
    </w:p>
    <w:p>
      <w:pPr>
        <w:spacing w:after="0" w:line="6" w:lineRule="exact"/>
        <w:rPr>
          <w:rFonts w:ascii="Calibri" w:cs="Calibri" w:eastAsia="Calibri" w:hAnsi="Calibri"/>
          <w:sz w:val="20"/>
          <w:szCs w:val="20"/>
          <w:color w:val="auto"/>
        </w:rPr>
      </w:pPr>
    </w:p>
    <w:p>
      <w:pPr>
        <w:ind w:left="660" w:right="480" w:hanging="328"/>
        <w:spacing w:after="0" w:line="335" w:lineRule="auto"/>
        <w:tabs>
          <w:tab w:leader="none" w:pos="653" w:val="left"/>
        </w:tabs>
        <w:numPr>
          <w:ilvl w:val="0"/>
          <w:numId w:val="16"/>
        </w:numPr>
        <w:rPr>
          <w:rFonts w:ascii="Calibri" w:cs="Calibri" w:eastAsia="Calibri" w:hAnsi="Calibri"/>
          <w:sz w:val="20"/>
          <w:szCs w:val="20"/>
          <w:color w:val="auto"/>
        </w:rPr>
      </w:pPr>
      <w:r>
        <w:rPr>
          <w:rFonts w:ascii="Calibri" w:cs="Calibri" w:eastAsia="Calibri" w:hAnsi="Calibri"/>
          <w:sz w:val="20"/>
          <w:szCs w:val="20"/>
          <w:color w:val="auto"/>
        </w:rPr>
        <w:t>Donated $100,000 to Houston disaster relief organizatons supportng those impacted by severe storms and fooding in the greater Houston area.</w:t>
      </w:r>
    </w:p>
    <w:p>
      <w:pPr>
        <w:spacing w:after="0" w:line="6" w:lineRule="exact"/>
        <w:rPr>
          <w:rFonts w:ascii="Calibri" w:cs="Calibri" w:eastAsia="Calibri" w:hAnsi="Calibri"/>
          <w:sz w:val="20"/>
          <w:szCs w:val="20"/>
          <w:color w:val="auto"/>
        </w:rPr>
      </w:pPr>
    </w:p>
    <w:p>
      <w:pPr>
        <w:ind w:left="660" w:right="100" w:hanging="328"/>
        <w:spacing w:after="0" w:line="335" w:lineRule="auto"/>
        <w:tabs>
          <w:tab w:leader="none" w:pos="653" w:val="left"/>
        </w:tabs>
        <w:numPr>
          <w:ilvl w:val="0"/>
          <w:numId w:val="16"/>
        </w:numPr>
        <w:rPr>
          <w:rFonts w:ascii="Calibri" w:cs="Calibri" w:eastAsia="Calibri" w:hAnsi="Calibri"/>
          <w:sz w:val="20"/>
          <w:szCs w:val="20"/>
          <w:color w:val="auto"/>
        </w:rPr>
      </w:pPr>
      <w:r>
        <w:rPr>
          <w:rFonts w:ascii="Calibri" w:cs="Calibri" w:eastAsia="Calibri" w:hAnsi="Calibri"/>
          <w:sz w:val="20"/>
          <w:szCs w:val="20"/>
          <w:color w:val="auto"/>
        </w:rPr>
        <w:t>Commited $50,000 to Airlink and Global Giving's Brazil Flood Relief Fund, and, alongside customers, United raised nearly seven million miles in support of Airlink, American Red Cross, and World Central Kitchen to support on the ground disaster relief.</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Calibri" w:cs="Calibri" w:eastAsia="Calibri" w:hAnsi="Calibri"/>
          <w:sz w:val="16"/>
          <w:szCs w:val="16"/>
          <w:color w:val="auto"/>
        </w:rPr>
        <w:t>5</w:t>
      </w:r>
    </w:p>
    <w:p>
      <w:pPr>
        <w:sectPr>
          <w:pgSz w:w="11900" w:h="16838" w:orient="portrait"/>
          <w:cols w:equalWidth="0" w:num="1">
            <w:col w:w="11200"/>
          </w:cols>
          <w:pgMar w:left="320" w:top="112" w:right="37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color w:val="auto"/>
        </w:rPr>
        <w:t>United Airlines Reports Second-Quarter 2024 Results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hanging="328"/>
        <w:spacing w:after="0" w:line="335" w:lineRule="auto"/>
        <w:tabs>
          <w:tab w:leader="none" w:pos="653"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BEACON, United's Black Business Resource Group, hosted seven events across hub cites in honor of Juneteenth to celebrate the holiday.</w:t>
      </w:r>
    </w:p>
    <w:p>
      <w:pPr>
        <w:spacing w:after="0" w:line="6" w:lineRule="exact"/>
        <w:rPr>
          <w:rFonts w:ascii="Calibri" w:cs="Calibri" w:eastAsia="Calibri" w:hAnsi="Calibri"/>
          <w:sz w:val="20"/>
          <w:szCs w:val="20"/>
          <w:color w:val="auto"/>
        </w:rPr>
      </w:pPr>
    </w:p>
    <w:p>
      <w:pPr>
        <w:ind w:left="660" w:hanging="328"/>
        <w:spacing w:after="0" w:line="335" w:lineRule="auto"/>
        <w:tabs>
          <w:tab w:leader="none" w:pos="653" w:val="left"/>
        </w:tabs>
        <w:numPr>
          <w:ilvl w:val="0"/>
          <w:numId w:val="17"/>
        </w:numPr>
        <w:rPr>
          <w:rFonts w:ascii="Calibri" w:cs="Calibri" w:eastAsia="Calibri" w:hAnsi="Calibri"/>
          <w:sz w:val="20"/>
          <w:szCs w:val="20"/>
          <w:color w:val="auto"/>
        </w:rPr>
      </w:pPr>
      <w:r>
        <w:rPr>
          <w:rFonts w:ascii="Calibri" w:cs="Calibri" w:eastAsia="Calibri" w:hAnsi="Calibri"/>
          <w:sz w:val="20"/>
          <w:szCs w:val="20"/>
          <w:color w:val="auto"/>
        </w:rPr>
        <w:t>United's LGBTQ+ Business Resource Group EQUAL partcipated in ten Pride parades across the country throughout the month of June to celebrate Pride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Calibri" w:cs="Calibri" w:eastAsia="Calibri" w:hAnsi="Calibri"/>
          <w:sz w:val="16"/>
          <w:szCs w:val="16"/>
          <w:color w:val="auto"/>
        </w:rPr>
        <w:t>6</w:t>
      </w:r>
    </w:p>
    <w:p>
      <w:pPr>
        <w:sectPr>
          <w:pgSz w:w="11900" w:h="16838" w:orient="portrait"/>
          <w:cols w:equalWidth="0" w:num="1">
            <w:col w:w="11140"/>
          </w:cols>
          <w:pgMar w:left="320" w:top="112" w:right="43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color w:val="auto"/>
        </w:rPr>
        <w:t>United Airlines Reports Second-Quarter 2024 Results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Earnings Call</w:t>
      </w:r>
    </w:p>
    <w:p>
      <w:pPr>
        <w:spacing w:after="0" w:line="226" w:lineRule="auto"/>
        <w:rPr>
          <w:sz w:val="20"/>
          <w:szCs w:val="20"/>
          <w:color w:val="auto"/>
        </w:rPr>
      </w:pPr>
      <w:r>
        <w:rPr>
          <w:rFonts w:ascii="Calibri" w:cs="Calibri" w:eastAsia="Calibri" w:hAnsi="Calibri"/>
          <w:sz w:val="18"/>
          <w:szCs w:val="18"/>
          <w:color w:val="auto"/>
        </w:rPr>
        <w:t>UAL will hold a conference call to discuss second quarter fnancial results, as well as its fnancial and operatonal outlook for the third-quarter 2024 and beyond, on Thursday, July 18, at 9:30 a.m. CDT/10:30 a.m. EDT. A live, listen-only webcast of the conference call will be available at ir.united.com. The webcast will be available for replay within 24 hours of the conference call and then archived on the website.</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Outlook</w:t>
      </w:r>
    </w:p>
    <w:p>
      <w:pPr>
        <w:spacing w:after="0" w:line="1" w:lineRule="exact"/>
        <w:rPr>
          <w:sz w:val="20"/>
          <w:szCs w:val="20"/>
          <w:color w:val="auto"/>
        </w:rPr>
      </w:pPr>
    </w:p>
    <w:p>
      <w:pPr>
        <w:ind w:right="20"/>
        <w:spacing w:after="0" w:line="242" w:lineRule="auto"/>
        <w:rPr>
          <w:sz w:val="20"/>
          <w:szCs w:val="20"/>
          <w:color w:val="auto"/>
        </w:rPr>
      </w:pPr>
      <w:r>
        <w:rPr>
          <w:rFonts w:ascii="Calibri" w:cs="Calibri" w:eastAsia="Calibri" w:hAnsi="Calibri"/>
          <w:sz w:val="17"/>
          <w:szCs w:val="17"/>
          <w:color w:val="auto"/>
        </w:rPr>
        <w:t>This press release should be read in conjuncton with the company's Investor Update issued in connecton with this quarterly earnings announcement, which provides additonal informaton on the company's business outlook (including certain fnancial and operatonal guidance) and is furnished with this press release to the U.S. Securites and Exchange Commission on a Current Report on Form 8-K. The Investor Update is also available at ir.united.com. Management will also discuss certain business outlook items, including providing certain full year 2024 fnancial targets, during the quarterly earnings conference call.</w:t>
      </w:r>
    </w:p>
    <w:p>
      <w:pPr>
        <w:spacing w:after="0" w:line="230" w:lineRule="exact"/>
        <w:rPr>
          <w:sz w:val="20"/>
          <w:szCs w:val="20"/>
          <w:color w:val="auto"/>
        </w:rPr>
      </w:pPr>
    </w:p>
    <w:p>
      <w:pPr>
        <w:ind w:right="20"/>
        <w:spacing w:after="0" w:line="227" w:lineRule="auto"/>
        <w:rPr>
          <w:sz w:val="20"/>
          <w:szCs w:val="20"/>
          <w:color w:val="auto"/>
        </w:rPr>
      </w:pPr>
      <w:r>
        <w:rPr>
          <w:rFonts w:ascii="Calibri" w:cs="Calibri" w:eastAsia="Calibri" w:hAnsi="Calibri"/>
          <w:sz w:val="18"/>
          <w:szCs w:val="18"/>
          <w:color w:val="auto"/>
        </w:rPr>
        <w:t>The company's business outlook is subject to risks and uncertaintes applicable to all forward-looking statements as described elsewhere in this press release. Please see the secton enttled "Cautonary Statement Regarding Forward-Looking Statements."</w:t>
      </w:r>
    </w:p>
    <w:p>
      <w:pPr>
        <w:spacing w:after="0" w:line="22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About United</w:t>
      </w:r>
    </w:p>
    <w:p>
      <w:pPr>
        <w:spacing w:after="0" w:line="217" w:lineRule="auto"/>
        <w:rPr>
          <w:sz w:val="20"/>
          <w:szCs w:val="20"/>
          <w:color w:val="auto"/>
        </w:rPr>
      </w:pPr>
      <w:r>
        <w:rPr>
          <w:rFonts w:ascii="Calibri" w:cs="Calibri" w:eastAsia="Calibri" w:hAnsi="Calibri"/>
          <w:sz w:val="18"/>
          <w:szCs w:val="18"/>
          <w:color w:val="auto"/>
        </w:rPr>
        <w:t>At United, Good Leads The Way. With hubs in Chicago, Denver, Houston, Los Angeles, New York/Newark, San Francisco and Washington, D.C., United operates the most comprehensive global route network among North American carriers, and is now the largest airline in the world. For more about how to join the United team, please visit www.united.com/careers and more informaton about the company is at www.united.com. United Airlines Holdings, Inc., the parent company of United Airlines, Inc., is traded on the Nasdaq under the symbol "UAL".</w:t>
      </w:r>
    </w:p>
    <w:p>
      <w:pPr>
        <w:spacing w:after="0" w:line="24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Website Informaton</w:t>
      </w:r>
    </w:p>
    <w:p>
      <w:pPr>
        <w:spacing w:after="0" w:line="1" w:lineRule="exact"/>
        <w:rPr>
          <w:sz w:val="20"/>
          <w:szCs w:val="20"/>
          <w:color w:val="auto"/>
        </w:rPr>
      </w:pPr>
    </w:p>
    <w:p>
      <w:pPr>
        <w:ind w:right="60"/>
        <w:spacing w:after="0" w:line="226" w:lineRule="auto"/>
        <w:rPr>
          <w:sz w:val="20"/>
          <w:szCs w:val="20"/>
          <w:color w:val="auto"/>
        </w:rPr>
      </w:pPr>
      <w:r>
        <w:rPr>
          <w:rFonts w:ascii="Calibri" w:cs="Calibri" w:eastAsia="Calibri" w:hAnsi="Calibri"/>
          <w:sz w:val="18"/>
          <w:szCs w:val="18"/>
          <w:color w:val="auto"/>
        </w:rPr>
        <w:t>We routnely post important news and informaton regarding United on our corporate website, www.united.com, and our investor relatons website, ir.united.com. We use our investor relatons website as a primary channel for disclosing key informaton to our investors, including the tming of future investor conferences and earnings calls, press releases and other informaton about fnancial performance, reports fled or furnished with the U.S. Securites and Exchange Commission, informaton on corporate governance and details related to our annual meetng of shareholders. We may use our investor relatons website as a means of disclosing material, non-public informaton and for complying with our disclosure obligatons under Regulaton FD. We may also use social media channels to communicate with our investors and the public about our company and other maters, and those communicatons could be deemed to be material informaton. The informaton contained on, or that may be accessed through, our website or social media channels are not incorporated by reference into, and are not a part of, this document.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Cautonary Statement Regarding Forward-Looking Statements:</w:t>
      </w:r>
    </w:p>
    <w:p>
      <w:pPr>
        <w:spacing w:after="0" w:line="220" w:lineRule="auto"/>
        <w:rPr>
          <w:sz w:val="20"/>
          <w:szCs w:val="20"/>
          <w:color w:val="auto"/>
        </w:rPr>
      </w:pPr>
      <w:r>
        <w:rPr>
          <w:rFonts w:ascii="Calibri" w:cs="Calibri" w:eastAsia="Calibri" w:hAnsi="Calibri"/>
          <w:sz w:val="18"/>
          <w:szCs w:val="18"/>
          <w:color w:val="auto"/>
        </w:rPr>
        <w:t>This press release and the related atachments and Investor Update (as well as the oral statements made with respect to informaton contained in this release and the atachments) contain certain "forward-looking statements," within the meaning of Secton 27A of the Securites Act of 1933, as amended, and Secton 21E of the Securites Exchange Act of 1934, as amended, relatng to, among other things, goals, plans and projectons regarding the company's fnancial positon, results of operatons, market positon, capacity, feet plan strategy, announced routes (which may be subject to government approval), product development, ESG-related strategy initatves and business strategy. Such forward-looking statements are based on historical performance and current expectatons, estmates, forecasts and projectons about the company's future fnancial results, goals, plans, commitments, strategies and objectves and involve inherent risks, assumptons and uncertaintes, known or unknown, including internal or external factors that could delay, divert or change any of them, that are difcult to predict, may be beyond the company's control and could cause the company's future fnancial results, goals, plans, commitments, strategies and objectves to difer materially from those expressed in, or implied by, the statements. Words such as "should," "could," "would," "will," "may," "expects," "plans," "intends," "antcipates," "indicates," "remains," "believes," "estmates," "projects," "forecast," "guidance," "outlook," "goals," "targets," "pledge," "confdent," "optmistc," "dedicated," "positoned," "on track" and other words and terms of similar meaning and expression are intended to identfy forward-looking statements, although not all forward-looking statements contain such terms. All statements, other than those that relate solely to historical facts, are forward-looking statements.</w:t>
      </w:r>
    </w:p>
    <w:p>
      <w:pPr>
        <w:spacing w:after="0" w:line="231" w:lineRule="exact"/>
        <w:rPr>
          <w:sz w:val="20"/>
          <w:szCs w:val="20"/>
          <w:color w:val="auto"/>
        </w:rPr>
      </w:pPr>
    </w:p>
    <w:p>
      <w:pPr>
        <w:ind w:right="20"/>
        <w:spacing w:after="0" w:line="230" w:lineRule="auto"/>
        <w:rPr>
          <w:sz w:val="20"/>
          <w:szCs w:val="20"/>
          <w:color w:val="auto"/>
        </w:rPr>
      </w:pPr>
      <w:r>
        <w:rPr>
          <w:rFonts w:ascii="Calibri" w:cs="Calibri" w:eastAsia="Calibri" w:hAnsi="Calibri"/>
          <w:sz w:val="18"/>
          <w:szCs w:val="18"/>
          <w:color w:val="auto"/>
        </w:rPr>
        <w:t>Additonally, forward-looking statements include conditonal statements and statements that identfy uncertaintes or trends, discuss the possible future efects of known trends or uncertaintes, or that indicate that the future efects of known trends or uncertaintes cannot be predicted, guaranteed or assured. All forward-looking statements in this release are based upon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color w:val="auto"/>
        </w:rPr>
        <w:t>7</w:t>
      </w:r>
    </w:p>
    <w:p>
      <w:pPr>
        <w:sectPr>
          <w:pgSz w:w="11900" w:h="16838" w:orient="portrait"/>
          <w:cols w:equalWidth="0" w:num="1">
            <w:col w:w="11220"/>
          </w:cols>
          <w:pgMar w:left="320" w:top="112" w:right="35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color w:val="auto"/>
        </w:rPr>
        <w:t>United Airlines Reports Second-Quarter 2024 Results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60"/>
        <w:spacing w:after="0" w:line="227" w:lineRule="auto"/>
        <w:rPr>
          <w:sz w:val="20"/>
          <w:szCs w:val="20"/>
          <w:color w:val="auto"/>
        </w:rPr>
      </w:pPr>
      <w:r>
        <w:rPr>
          <w:rFonts w:ascii="Calibri" w:cs="Calibri" w:eastAsia="Calibri" w:hAnsi="Calibri"/>
          <w:sz w:val="18"/>
          <w:szCs w:val="18"/>
          <w:color w:val="auto"/>
        </w:rPr>
        <w:t>informaton available to us on the date of this release. We undertake no obligaton to publicly update or revise any forward-looking statement, whether as a result of new informaton, future events, changed circumstances or otherwise, except as required by applicable law or regulaton.</w:t>
      </w:r>
    </w:p>
    <w:p>
      <w:pPr>
        <w:spacing w:after="0" w:line="232" w:lineRule="exact"/>
        <w:rPr>
          <w:sz w:val="20"/>
          <w:szCs w:val="20"/>
          <w:color w:val="auto"/>
        </w:rPr>
      </w:pPr>
    </w:p>
    <w:p>
      <w:pPr>
        <w:spacing w:after="0" w:line="220" w:lineRule="auto"/>
        <w:rPr>
          <w:sz w:val="20"/>
          <w:szCs w:val="20"/>
          <w:color w:val="auto"/>
        </w:rPr>
      </w:pPr>
      <w:r>
        <w:rPr>
          <w:rFonts w:ascii="Calibri" w:cs="Calibri" w:eastAsia="Calibri" w:hAnsi="Calibri"/>
          <w:sz w:val="18"/>
          <w:szCs w:val="18"/>
          <w:color w:val="auto"/>
        </w:rPr>
        <w:t>Our actual results could difer materially from these forward-looking statements due to numerous factors including, without limitaton, the following: executon risks associated with our strategic operatng plan; changes in our feet and network strategy or other factors outside our control resultng in less economic aircraf orders, costs related to modifcaton or terminaton of aircraf orders or entry into aircraf orders on less favorable terms, as well as any inability to accept or integrate new aircraf into our feet as planned, including as a result of any mandatory groundings of aircraf; any failure to efectvely manage, and receive antcipated benefts and returns from, acquisitons, divesttures, investments, joint ventures and other portolio actons, or related exposures to unknown liabilites or other issues or underperformance as compared to our expectatons; adverse publicity, harm to our brand, reduced travel demand, potental tort liability and operatonal restrictons as a result of an accident, catastrophe or incident involving us, our regional carriers, our codeshare partners or another airline; the highly compettve nature of the global airline industry and susceptbility of the industry to price discountng and changes in capacity, including as a result of alliances, joint business arrangements or other consolidatons; our reliance on a limited number of suppliers to source a majority of our aircraf, engines and certain parts, and the impact of any failure to obtain tmely deliveries, additonal equipment or support from any of these suppliers; disruptons to our regional network and United Express fights provided by third-party regional carriers; unfavorable economic and politcal conditons in the United States and globally; reliance on third-party service providers and the impact of any signifcant failure of these partes to perform as expected, or interruptons in our relatonships with these providers or their provision of services; extended interruptons or disruptons in service at major airports where we operate and space, facility and infrastructure constraints at our hubs or other airports; geopolitcal confict, terrorist atacks or security events (including the suspension of our overfying in Russian airspace as a result of the Russia-Ukraine military confict and interruptons of our fying to Tel Aviv as a result of the Israeli-Hamas military confict, as well as any escalaton of the broader economic consequences of these conficts beyond their current scope); any damage to our reputaton or brand image; our reliance on technology and automated systems to operate our business and the impact of any signifcant failure or disrupton of, or failure to efectvely integrate and implement, these technologies or systems; increasing privacy, data security and cybersecurity obligatons or a signifcant data breach; increased use of social media platorms by us, our employees and others; the impacts of union disputes, employee strikes or slowdowns, and other labor-related disruptons or regulatory compliance costs on our operatons or fnancial performance; any failure to atract, train or retain skilled personnel, including our senior management team or other key employees; the monetary and operatonal costs of compliance with extensive government regulaton of the airline industry; current or future litgaton and regulatory actons, or failure to comply with the terms of any setlement, order or agreement relatng to these actons; costs, liabilites and risks associated with environmental regulaton and climate change, and any failure to achieve or demonstrate progress towards our climate goals; high and/or volatle fuel prices or signifcant disruptons in the supply of aircraf fuel; the impacts of our signifcant amount of fnancial leverage from fxed obligatons and the impacts of insufcient liquidity on our fnancial conditon and business; failure to comply with fnancial and other covenants governing our debt, including our MileagePlus fnancing agreements; limitatons on our ability to use our net operatng loss carryforwards and certain other tax atributes to ofset future taxable income for U.S. federal income tax purposes; our failure to realize the full value of our intangible assets or our long-lived assets, causing us to record impairments; fuctuatons in the price of our common stock; the impacts of seasonality, and other factors associated with the airline industry; increases in insurance costs or inadequate insurance coverage and other risks and uncertaintes set forth in Part I, Item 1A. Risk Factors of our Annual Report on Form 10-K for the fscal year ended December 31, 2023 and under "Economic and Market Factors" and "Governmental Actons" in Part I, Item 2. Management's Discussion and Analysis of Financial Conditon and Results of Operatons of our Quarterly Report on Form 10-Q for the fscal quarter ended March 31, 2024, as well as other risks and uncertaintes set forth from tme to tme in the reports we fle with the U.S. Securites and Exchange Commission.</w:t>
      </w:r>
    </w:p>
    <w:p>
      <w:pPr>
        <w:spacing w:after="0" w:line="2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Non-GAAP Financial Informaton:</w:t>
      </w:r>
    </w:p>
    <w:p>
      <w:pPr>
        <w:ind w:right="120"/>
        <w:spacing w:after="0" w:line="219" w:lineRule="auto"/>
        <w:rPr>
          <w:sz w:val="20"/>
          <w:szCs w:val="20"/>
          <w:color w:val="auto"/>
        </w:rPr>
      </w:pPr>
      <w:r>
        <w:rPr>
          <w:rFonts w:ascii="Calibri" w:cs="Calibri" w:eastAsia="Calibri" w:hAnsi="Calibri"/>
          <w:sz w:val="18"/>
          <w:szCs w:val="18"/>
          <w:color w:val="auto"/>
        </w:rPr>
        <w:t>In discussing fnancial results and guidance, the company refers to fnancial measures that are not in accordance with U.S. Generally Accepted Accountng Principles ("GAAP"). The non-GAAP fnancial measures are provided as supplemental informaton to the fnancial measures presented in this press release that are calculated and presented in accordance with GAAP and are presented because management believes that they supplement or enhance management's, analysts' and investors' overall understanding of the company's underlying fnancial performance and trends and facilitate comparisons among current, past and future periods. Non-GAAP fnancial measures such as CASM-ex (which excludes the impact of fuel expense, proft sharing, special charges and third-party expenses), adjusted pre-tax margin (which is calculated as pre-tax margin excluding operatng and nonoperatng special charges, unrealized (gains) losses on investments, net and debt extnguishment and modifcaton fees), adjusted pre-tax income, adjusted earnings per share and adjusted net income typically have exclusions or adjustments that include one or more of the following characteristcs, such as being highly variable, difcult to project, unusual in nature, signifcant to the results of a partcular period or not indicatve of past or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color w:val="auto"/>
        </w:rPr>
        <w:t>8</w:t>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color w:val="auto"/>
        </w:rPr>
        <w:t>United Airlines Reports Second-Quarter 2024 Results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80"/>
        <w:spacing w:after="0" w:line="227" w:lineRule="auto"/>
        <w:rPr>
          <w:sz w:val="20"/>
          <w:szCs w:val="20"/>
          <w:color w:val="auto"/>
        </w:rPr>
      </w:pPr>
      <w:r>
        <w:rPr>
          <w:rFonts w:ascii="Calibri" w:cs="Calibri" w:eastAsia="Calibri" w:hAnsi="Calibri"/>
          <w:sz w:val="18"/>
          <w:szCs w:val="18"/>
          <w:color w:val="auto"/>
        </w:rPr>
        <w:t>future operatng results. These items are excluded because the company believes they neither relate to the ordinary course of the company's business nor refect the company's underlying business performance.</w:t>
      </w:r>
    </w:p>
    <w:p>
      <w:pPr>
        <w:spacing w:after="0" w:line="232" w:lineRule="exact"/>
        <w:rPr>
          <w:sz w:val="20"/>
          <w:szCs w:val="20"/>
          <w:color w:val="auto"/>
        </w:rPr>
      </w:pPr>
    </w:p>
    <w:p>
      <w:pPr>
        <w:spacing w:after="0" w:line="224" w:lineRule="auto"/>
        <w:rPr>
          <w:sz w:val="20"/>
          <w:szCs w:val="20"/>
          <w:color w:val="auto"/>
        </w:rPr>
      </w:pPr>
      <w:r>
        <w:rPr>
          <w:rFonts w:ascii="Calibri" w:cs="Calibri" w:eastAsia="Calibri" w:hAnsi="Calibri"/>
          <w:sz w:val="18"/>
          <w:szCs w:val="18"/>
          <w:color w:val="auto"/>
        </w:rPr>
        <w:t>Because the non-GAAP fnancial measures are not calculated in accordance with GAAP, they should not be considered superior to and are not intended to be considered in isolaton or as a substtute for the related GAAP fnancial measures presented in the press release and may not be the same as or comparable to similarly ttled measures presented by other companies due to possible diferences in method and in the items being adjusted. We encourage investors to review our fnancial statements and publicly-fled reports in their entrety and not to rely on any single fnancial measure.</w:t>
      </w:r>
    </w:p>
    <w:p>
      <w:pPr>
        <w:spacing w:after="0" w:line="233" w:lineRule="exact"/>
        <w:rPr>
          <w:sz w:val="20"/>
          <w:szCs w:val="20"/>
          <w:color w:val="auto"/>
        </w:rPr>
      </w:pPr>
    </w:p>
    <w:p>
      <w:pPr>
        <w:ind w:right="220"/>
        <w:spacing w:after="0" w:line="220" w:lineRule="auto"/>
        <w:rPr>
          <w:sz w:val="20"/>
          <w:szCs w:val="20"/>
          <w:color w:val="auto"/>
        </w:rPr>
      </w:pPr>
      <w:r>
        <w:rPr>
          <w:rFonts w:ascii="Calibri" w:cs="Calibri" w:eastAsia="Calibri" w:hAnsi="Calibri"/>
          <w:sz w:val="18"/>
          <w:szCs w:val="18"/>
          <w:color w:val="auto"/>
        </w:rPr>
        <w:t>Please refer to the tables accompanying this release for a descripton of the non-GAAP adjustments and reconciliatons of the historical non-GAAP fnancial measures used to the most comparable GAAP fnancial measure and related disclosures.</w:t>
      </w:r>
    </w:p>
    <w:p>
      <w:pPr>
        <w:spacing w:after="0" w:line="33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-tables atached-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color w:val="auto"/>
        </w:rPr>
        <w:t>9</w:t>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color w:val="auto"/>
        </w:rPr>
        <w:t>United Airlines Reports Second-Quarter 2024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UNITED AIRLINES HOLDINGS, INC.</w:t>
      </w:r>
    </w:p>
    <w:p>
      <w:pPr>
        <w:jc w:val="center"/>
        <w:spacing w:after="0" w:line="232" w:lineRule="auto"/>
        <w:rPr>
          <w:sz w:val="20"/>
          <w:szCs w:val="20"/>
          <w:color w:val="auto"/>
        </w:rPr>
      </w:pPr>
      <w:r>
        <w:rPr>
          <w:rFonts w:ascii="Calibri" w:cs="Calibri" w:eastAsia="Calibri" w:hAnsi="Calibri"/>
          <w:sz w:val="16"/>
          <w:szCs w:val="16"/>
          <w:color w:val="auto"/>
        </w:rPr>
        <w:t>STATEMENTS OF CONSOLIDATED OPERATIONS (UNAUDITED)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4"/>
          </w:tcPr>
          <w:p>
            <w:pPr>
              <w:jc w:val="right"/>
              <w:ind w:right="59"/>
              <w:spacing w:after="0"/>
              <w:rPr>
                <w:sz w:val="20"/>
                <w:szCs w:val="20"/>
                <w:color w:val="auto"/>
              </w:rPr>
            </w:pPr>
            <w:r>
              <w:rPr>
                <w:rFonts w:ascii="Calibri" w:cs="Calibri" w:eastAsia="Calibri" w:hAnsi="Calibri"/>
                <w:sz w:val="16"/>
                <w:szCs w:val="16"/>
                <w:color w:val="auto"/>
              </w:rPr>
              <w:t>Three Months Ended</w:t>
            </w:r>
          </w:p>
        </w:tc>
        <w:tc>
          <w:tcPr>
            <w:tcW w:w="1020" w:type="dxa"/>
            <w:vAlign w:val="bottom"/>
            <w:gridSpan w:val="2"/>
            <w:vMerge w:val="restart"/>
          </w:tcPr>
          <w:p>
            <w:pPr>
              <w:jc w:val="center"/>
              <w:ind w:left="19"/>
              <w:spacing w:after="0"/>
              <w:rPr>
                <w:sz w:val="20"/>
                <w:szCs w:val="20"/>
                <w:color w:val="auto"/>
              </w:rPr>
            </w:pPr>
            <w:r>
              <w:rPr>
                <w:rFonts w:ascii="Calibri" w:cs="Calibri" w:eastAsia="Calibri" w:hAnsi="Calibri"/>
                <w:sz w:val="16"/>
                <w:szCs w:val="16"/>
                <w:color w:val="auto"/>
              </w:rPr>
              <w:t>%</w:t>
            </w:r>
          </w:p>
        </w:tc>
        <w:tc>
          <w:tcPr>
            <w:tcW w:w="160" w:type="dxa"/>
            <w:vAlign w:val="bottom"/>
          </w:tcPr>
          <w:p>
            <w:pPr>
              <w:spacing w:after="0"/>
              <w:rPr>
                <w:sz w:val="16"/>
                <w:szCs w:val="16"/>
                <w:color w:val="auto"/>
              </w:rPr>
            </w:pPr>
          </w:p>
        </w:tc>
        <w:tc>
          <w:tcPr>
            <w:tcW w:w="1640" w:type="dxa"/>
            <w:vAlign w:val="bottom"/>
            <w:gridSpan w:val="5"/>
          </w:tcPr>
          <w:p>
            <w:pPr>
              <w:jc w:val="right"/>
              <w:spacing w:after="0"/>
              <w:rPr>
                <w:sz w:val="20"/>
                <w:szCs w:val="20"/>
                <w:color w:val="auto"/>
              </w:rPr>
            </w:pPr>
            <w:r>
              <w:rPr>
                <w:rFonts w:ascii="Calibri" w:cs="Calibri" w:eastAsia="Calibri" w:hAnsi="Calibri"/>
                <w:sz w:val="16"/>
                <w:szCs w:val="16"/>
                <w:color w:val="auto"/>
              </w:rPr>
              <w:t>Six Months Ended June</w:t>
            </w:r>
          </w:p>
        </w:tc>
        <w:tc>
          <w:tcPr>
            <w:tcW w:w="980" w:type="dxa"/>
            <w:vAlign w:val="bottom"/>
            <w:gridSpan w:val="2"/>
            <w:vMerge w:val="restart"/>
          </w:tcPr>
          <w:p>
            <w:pPr>
              <w:jc w:val="center"/>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95"/>
        </w:trPr>
        <w:tc>
          <w:tcPr>
            <w:tcW w:w="5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3"/>
            <w:vMerge w:val="restart"/>
          </w:tcPr>
          <w:p>
            <w:pPr>
              <w:jc w:val="right"/>
              <w:spacing w:after="0" w:line="193" w:lineRule="exact"/>
              <w:rPr>
                <w:sz w:val="20"/>
                <w:szCs w:val="20"/>
                <w:color w:val="auto"/>
              </w:rPr>
            </w:pPr>
            <w:r>
              <w:rPr>
                <w:rFonts w:ascii="Calibri" w:cs="Calibri" w:eastAsia="Calibri" w:hAnsi="Calibri"/>
                <w:sz w:val="16"/>
                <w:szCs w:val="16"/>
                <w:color w:val="auto"/>
              </w:rPr>
              <w:t>June 30,</w:t>
            </w:r>
          </w:p>
        </w:tc>
        <w:tc>
          <w:tcPr>
            <w:tcW w:w="56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3"/>
            <w:vMerge w:val="restart"/>
          </w:tcPr>
          <w:p>
            <w:pPr>
              <w:jc w:val="right"/>
              <w:ind w:right="19"/>
              <w:spacing w:after="0" w:line="193" w:lineRule="exact"/>
              <w:rPr>
                <w:sz w:val="20"/>
                <w:szCs w:val="20"/>
                <w:color w:val="auto"/>
              </w:rPr>
            </w:pPr>
            <w:r>
              <w:rPr>
                <w:rFonts w:ascii="Calibri" w:cs="Calibri" w:eastAsia="Calibri" w:hAnsi="Calibri"/>
                <w:sz w:val="16"/>
                <w:szCs w:val="16"/>
                <w:color w:val="auto"/>
              </w:rPr>
              <w:t>30,</w:t>
            </w:r>
          </w:p>
        </w:tc>
        <w:tc>
          <w:tcPr>
            <w:tcW w:w="6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restart"/>
          </w:tcPr>
          <w:p>
            <w:pPr>
              <w:jc w:val="center"/>
              <w:ind w:right="160"/>
              <w:spacing w:after="0" w:line="142" w:lineRule="exact"/>
              <w:rPr>
                <w:sz w:val="20"/>
                <w:szCs w:val="20"/>
                <w:color w:val="auto"/>
              </w:rPr>
            </w:pPr>
            <w:r>
              <w:rPr>
                <w:rFonts w:ascii="Calibri" w:cs="Calibri" w:eastAsia="Calibri" w:hAnsi="Calibri"/>
                <w:sz w:val="15"/>
                <w:szCs w:val="15"/>
                <w:color w:val="auto"/>
              </w:rPr>
              <w:t>Increase/</w:t>
            </w:r>
          </w:p>
        </w:tc>
        <w:tc>
          <w:tcPr>
            <w:tcW w:w="16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restart"/>
          </w:tcPr>
          <w:p>
            <w:pPr>
              <w:jc w:val="center"/>
              <w:spacing w:after="0" w:line="142" w:lineRule="exact"/>
              <w:rPr>
                <w:sz w:val="20"/>
                <w:szCs w:val="20"/>
                <w:color w:val="auto"/>
              </w:rPr>
            </w:pPr>
            <w:r>
              <w:rPr>
                <w:rFonts w:ascii="Calibri" w:cs="Calibri" w:eastAsia="Calibri" w:hAnsi="Calibri"/>
                <w:sz w:val="15"/>
                <w:szCs w:val="15"/>
                <w:color w:val="auto"/>
              </w:rPr>
              <w:t>Increase/</w:t>
            </w:r>
          </w:p>
        </w:tc>
        <w:tc>
          <w:tcPr>
            <w:tcW w:w="0" w:type="dxa"/>
            <w:vAlign w:val="bottom"/>
          </w:tcPr>
          <w:p>
            <w:pPr>
              <w:spacing w:after="0"/>
              <w:rPr>
                <w:sz w:val="1"/>
                <w:szCs w:val="1"/>
                <w:color w:val="auto"/>
              </w:rPr>
            </w:pPr>
          </w:p>
        </w:tc>
      </w:tr>
      <w:tr>
        <w:trPr>
          <w:trHeight w:val="43"/>
        </w:trPr>
        <w:tc>
          <w:tcPr>
            <w:tcW w:w="57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5780" w:type="dxa"/>
            <w:vAlign w:val="bottom"/>
          </w:tcPr>
          <w:p>
            <w:pPr>
              <w:ind w:left="20"/>
              <w:spacing w:after="0" w:line="193" w:lineRule="exact"/>
              <w:rPr>
                <w:sz w:val="20"/>
                <w:szCs w:val="20"/>
                <w:color w:val="auto"/>
              </w:rPr>
            </w:pPr>
            <w:r>
              <w:rPr>
                <w:rFonts w:ascii="Calibri" w:cs="Calibri" w:eastAsia="Calibri" w:hAnsi="Calibri"/>
                <w:sz w:val="16"/>
                <w:szCs w:val="16"/>
                <w:color w:val="auto"/>
              </w:rPr>
              <w:t>(In millions, except for percentage changes and per share data)</w:t>
            </w:r>
          </w:p>
        </w:tc>
        <w:tc>
          <w:tcPr>
            <w:tcW w:w="120" w:type="dxa"/>
            <w:vAlign w:val="bottom"/>
          </w:tcPr>
          <w:p>
            <w:pPr>
              <w:spacing w:after="0"/>
              <w:rPr>
                <w:sz w:val="16"/>
                <w:szCs w:val="16"/>
                <w:color w:val="auto"/>
              </w:rPr>
            </w:pPr>
          </w:p>
        </w:tc>
        <w:tc>
          <w:tcPr>
            <w:tcW w:w="640" w:type="dxa"/>
            <w:vAlign w:val="bottom"/>
          </w:tcPr>
          <w:p>
            <w:pPr>
              <w:jc w:val="right"/>
              <w:ind w:right="139"/>
              <w:spacing w:after="0" w:line="193" w:lineRule="exact"/>
              <w:rPr>
                <w:sz w:val="20"/>
                <w:szCs w:val="20"/>
                <w:color w:val="auto"/>
              </w:rPr>
            </w:pPr>
            <w:r>
              <w:rPr>
                <w:rFonts w:ascii="Calibri" w:cs="Calibri" w:eastAsia="Calibri" w:hAnsi="Calibri"/>
                <w:sz w:val="16"/>
                <w:szCs w:val="16"/>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139"/>
              <w:spacing w:after="0" w:line="193" w:lineRule="exact"/>
              <w:rPr>
                <w:sz w:val="20"/>
                <w:szCs w:val="20"/>
                <w:color w:val="auto"/>
              </w:rPr>
            </w:pPr>
            <w:r>
              <w:rPr>
                <w:rFonts w:ascii="Calibri" w:cs="Calibri" w:eastAsia="Calibri" w:hAnsi="Calibri"/>
                <w:sz w:val="16"/>
                <w:szCs w:val="16"/>
                <w:color w:val="auto"/>
                <w:w w:val="98"/>
              </w:rPr>
              <w:t>2023</w:t>
            </w:r>
          </w:p>
        </w:tc>
        <w:tc>
          <w:tcPr>
            <w:tcW w:w="80" w:type="dxa"/>
            <w:vAlign w:val="bottom"/>
          </w:tcPr>
          <w:p>
            <w:pPr>
              <w:spacing w:after="0"/>
              <w:rPr>
                <w:sz w:val="16"/>
                <w:szCs w:val="16"/>
                <w:color w:val="auto"/>
              </w:rPr>
            </w:pPr>
          </w:p>
        </w:tc>
        <w:tc>
          <w:tcPr>
            <w:tcW w:w="1100" w:type="dxa"/>
            <w:vAlign w:val="bottom"/>
            <w:gridSpan w:val="2"/>
          </w:tcPr>
          <w:p>
            <w:pPr>
              <w:jc w:val="center"/>
              <w:ind w:right="160"/>
              <w:spacing w:after="0" w:line="193" w:lineRule="exact"/>
              <w:rPr>
                <w:sz w:val="20"/>
                <w:szCs w:val="20"/>
                <w:color w:val="auto"/>
              </w:rPr>
            </w:pPr>
            <w:r>
              <w:rPr>
                <w:rFonts w:ascii="Calibri" w:cs="Calibri" w:eastAsia="Calibri" w:hAnsi="Calibri"/>
                <w:sz w:val="16"/>
                <w:szCs w:val="16"/>
                <w:color w:val="auto"/>
              </w:rPr>
              <w:t>(Decrease)</w:t>
            </w:r>
          </w:p>
        </w:tc>
        <w:tc>
          <w:tcPr>
            <w:tcW w:w="160" w:type="dxa"/>
            <w:vAlign w:val="bottom"/>
          </w:tcPr>
          <w:p>
            <w:pPr>
              <w:spacing w:after="0"/>
              <w:rPr>
                <w:sz w:val="16"/>
                <w:szCs w:val="16"/>
                <w:color w:val="auto"/>
              </w:rPr>
            </w:pPr>
          </w:p>
        </w:tc>
        <w:tc>
          <w:tcPr>
            <w:tcW w:w="620" w:type="dxa"/>
            <w:vAlign w:val="bottom"/>
          </w:tcPr>
          <w:p>
            <w:pPr>
              <w:jc w:val="right"/>
              <w:ind w:right="139"/>
              <w:spacing w:after="0" w:line="193" w:lineRule="exact"/>
              <w:rPr>
                <w:sz w:val="20"/>
                <w:szCs w:val="20"/>
                <w:color w:val="auto"/>
              </w:rPr>
            </w:pPr>
            <w:r>
              <w:rPr>
                <w:rFonts w:ascii="Calibri" w:cs="Calibri" w:eastAsia="Calibri" w:hAnsi="Calibri"/>
                <w:sz w:val="16"/>
                <w:szCs w:val="16"/>
                <w:color w:val="auto"/>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39"/>
              <w:spacing w:after="0" w:line="193" w:lineRule="exact"/>
              <w:rPr>
                <w:sz w:val="20"/>
                <w:szCs w:val="20"/>
                <w:color w:val="auto"/>
              </w:rPr>
            </w:pPr>
            <w:r>
              <w:rPr>
                <w:rFonts w:ascii="Calibri" w:cs="Calibri" w:eastAsia="Calibri" w:hAnsi="Calibri"/>
                <w:sz w:val="16"/>
                <w:szCs w:val="16"/>
                <w:color w:val="auto"/>
              </w:rPr>
              <w:t>2023</w:t>
            </w:r>
          </w:p>
        </w:tc>
        <w:tc>
          <w:tcPr>
            <w:tcW w:w="80" w:type="dxa"/>
            <w:vAlign w:val="bottom"/>
          </w:tcPr>
          <w:p>
            <w:pPr>
              <w:spacing w:after="0"/>
              <w:rPr>
                <w:sz w:val="16"/>
                <w:szCs w:val="16"/>
                <w:color w:val="auto"/>
              </w:rPr>
            </w:pPr>
          </w:p>
        </w:tc>
        <w:tc>
          <w:tcPr>
            <w:tcW w:w="900" w:type="dxa"/>
            <w:vAlign w:val="bottom"/>
          </w:tcPr>
          <w:p>
            <w:pPr>
              <w:jc w:val="center"/>
              <w:spacing w:after="0" w:line="193" w:lineRule="exact"/>
              <w:rPr>
                <w:sz w:val="20"/>
                <w:szCs w:val="20"/>
                <w:color w:val="auto"/>
              </w:rPr>
            </w:pPr>
            <w:r>
              <w:rPr>
                <w:rFonts w:ascii="Calibri" w:cs="Calibri" w:eastAsia="Calibri" w:hAnsi="Calibri"/>
                <w:sz w:val="16"/>
                <w:szCs w:val="16"/>
                <w:color w:val="auto"/>
              </w:rPr>
              <w:t>(Decrease)</w:t>
            </w:r>
          </w:p>
        </w:tc>
        <w:tc>
          <w:tcPr>
            <w:tcW w:w="0" w:type="dxa"/>
            <w:vAlign w:val="bottom"/>
          </w:tcPr>
          <w:p>
            <w:pPr>
              <w:spacing w:after="0"/>
              <w:rPr>
                <w:sz w:val="1"/>
                <w:szCs w:val="1"/>
                <w:color w:val="auto"/>
              </w:rPr>
            </w:pPr>
          </w:p>
        </w:tc>
      </w:tr>
      <w:tr>
        <w:trPr>
          <w:trHeight w:val="28"/>
        </w:trPr>
        <w:tc>
          <w:tcPr>
            <w:tcW w:w="5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578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Operatng revenue:</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780" w:type="dxa"/>
            <w:vAlign w:val="bottom"/>
          </w:tcPr>
          <w:p>
            <w:pPr>
              <w:ind w:left="360"/>
              <w:spacing w:after="0" w:line="193" w:lineRule="exact"/>
              <w:rPr>
                <w:sz w:val="20"/>
                <w:szCs w:val="20"/>
                <w:color w:val="auto"/>
              </w:rPr>
            </w:pPr>
            <w:r>
              <w:rPr>
                <w:rFonts w:ascii="Calibri" w:cs="Calibri" w:eastAsia="Calibri" w:hAnsi="Calibri"/>
                <w:sz w:val="16"/>
                <w:szCs w:val="16"/>
                <w:color w:val="auto"/>
              </w:rPr>
              <w:t>Passenger revenue</w:t>
            </w:r>
          </w:p>
        </w:tc>
        <w:tc>
          <w:tcPr>
            <w:tcW w:w="120" w:type="dxa"/>
            <w:vAlign w:val="bottom"/>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13,680</w:t>
            </w:r>
          </w:p>
        </w:tc>
        <w:tc>
          <w:tcPr>
            <w:tcW w:w="120" w:type="dxa"/>
            <w:vAlign w:val="bottom"/>
          </w:tcPr>
          <w:p>
            <w:pPr>
              <w:spacing w:after="0"/>
              <w:rPr>
                <w:sz w:val="16"/>
                <w:szCs w:val="16"/>
                <w:color w:val="auto"/>
              </w:rPr>
            </w:pPr>
          </w:p>
        </w:tc>
        <w:tc>
          <w:tcPr>
            <w:tcW w:w="2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13,002</w:t>
            </w:r>
          </w:p>
        </w:tc>
        <w:tc>
          <w:tcPr>
            <w:tcW w:w="10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5.2</w:t>
            </w:r>
          </w:p>
        </w:tc>
        <w:tc>
          <w:tcPr>
            <w:tcW w:w="160" w:type="dxa"/>
            <w:vAlign w:val="bottom"/>
          </w:tcPr>
          <w:p>
            <w:pPr>
              <w:spacing w:after="0"/>
              <w:rPr>
                <w:sz w:val="16"/>
                <w:szCs w:val="16"/>
                <w:color w:val="auto"/>
              </w:rPr>
            </w:pPr>
          </w:p>
        </w:tc>
        <w:tc>
          <w:tcPr>
            <w:tcW w:w="160" w:type="dxa"/>
            <w:vAlign w:val="bottom"/>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24,993</w:t>
            </w:r>
          </w:p>
        </w:tc>
        <w:tc>
          <w:tcPr>
            <w:tcW w:w="80" w:type="dxa"/>
            <w:vAlign w:val="bottom"/>
          </w:tcPr>
          <w:p>
            <w:pPr>
              <w:spacing w:after="0"/>
              <w:rPr>
                <w:sz w:val="16"/>
                <w:szCs w:val="16"/>
                <w:color w:val="auto"/>
              </w:rPr>
            </w:pPr>
          </w:p>
        </w:tc>
        <w:tc>
          <w:tcPr>
            <w:tcW w:w="160" w:type="dxa"/>
            <w:vAlign w:val="bottom"/>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23,276</w:t>
            </w:r>
          </w:p>
        </w:tc>
        <w:tc>
          <w:tcPr>
            <w:tcW w:w="9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7.4</w:t>
            </w:r>
          </w:p>
        </w:tc>
        <w:tc>
          <w:tcPr>
            <w:tcW w:w="0" w:type="dxa"/>
            <w:vAlign w:val="bottom"/>
          </w:tcPr>
          <w:p>
            <w:pPr>
              <w:spacing w:after="0"/>
              <w:rPr>
                <w:sz w:val="1"/>
                <w:szCs w:val="1"/>
                <w:color w:val="auto"/>
              </w:rPr>
            </w:pPr>
          </w:p>
        </w:tc>
      </w:tr>
      <w:tr>
        <w:trPr>
          <w:trHeight w:val="23"/>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Cargo</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414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362</w:t>
            </w:r>
          </w:p>
        </w:tc>
        <w:tc>
          <w:tcPr>
            <w:tcW w:w="10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14.4</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805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760</w:t>
            </w:r>
          </w:p>
        </w:tc>
        <w:tc>
          <w:tcPr>
            <w:tcW w:w="98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5.9</w:t>
            </w:r>
          </w:p>
        </w:tc>
        <w:tc>
          <w:tcPr>
            <w:tcW w:w="0" w:type="dxa"/>
            <w:vAlign w:val="bottom"/>
          </w:tcPr>
          <w:p>
            <w:pPr>
              <w:spacing w:after="0"/>
              <w:rPr>
                <w:sz w:val="1"/>
                <w:szCs w:val="1"/>
                <w:color w:val="auto"/>
              </w:rPr>
            </w:pPr>
          </w:p>
        </w:tc>
      </w:tr>
      <w:tr>
        <w:trPr>
          <w:trHeight w:val="193"/>
        </w:trPr>
        <w:tc>
          <w:tcPr>
            <w:tcW w:w="5780" w:type="dxa"/>
            <w:vAlign w:val="bottom"/>
          </w:tcPr>
          <w:p>
            <w:pPr>
              <w:ind w:left="360"/>
              <w:spacing w:after="0" w:line="193" w:lineRule="exact"/>
              <w:rPr>
                <w:sz w:val="20"/>
                <w:szCs w:val="20"/>
                <w:color w:val="auto"/>
              </w:rPr>
            </w:pPr>
            <w:r>
              <w:rPr>
                <w:rFonts w:ascii="Calibri" w:cs="Calibri" w:eastAsia="Calibri" w:hAnsi="Calibri"/>
                <w:sz w:val="16"/>
                <w:szCs w:val="16"/>
                <w:color w:val="auto"/>
              </w:rPr>
              <w:t>Other operatng revenue</w:t>
            </w:r>
          </w:p>
        </w:tc>
        <w:tc>
          <w:tcPr>
            <w:tcW w:w="12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892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814</w:t>
            </w:r>
          </w:p>
        </w:tc>
        <w:tc>
          <w:tcPr>
            <w:tcW w:w="10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9.6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1,727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1,571</w:t>
            </w:r>
          </w:p>
        </w:tc>
        <w:tc>
          <w:tcPr>
            <w:tcW w:w="9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9.9</w:t>
            </w:r>
          </w:p>
        </w:tc>
        <w:tc>
          <w:tcPr>
            <w:tcW w:w="0" w:type="dxa"/>
            <w:vAlign w:val="bottom"/>
          </w:tcPr>
          <w:p>
            <w:pPr>
              <w:spacing w:after="0"/>
              <w:rPr>
                <w:sz w:val="1"/>
                <w:szCs w:val="1"/>
                <w:color w:val="auto"/>
              </w:rPr>
            </w:pPr>
          </w:p>
        </w:tc>
      </w:tr>
      <w:tr>
        <w:trPr>
          <w:trHeight w:val="23"/>
        </w:trPr>
        <w:tc>
          <w:tcPr>
            <w:tcW w:w="5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CEEFF"/>
            </w:tcBorders>
            <w:shd w:val="clear" w:color="auto" w:fill="CCEEFF"/>
          </w:tcPr>
          <w:p>
            <w:pPr>
              <w:ind w:left="680"/>
              <w:spacing w:after="0" w:line="174" w:lineRule="exact"/>
              <w:rPr>
                <w:sz w:val="20"/>
                <w:szCs w:val="20"/>
                <w:color w:val="auto"/>
              </w:rPr>
            </w:pPr>
            <w:r>
              <w:rPr>
                <w:rFonts w:ascii="Calibri" w:cs="Calibri" w:eastAsia="Calibri" w:hAnsi="Calibri"/>
                <w:sz w:val="16"/>
                <w:szCs w:val="16"/>
                <w:color w:val="auto"/>
              </w:rPr>
              <w:t>Total operatng revenue</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14,986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14,178</w:t>
            </w:r>
          </w:p>
        </w:tc>
        <w:tc>
          <w:tcPr>
            <w:tcW w:w="1020" w:type="dxa"/>
            <w:vAlign w:val="bottom"/>
            <w:tcBorders>
              <w:bottom w:val="single" w:sz="8" w:color="CCEEFF"/>
            </w:tcBorders>
            <w:gridSpan w:val="2"/>
            <w:shd w:val="clear" w:color="auto" w:fill="CCEEFF"/>
          </w:tcPr>
          <w:p>
            <w:pPr>
              <w:jc w:val="right"/>
              <w:spacing w:after="0" w:line="182" w:lineRule="exact"/>
              <w:rPr>
                <w:sz w:val="20"/>
                <w:szCs w:val="20"/>
                <w:color w:val="auto"/>
              </w:rPr>
            </w:pPr>
            <w:r>
              <w:rPr>
                <w:rFonts w:ascii="Calibri" w:cs="Calibri" w:eastAsia="Calibri" w:hAnsi="Calibri"/>
                <w:sz w:val="16"/>
                <w:szCs w:val="16"/>
                <w:color w:val="auto"/>
              </w:rPr>
              <w:t>5.7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27,525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25,607</w:t>
            </w:r>
          </w:p>
        </w:tc>
        <w:tc>
          <w:tcPr>
            <w:tcW w:w="980" w:type="dxa"/>
            <w:vAlign w:val="bottom"/>
            <w:tcBorders>
              <w:bottom w:val="single" w:sz="8" w:color="CCEEFF"/>
            </w:tcBorders>
            <w:gridSpan w:val="2"/>
            <w:shd w:val="clear" w:color="auto" w:fill="CCEEFF"/>
          </w:tcPr>
          <w:p>
            <w:pPr>
              <w:jc w:val="right"/>
              <w:spacing w:after="0" w:line="182" w:lineRule="exact"/>
              <w:rPr>
                <w:sz w:val="20"/>
                <w:szCs w:val="20"/>
                <w:color w:val="auto"/>
              </w:rPr>
            </w:pPr>
            <w:r>
              <w:rPr>
                <w:rFonts w:ascii="Calibri" w:cs="Calibri" w:eastAsia="Calibri" w:hAnsi="Calibri"/>
                <w:sz w:val="16"/>
                <w:szCs w:val="16"/>
                <w:color w:val="auto"/>
              </w:rPr>
              <w:t>7.5</w:t>
            </w: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Operatng expense:</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780" w:type="dxa"/>
            <w:vAlign w:val="bottom"/>
          </w:tcPr>
          <w:p>
            <w:pPr>
              <w:ind w:left="360"/>
              <w:spacing w:after="0" w:line="193" w:lineRule="exact"/>
              <w:rPr>
                <w:sz w:val="20"/>
                <w:szCs w:val="20"/>
                <w:color w:val="auto"/>
              </w:rPr>
            </w:pPr>
            <w:r>
              <w:rPr>
                <w:rFonts w:ascii="Calibri" w:cs="Calibri" w:eastAsia="Calibri" w:hAnsi="Calibri"/>
                <w:sz w:val="16"/>
                <w:szCs w:val="16"/>
                <w:color w:val="auto"/>
              </w:rPr>
              <w:t>Salaries and related costs</w:t>
            </w:r>
          </w:p>
        </w:tc>
        <w:tc>
          <w:tcPr>
            <w:tcW w:w="12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4,098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3,710</w:t>
            </w:r>
          </w:p>
        </w:tc>
        <w:tc>
          <w:tcPr>
            <w:tcW w:w="10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10.5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8,030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7,032</w:t>
            </w:r>
          </w:p>
        </w:tc>
        <w:tc>
          <w:tcPr>
            <w:tcW w:w="9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14.2</w:t>
            </w:r>
          </w:p>
        </w:tc>
        <w:tc>
          <w:tcPr>
            <w:tcW w:w="0" w:type="dxa"/>
            <w:vAlign w:val="bottom"/>
          </w:tcPr>
          <w:p>
            <w:pPr>
              <w:spacing w:after="0"/>
              <w:rPr>
                <w:sz w:val="1"/>
                <w:szCs w:val="1"/>
                <w:color w:val="auto"/>
              </w:rPr>
            </w:pPr>
          </w:p>
        </w:tc>
      </w:tr>
      <w:tr>
        <w:trPr>
          <w:trHeight w:val="23"/>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Aircraf fuel</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3,133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2,820</w:t>
            </w:r>
          </w:p>
        </w:tc>
        <w:tc>
          <w:tcPr>
            <w:tcW w:w="10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11.1</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6,087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5,994</w:t>
            </w:r>
          </w:p>
        </w:tc>
        <w:tc>
          <w:tcPr>
            <w:tcW w:w="98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w:t>
            </w:r>
          </w:p>
        </w:tc>
        <w:tc>
          <w:tcPr>
            <w:tcW w:w="0" w:type="dxa"/>
            <w:vAlign w:val="bottom"/>
          </w:tcPr>
          <w:p>
            <w:pPr>
              <w:spacing w:after="0"/>
              <w:rPr>
                <w:sz w:val="1"/>
                <w:szCs w:val="1"/>
                <w:color w:val="auto"/>
              </w:rPr>
            </w:pPr>
          </w:p>
        </w:tc>
      </w:tr>
      <w:tr>
        <w:trPr>
          <w:trHeight w:val="193"/>
        </w:trPr>
        <w:tc>
          <w:tcPr>
            <w:tcW w:w="5780" w:type="dxa"/>
            <w:vAlign w:val="bottom"/>
          </w:tcPr>
          <w:p>
            <w:pPr>
              <w:ind w:left="360"/>
              <w:spacing w:after="0" w:line="193" w:lineRule="exact"/>
              <w:rPr>
                <w:sz w:val="20"/>
                <w:szCs w:val="20"/>
                <w:color w:val="auto"/>
              </w:rPr>
            </w:pPr>
            <w:r>
              <w:rPr>
                <w:rFonts w:ascii="Calibri" w:cs="Calibri" w:eastAsia="Calibri" w:hAnsi="Calibri"/>
                <w:sz w:val="16"/>
                <w:szCs w:val="16"/>
                <w:color w:val="auto"/>
              </w:rPr>
              <w:t>Landing fees and other rent</w:t>
            </w:r>
          </w:p>
        </w:tc>
        <w:tc>
          <w:tcPr>
            <w:tcW w:w="12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866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765</w:t>
            </w:r>
          </w:p>
        </w:tc>
        <w:tc>
          <w:tcPr>
            <w:tcW w:w="10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13.2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1,670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1,482</w:t>
            </w:r>
          </w:p>
        </w:tc>
        <w:tc>
          <w:tcPr>
            <w:tcW w:w="9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12.7</w:t>
            </w:r>
          </w:p>
        </w:tc>
        <w:tc>
          <w:tcPr>
            <w:tcW w:w="0" w:type="dxa"/>
            <w:vAlign w:val="bottom"/>
          </w:tcPr>
          <w:p>
            <w:pPr>
              <w:spacing w:after="0"/>
              <w:rPr>
                <w:sz w:val="1"/>
                <w:szCs w:val="1"/>
                <w:color w:val="auto"/>
              </w:rPr>
            </w:pPr>
          </w:p>
        </w:tc>
      </w:tr>
      <w:tr>
        <w:trPr>
          <w:trHeight w:val="23"/>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Aircraf maintenance materials and outside repairs</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716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686</w:t>
            </w:r>
          </w:p>
        </w:tc>
        <w:tc>
          <w:tcPr>
            <w:tcW w:w="10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4.4</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1,489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1,388</w:t>
            </w:r>
          </w:p>
        </w:tc>
        <w:tc>
          <w:tcPr>
            <w:tcW w:w="98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7.3</w:t>
            </w:r>
          </w:p>
        </w:tc>
        <w:tc>
          <w:tcPr>
            <w:tcW w:w="0" w:type="dxa"/>
            <w:vAlign w:val="bottom"/>
          </w:tcPr>
          <w:p>
            <w:pPr>
              <w:spacing w:after="0"/>
              <w:rPr>
                <w:sz w:val="1"/>
                <w:szCs w:val="1"/>
                <w:color w:val="auto"/>
              </w:rPr>
            </w:pPr>
          </w:p>
        </w:tc>
      </w:tr>
      <w:tr>
        <w:trPr>
          <w:trHeight w:val="193"/>
        </w:trPr>
        <w:tc>
          <w:tcPr>
            <w:tcW w:w="5780" w:type="dxa"/>
            <w:vAlign w:val="bottom"/>
          </w:tcPr>
          <w:p>
            <w:pPr>
              <w:ind w:left="360"/>
              <w:spacing w:after="0" w:line="193" w:lineRule="exact"/>
              <w:rPr>
                <w:sz w:val="20"/>
                <w:szCs w:val="20"/>
                <w:color w:val="auto"/>
              </w:rPr>
            </w:pPr>
            <w:r>
              <w:rPr>
                <w:rFonts w:ascii="Calibri" w:cs="Calibri" w:eastAsia="Calibri" w:hAnsi="Calibri"/>
                <w:sz w:val="16"/>
                <w:szCs w:val="16"/>
                <w:color w:val="auto"/>
              </w:rPr>
              <w:t>Depreciaton and amortzaton</w:t>
            </w:r>
          </w:p>
        </w:tc>
        <w:tc>
          <w:tcPr>
            <w:tcW w:w="12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719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669</w:t>
            </w:r>
          </w:p>
        </w:tc>
        <w:tc>
          <w:tcPr>
            <w:tcW w:w="10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7.5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1,427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1,324</w:t>
            </w:r>
          </w:p>
        </w:tc>
        <w:tc>
          <w:tcPr>
            <w:tcW w:w="9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7.8</w:t>
            </w:r>
          </w:p>
        </w:tc>
        <w:tc>
          <w:tcPr>
            <w:tcW w:w="0" w:type="dxa"/>
            <w:vAlign w:val="bottom"/>
          </w:tcPr>
          <w:p>
            <w:pPr>
              <w:spacing w:after="0"/>
              <w:rPr>
                <w:sz w:val="1"/>
                <w:szCs w:val="1"/>
                <w:color w:val="auto"/>
              </w:rPr>
            </w:pPr>
          </w:p>
        </w:tc>
      </w:tr>
      <w:tr>
        <w:trPr>
          <w:trHeight w:val="23"/>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Regional capacity purchase</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612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599</w:t>
            </w:r>
          </w:p>
        </w:tc>
        <w:tc>
          <w:tcPr>
            <w:tcW w:w="10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2.2</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1,197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1,214</w:t>
            </w:r>
          </w:p>
        </w:tc>
        <w:tc>
          <w:tcPr>
            <w:tcW w:w="98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w:t>
            </w:r>
          </w:p>
        </w:tc>
        <w:tc>
          <w:tcPr>
            <w:tcW w:w="0" w:type="dxa"/>
            <w:vAlign w:val="bottom"/>
          </w:tcPr>
          <w:p>
            <w:pPr>
              <w:spacing w:after="0"/>
              <w:rPr>
                <w:sz w:val="1"/>
                <w:szCs w:val="1"/>
                <w:color w:val="auto"/>
              </w:rPr>
            </w:pPr>
          </w:p>
        </w:tc>
      </w:tr>
      <w:tr>
        <w:trPr>
          <w:trHeight w:val="193"/>
        </w:trPr>
        <w:tc>
          <w:tcPr>
            <w:tcW w:w="5780" w:type="dxa"/>
            <w:vAlign w:val="bottom"/>
          </w:tcPr>
          <w:p>
            <w:pPr>
              <w:ind w:left="360"/>
              <w:spacing w:after="0" w:line="193" w:lineRule="exact"/>
              <w:rPr>
                <w:sz w:val="20"/>
                <w:szCs w:val="20"/>
                <w:color w:val="auto"/>
              </w:rPr>
            </w:pPr>
            <w:r>
              <w:rPr>
                <w:rFonts w:ascii="Calibri" w:cs="Calibri" w:eastAsia="Calibri" w:hAnsi="Calibri"/>
                <w:sz w:val="16"/>
                <w:szCs w:val="16"/>
                <w:color w:val="auto"/>
              </w:rPr>
              <w:t>Distributon expenses</w:t>
            </w:r>
          </w:p>
        </w:tc>
        <w:tc>
          <w:tcPr>
            <w:tcW w:w="12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626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487</w:t>
            </w:r>
          </w:p>
        </w:tc>
        <w:tc>
          <w:tcPr>
            <w:tcW w:w="10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28.5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1,106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890</w:t>
            </w:r>
          </w:p>
        </w:tc>
        <w:tc>
          <w:tcPr>
            <w:tcW w:w="9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24.3</w:t>
            </w:r>
          </w:p>
        </w:tc>
        <w:tc>
          <w:tcPr>
            <w:tcW w:w="0" w:type="dxa"/>
            <w:vAlign w:val="bottom"/>
          </w:tcPr>
          <w:p>
            <w:pPr>
              <w:spacing w:after="0"/>
              <w:rPr>
                <w:sz w:val="1"/>
                <w:szCs w:val="1"/>
                <w:color w:val="auto"/>
              </w:rPr>
            </w:pPr>
          </w:p>
        </w:tc>
      </w:tr>
      <w:tr>
        <w:trPr>
          <w:trHeight w:val="23"/>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Aircraf rent</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49</w:t>
            </w:r>
          </w:p>
        </w:tc>
        <w:tc>
          <w:tcPr>
            <w:tcW w:w="10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(18.4)</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105</w:t>
            </w:r>
          </w:p>
        </w:tc>
        <w:tc>
          <w:tcPr>
            <w:tcW w:w="98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(21.0)</w:t>
            </w:r>
          </w:p>
        </w:tc>
        <w:tc>
          <w:tcPr>
            <w:tcW w:w="0" w:type="dxa"/>
            <w:vAlign w:val="bottom"/>
          </w:tcPr>
          <w:p>
            <w:pPr>
              <w:spacing w:after="0"/>
              <w:rPr>
                <w:sz w:val="1"/>
                <w:szCs w:val="1"/>
                <w:color w:val="auto"/>
              </w:rPr>
            </w:pPr>
          </w:p>
        </w:tc>
      </w:tr>
      <w:tr>
        <w:trPr>
          <w:trHeight w:val="193"/>
        </w:trPr>
        <w:tc>
          <w:tcPr>
            <w:tcW w:w="5780" w:type="dxa"/>
            <w:vAlign w:val="bottom"/>
          </w:tcPr>
          <w:p>
            <w:pPr>
              <w:ind w:left="360"/>
              <w:spacing w:after="0" w:line="193" w:lineRule="exact"/>
              <w:rPr>
                <w:sz w:val="20"/>
                <w:szCs w:val="20"/>
                <w:color w:val="auto"/>
              </w:rPr>
            </w:pPr>
            <w:r>
              <w:rPr>
                <w:rFonts w:ascii="Calibri" w:cs="Calibri" w:eastAsia="Calibri" w:hAnsi="Calibri"/>
                <w:sz w:val="16"/>
                <w:szCs w:val="16"/>
                <w:color w:val="auto"/>
              </w:rPr>
              <w:t>Special charges</w:t>
            </w:r>
          </w:p>
        </w:tc>
        <w:tc>
          <w:tcPr>
            <w:tcW w:w="12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36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859</w:t>
            </w:r>
          </w:p>
        </w:tc>
        <w:tc>
          <w:tcPr>
            <w:tcW w:w="80" w:type="dxa"/>
            <w:vAlign w:val="bottom"/>
          </w:tcPr>
          <w:p>
            <w:pPr>
              <w:spacing w:after="0"/>
              <w:rPr>
                <w:sz w:val="16"/>
                <w:szCs w:val="16"/>
                <w:color w:val="auto"/>
              </w:rPr>
            </w:pPr>
          </w:p>
        </w:tc>
        <w:tc>
          <w:tcPr>
            <w:tcW w:w="1100" w:type="dxa"/>
            <w:vAlign w:val="bottom"/>
            <w:gridSpan w:val="2"/>
          </w:tcPr>
          <w:p>
            <w:pPr>
              <w:ind w:left="680"/>
              <w:spacing w:after="0" w:line="193" w:lineRule="exact"/>
              <w:rPr>
                <w:sz w:val="20"/>
                <w:szCs w:val="20"/>
                <w:color w:val="auto"/>
              </w:rPr>
            </w:pPr>
            <w:r>
              <w:rPr>
                <w:rFonts w:ascii="Calibri" w:cs="Calibri" w:eastAsia="Calibri" w:hAnsi="Calibri"/>
                <w:sz w:val="16"/>
                <w:szCs w:val="16"/>
                <w:color w:val="auto"/>
              </w:rPr>
              <w:t>NM</w:t>
            </w: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49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873</w:t>
            </w:r>
          </w:p>
        </w:tc>
        <w:tc>
          <w:tcPr>
            <w:tcW w:w="8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NM</w:t>
            </w:r>
          </w:p>
        </w:tc>
        <w:tc>
          <w:tcPr>
            <w:tcW w:w="0" w:type="dxa"/>
            <w:vAlign w:val="bottom"/>
          </w:tcPr>
          <w:p>
            <w:pPr>
              <w:spacing w:after="0"/>
              <w:rPr>
                <w:sz w:val="1"/>
                <w:szCs w:val="1"/>
                <w:color w:val="auto"/>
              </w:rPr>
            </w:pPr>
          </w:p>
        </w:tc>
      </w:tr>
      <w:tr>
        <w:trPr>
          <w:trHeight w:val="23"/>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Other operatng expenses</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2,211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2,017</w:t>
            </w:r>
          </w:p>
        </w:tc>
        <w:tc>
          <w:tcPr>
            <w:tcW w:w="10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4,359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3,831</w:t>
            </w:r>
          </w:p>
        </w:tc>
        <w:tc>
          <w:tcPr>
            <w:tcW w:w="98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13.8</w:t>
            </w:r>
          </w:p>
        </w:tc>
        <w:tc>
          <w:tcPr>
            <w:tcW w:w="0" w:type="dxa"/>
            <w:vAlign w:val="bottom"/>
          </w:tcPr>
          <w:p>
            <w:pPr>
              <w:spacing w:after="0"/>
              <w:rPr>
                <w:sz w:val="1"/>
                <w:szCs w:val="1"/>
                <w:color w:val="auto"/>
              </w:rPr>
            </w:pPr>
          </w:p>
        </w:tc>
      </w:tr>
      <w:tr>
        <w:trPr>
          <w:trHeight w:val="187"/>
        </w:trPr>
        <w:tc>
          <w:tcPr>
            <w:tcW w:w="5780" w:type="dxa"/>
            <w:vAlign w:val="bottom"/>
          </w:tcPr>
          <w:p>
            <w:pPr>
              <w:ind w:left="680"/>
              <w:spacing w:after="0" w:line="174" w:lineRule="exact"/>
              <w:rPr>
                <w:sz w:val="20"/>
                <w:szCs w:val="20"/>
                <w:color w:val="auto"/>
              </w:rPr>
            </w:pPr>
            <w:r>
              <w:rPr>
                <w:rFonts w:ascii="Calibri" w:cs="Calibri" w:eastAsia="Calibri" w:hAnsi="Calibri"/>
                <w:sz w:val="16"/>
                <w:szCs w:val="16"/>
                <w:color w:val="auto"/>
              </w:rPr>
              <w:t>Total operatng expense</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13,057</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12,661</w:t>
            </w:r>
          </w:p>
        </w:tc>
        <w:tc>
          <w:tcPr>
            <w:tcW w:w="1020" w:type="dxa"/>
            <w:vAlign w:val="bottom"/>
            <w:gridSpan w:val="2"/>
          </w:tcPr>
          <w:p>
            <w:pPr>
              <w:jc w:val="right"/>
              <w:spacing w:after="0" w:line="182" w:lineRule="exact"/>
              <w:rPr>
                <w:sz w:val="20"/>
                <w:szCs w:val="20"/>
                <w:color w:val="auto"/>
              </w:rPr>
            </w:pPr>
            <w:r>
              <w:rPr>
                <w:rFonts w:ascii="Calibri" w:cs="Calibri" w:eastAsia="Calibri" w:hAnsi="Calibri"/>
                <w:sz w:val="16"/>
                <w:szCs w:val="16"/>
                <w:color w:val="auto"/>
              </w:rPr>
              <w:t>3.1</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25,497</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24,133</w:t>
            </w:r>
          </w:p>
        </w:tc>
        <w:tc>
          <w:tcPr>
            <w:tcW w:w="980" w:type="dxa"/>
            <w:vAlign w:val="bottom"/>
            <w:gridSpan w:val="2"/>
          </w:tcPr>
          <w:p>
            <w:pPr>
              <w:jc w:val="right"/>
              <w:spacing w:after="0" w:line="182" w:lineRule="exact"/>
              <w:rPr>
                <w:sz w:val="20"/>
                <w:szCs w:val="20"/>
                <w:color w:val="auto"/>
              </w:rPr>
            </w:pPr>
            <w:r>
              <w:rPr>
                <w:rFonts w:ascii="Calibri" w:cs="Calibri" w:eastAsia="Calibri" w:hAnsi="Calibri"/>
                <w:sz w:val="16"/>
                <w:szCs w:val="16"/>
                <w:color w:val="auto"/>
              </w:rPr>
              <w:t>5.7</w:t>
            </w:r>
          </w:p>
        </w:tc>
        <w:tc>
          <w:tcPr>
            <w:tcW w:w="0" w:type="dxa"/>
            <w:vAlign w:val="bottom"/>
          </w:tcPr>
          <w:p>
            <w:pPr>
              <w:spacing w:after="0"/>
              <w:rPr>
                <w:sz w:val="1"/>
                <w:szCs w:val="1"/>
                <w:color w:val="auto"/>
              </w:rPr>
            </w:pPr>
          </w:p>
        </w:tc>
      </w:tr>
      <w:tr>
        <w:trPr>
          <w:trHeight w:val="23"/>
        </w:trPr>
        <w:tc>
          <w:tcPr>
            <w:tcW w:w="5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780" w:type="dxa"/>
            <w:vAlign w:val="bottom"/>
          </w:tcPr>
          <w:p>
            <w:pPr>
              <w:ind w:left="20"/>
              <w:spacing w:after="0" w:line="193" w:lineRule="exact"/>
              <w:rPr>
                <w:sz w:val="20"/>
                <w:szCs w:val="20"/>
                <w:color w:val="auto"/>
              </w:rPr>
            </w:pPr>
            <w:r>
              <w:rPr>
                <w:rFonts w:ascii="Calibri" w:cs="Calibri" w:eastAsia="Calibri" w:hAnsi="Calibri"/>
                <w:sz w:val="16"/>
                <w:szCs w:val="16"/>
                <w:color w:val="auto"/>
              </w:rPr>
              <w:t>Operatng income</w:t>
            </w:r>
          </w:p>
        </w:tc>
        <w:tc>
          <w:tcPr>
            <w:tcW w:w="12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1,929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1,517</w:t>
            </w:r>
          </w:p>
        </w:tc>
        <w:tc>
          <w:tcPr>
            <w:tcW w:w="10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27.2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2,028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1,474</w:t>
            </w:r>
          </w:p>
        </w:tc>
        <w:tc>
          <w:tcPr>
            <w:tcW w:w="9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37.6</w:t>
            </w:r>
          </w:p>
        </w:tc>
        <w:tc>
          <w:tcPr>
            <w:tcW w:w="0" w:type="dxa"/>
            <w:vAlign w:val="bottom"/>
          </w:tcPr>
          <w:p>
            <w:pPr>
              <w:spacing w:after="0"/>
              <w:rPr>
                <w:sz w:val="1"/>
                <w:szCs w:val="1"/>
                <w:color w:val="auto"/>
              </w:rPr>
            </w:pPr>
          </w:p>
        </w:tc>
      </w:tr>
      <w:tr>
        <w:trPr>
          <w:trHeight w:val="22"/>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5780" w:type="dxa"/>
            <w:vAlign w:val="bottom"/>
          </w:tcPr>
          <w:p>
            <w:pPr>
              <w:ind w:left="20"/>
              <w:spacing w:after="0" w:line="193" w:lineRule="exact"/>
              <w:rPr>
                <w:sz w:val="20"/>
                <w:szCs w:val="20"/>
                <w:color w:val="auto"/>
              </w:rPr>
            </w:pPr>
            <w:r>
              <w:rPr>
                <w:rFonts w:ascii="Calibri" w:cs="Calibri" w:eastAsia="Calibri" w:hAnsi="Calibri"/>
                <w:sz w:val="16"/>
                <w:szCs w:val="16"/>
                <w:color w:val="auto"/>
              </w:rPr>
              <w:t>Nonoperatng income (expense):</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Interest expense</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(427)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(493)</w:t>
            </w:r>
          </w:p>
        </w:tc>
        <w:tc>
          <w:tcPr>
            <w:tcW w:w="10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(13.4)</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(881)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(979)</w:t>
            </w:r>
          </w:p>
        </w:tc>
        <w:tc>
          <w:tcPr>
            <w:tcW w:w="98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(10.0)</w:t>
            </w:r>
          </w:p>
        </w:tc>
        <w:tc>
          <w:tcPr>
            <w:tcW w:w="0" w:type="dxa"/>
            <w:vAlign w:val="bottom"/>
          </w:tcPr>
          <w:p>
            <w:pPr>
              <w:spacing w:after="0"/>
              <w:rPr>
                <w:sz w:val="1"/>
                <w:szCs w:val="1"/>
                <w:color w:val="auto"/>
              </w:rPr>
            </w:pPr>
          </w:p>
        </w:tc>
      </w:tr>
      <w:tr>
        <w:trPr>
          <w:trHeight w:val="194"/>
        </w:trPr>
        <w:tc>
          <w:tcPr>
            <w:tcW w:w="5780" w:type="dxa"/>
            <w:vAlign w:val="bottom"/>
          </w:tcPr>
          <w:p>
            <w:pPr>
              <w:ind w:left="360"/>
              <w:spacing w:after="0" w:line="193" w:lineRule="exact"/>
              <w:rPr>
                <w:sz w:val="20"/>
                <w:szCs w:val="20"/>
                <w:color w:val="auto"/>
              </w:rPr>
            </w:pPr>
            <w:r>
              <w:rPr>
                <w:rFonts w:ascii="Calibri" w:cs="Calibri" w:eastAsia="Calibri" w:hAnsi="Calibri"/>
                <w:sz w:val="16"/>
                <w:szCs w:val="16"/>
                <w:color w:val="auto"/>
              </w:rPr>
              <w:t>Interest income</w:t>
            </w:r>
          </w:p>
        </w:tc>
        <w:tc>
          <w:tcPr>
            <w:tcW w:w="12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190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216</w:t>
            </w:r>
          </w:p>
        </w:tc>
        <w:tc>
          <w:tcPr>
            <w:tcW w:w="10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(12.0)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367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386</w:t>
            </w:r>
          </w:p>
        </w:tc>
        <w:tc>
          <w:tcPr>
            <w:tcW w:w="9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(4.9)</w:t>
            </w:r>
          </w:p>
        </w:tc>
        <w:tc>
          <w:tcPr>
            <w:tcW w:w="0" w:type="dxa"/>
            <w:vAlign w:val="bottom"/>
          </w:tcPr>
          <w:p>
            <w:pPr>
              <w:spacing w:after="0"/>
              <w:rPr>
                <w:sz w:val="1"/>
                <w:szCs w:val="1"/>
                <w:color w:val="auto"/>
              </w:rPr>
            </w:pPr>
          </w:p>
        </w:tc>
      </w:tr>
      <w:tr>
        <w:trPr>
          <w:trHeight w:val="23"/>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Interest capitalized</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42</w:t>
            </w:r>
          </w:p>
        </w:tc>
        <w:tc>
          <w:tcPr>
            <w:tcW w:w="10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42.9</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80</w:t>
            </w:r>
          </w:p>
        </w:tc>
        <w:tc>
          <w:tcPr>
            <w:tcW w:w="98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51.3</w:t>
            </w:r>
          </w:p>
        </w:tc>
        <w:tc>
          <w:tcPr>
            <w:tcW w:w="0" w:type="dxa"/>
            <w:vAlign w:val="bottom"/>
          </w:tcPr>
          <w:p>
            <w:pPr>
              <w:spacing w:after="0"/>
              <w:rPr>
                <w:sz w:val="1"/>
                <w:szCs w:val="1"/>
                <w:color w:val="auto"/>
              </w:rPr>
            </w:pPr>
          </w:p>
        </w:tc>
      </w:tr>
      <w:tr>
        <w:trPr>
          <w:trHeight w:val="193"/>
        </w:trPr>
        <w:tc>
          <w:tcPr>
            <w:tcW w:w="5780" w:type="dxa"/>
            <w:vAlign w:val="bottom"/>
          </w:tcPr>
          <w:p>
            <w:pPr>
              <w:ind w:left="360"/>
              <w:spacing w:after="0" w:line="193" w:lineRule="exact"/>
              <w:rPr>
                <w:sz w:val="20"/>
                <w:szCs w:val="20"/>
                <w:color w:val="auto"/>
              </w:rPr>
            </w:pPr>
            <w:r>
              <w:rPr>
                <w:rFonts w:ascii="Calibri" w:cs="Calibri" w:eastAsia="Calibri" w:hAnsi="Calibri"/>
                <w:sz w:val="16"/>
                <w:szCs w:val="16"/>
                <w:color w:val="auto"/>
              </w:rPr>
              <w:t>Unrealized gains (losses) on investments, net</w:t>
            </w:r>
          </w:p>
        </w:tc>
        <w:tc>
          <w:tcPr>
            <w:tcW w:w="12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84</w:t>
            </w:r>
          </w:p>
        </w:tc>
        <w:tc>
          <w:tcPr>
            <w:tcW w:w="80" w:type="dxa"/>
            <w:vAlign w:val="bottom"/>
          </w:tcPr>
          <w:p>
            <w:pPr>
              <w:spacing w:after="0"/>
              <w:rPr>
                <w:sz w:val="16"/>
                <w:szCs w:val="16"/>
                <w:color w:val="auto"/>
              </w:rPr>
            </w:pPr>
          </w:p>
        </w:tc>
        <w:tc>
          <w:tcPr>
            <w:tcW w:w="1100" w:type="dxa"/>
            <w:vAlign w:val="bottom"/>
            <w:gridSpan w:val="2"/>
          </w:tcPr>
          <w:p>
            <w:pPr>
              <w:ind w:left="680"/>
              <w:spacing w:after="0" w:line="193" w:lineRule="exact"/>
              <w:rPr>
                <w:sz w:val="20"/>
                <w:szCs w:val="20"/>
                <w:color w:val="auto"/>
              </w:rPr>
            </w:pPr>
            <w:r>
              <w:rPr>
                <w:rFonts w:ascii="Calibri" w:cs="Calibri" w:eastAsia="Calibri" w:hAnsi="Calibri"/>
                <w:sz w:val="16"/>
                <w:szCs w:val="16"/>
                <w:color w:val="auto"/>
              </w:rPr>
              <w:t>NM</w:t>
            </w: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108</w:t>
            </w:r>
          </w:p>
        </w:tc>
        <w:tc>
          <w:tcPr>
            <w:tcW w:w="8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NM</w:t>
            </w:r>
          </w:p>
        </w:tc>
        <w:tc>
          <w:tcPr>
            <w:tcW w:w="0" w:type="dxa"/>
            <w:vAlign w:val="bottom"/>
          </w:tcPr>
          <w:p>
            <w:pPr>
              <w:spacing w:after="0"/>
              <w:rPr>
                <w:sz w:val="1"/>
                <w:szCs w:val="1"/>
                <w:color w:val="auto"/>
              </w:rPr>
            </w:pPr>
          </w:p>
        </w:tc>
      </w:tr>
      <w:tr>
        <w:trPr>
          <w:trHeight w:val="23"/>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tcBorders>
              <w:bottom w:val="single" w:sz="8" w:color="CCEEFF"/>
            </w:tcBorders>
            <w:shd w:val="clear" w:color="auto" w:fill="CCEEFF"/>
          </w:tcPr>
          <w:p>
            <w:pPr>
              <w:ind w:left="360"/>
              <w:spacing w:after="0" w:line="193" w:lineRule="exact"/>
              <w:rPr>
                <w:sz w:val="20"/>
                <w:szCs w:val="20"/>
                <w:color w:val="auto"/>
              </w:rPr>
            </w:pPr>
            <w:r>
              <w:rPr>
                <w:rFonts w:ascii="Calibri" w:cs="Calibri" w:eastAsia="Calibri" w:hAnsi="Calibri"/>
                <w:sz w:val="16"/>
                <w:szCs w:val="16"/>
                <w:color w:val="auto"/>
              </w:rPr>
              <w:t>Miscellaneous, net</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w:t>
            </w:r>
          </w:p>
        </w:tc>
        <w:tc>
          <w:tcPr>
            <w:tcW w:w="10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(4.8)</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62</w:t>
            </w:r>
          </w:p>
        </w:tc>
        <w:tc>
          <w:tcPr>
            <w:tcW w:w="98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(83.9)</w:t>
            </w:r>
          </w:p>
        </w:tc>
        <w:tc>
          <w:tcPr>
            <w:tcW w:w="0" w:type="dxa"/>
            <w:vAlign w:val="bottom"/>
          </w:tcPr>
          <w:p>
            <w:pPr>
              <w:spacing w:after="0"/>
              <w:rPr>
                <w:sz w:val="1"/>
                <w:szCs w:val="1"/>
                <w:color w:val="auto"/>
              </w:rPr>
            </w:pPr>
          </w:p>
        </w:tc>
      </w:tr>
      <w:tr>
        <w:trPr>
          <w:trHeight w:val="187"/>
        </w:trPr>
        <w:tc>
          <w:tcPr>
            <w:tcW w:w="5780" w:type="dxa"/>
            <w:vAlign w:val="bottom"/>
          </w:tcPr>
          <w:p>
            <w:pPr>
              <w:ind w:left="680"/>
              <w:spacing w:after="0" w:line="174" w:lineRule="exact"/>
              <w:rPr>
                <w:sz w:val="20"/>
                <w:szCs w:val="20"/>
                <w:color w:val="auto"/>
              </w:rPr>
            </w:pPr>
            <w:r>
              <w:rPr>
                <w:rFonts w:ascii="Calibri" w:cs="Calibri" w:eastAsia="Calibri" w:hAnsi="Calibri"/>
                <w:sz w:val="16"/>
                <w:szCs w:val="16"/>
                <w:color w:val="auto"/>
              </w:rPr>
              <w:t>Total nonoperatng expense, net</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(190)</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(130)</w:t>
            </w:r>
          </w:p>
        </w:tc>
        <w:tc>
          <w:tcPr>
            <w:tcW w:w="1020" w:type="dxa"/>
            <w:vAlign w:val="bottom"/>
            <w:gridSpan w:val="2"/>
          </w:tcPr>
          <w:p>
            <w:pPr>
              <w:jc w:val="right"/>
              <w:spacing w:after="0" w:line="182" w:lineRule="exact"/>
              <w:rPr>
                <w:sz w:val="20"/>
                <w:szCs w:val="20"/>
                <w:color w:val="auto"/>
              </w:rPr>
            </w:pPr>
            <w:r>
              <w:rPr>
                <w:rFonts w:ascii="Calibri" w:cs="Calibri" w:eastAsia="Calibri" w:hAnsi="Calibri"/>
                <w:sz w:val="16"/>
                <w:szCs w:val="16"/>
                <w:color w:val="auto"/>
              </w:rPr>
              <w:t>46.2</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(453)</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(343)</w:t>
            </w:r>
          </w:p>
        </w:tc>
        <w:tc>
          <w:tcPr>
            <w:tcW w:w="980" w:type="dxa"/>
            <w:vAlign w:val="bottom"/>
            <w:gridSpan w:val="2"/>
          </w:tcPr>
          <w:p>
            <w:pPr>
              <w:jc w:val="right"/>
              <w:spacing w:after="0" w:line="182" w:lineRule="exact"/>
              <w:rPr>
                <w:sz w:val="20"/>
                <w:szCs w:val="20"/>
                <w:color w:val="auto"/>
              </w:rPr>
            </w:pPr>
            <w:r>
              <w:rPr>
                <w:rFonts w:ascii="Calibri" w:cs="Calibri" w:eastAsia="Calibri" w:hAnsi="Calibri"/>
                <w:sz w:val="16"/>
                <w:szCs w:val="16"/>
                <w:color w:val="auto"/>
              </w:rPr>
              <w:t>32.1</w:t>
            </w:r>
          </w:p>
        </w:tc>
        <w:tc>
          <w:tcPr>
            <w:tcW w:w="0" w:type="dxa"/>
            <w:vAlign w:val="bottom"/>
          </w:tcPr>
          <w:p>
            <w:pPr>
              <w:spacing w:after="0"/>
              <w:rPr>
                <w:sz w:val="1"/>
                <w:szCs w:val="1"/>
                <w:color w:val="auto"/>
              </w:rPr>
            </w:pPr>
          </w:p>
        </w:tc>
      </w:tr>
      <w:tr>
        <w:trPr>
          <w:trHeight w:val="23"/>
        </w:trPr>
        <w:tc>
          <w:tcPr>
            <w:tcW w:w="5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780" w:type="dxa"/>
            <w:vAlign w:val="bottom"/>
          </w:tcPr>
          <w:p>
            <w:pPr>
              <w:ind w:left="20"/>
              <w:spacing w:after="0" w:line="193" w:lineRule="exact"/>
              <w:rPr>
                <w:sz w:val="20"/>
                <w:szCs w:val="20"/>
                <w:color w:val="auto"/>
              </w:rPr>
            </w:pPr>
            <w:r>
              <w:rPr>
                <w:rFonts w:ascii="Calibri" w:cs="Calibri" w:eastAsia="Calibri" w:hAnsi="Calibri"/>
                <w:sz w:val="16"/>
                <w:szCs w:val="16"/>
                <w:color w:val="auto"/>
              </w:rPr>
              <w:t>Income before income tax expense</w:t>
            </w:r>
          </w:p>
        </w:tc>
        <w:tc>
          <w:tcPr>
            <w:tcW w:w="12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1,739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1,387</w:t>
            </w:r>
          </w:p>
        </w:tc>
        <w:tc>
          <w:tcPr>
            <w:tcW w:w="10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25.4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1,575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1,131</w:t>
            </w:r>
          </w:p>
        </w:tc>
        <w:tc>
          <w:tcPr>
            <w:tcW w:w="9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39.3</w:t>
            </w:r>
          </w:p>
        </w:tc>
        <w:tc>
          <w:tcPr>
            <w:tcW w:w="0" w:type="dxa"/>
            <w:vAlign w:val="bottom"/>
          </w:tcPr>
          <w:p>
            <w:pPr>
              <w:spacing w:after="0"/>
              <w:rPr>
                <w:sz w:val="1"/>
                <w:szCs w:val="1"/>
                <w:color w:val="auto"/>
              </w:rPr>
            </w:pPr>
          </w:p>
        </w:tc>
      </w:tr>
      <w:tr>
        <w:trPr>
          <w:trHeight w:val="23"/>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780" w:type="dxa"/>
            <w:vAlign w:val="bottom"/>
          </w:tcPr>
          <w:p>
            <w:pPr>
              <w:ind w:left="20"/>
              <w:spacing w:after="0" w:line="193" w:lineRule="exact"/>
              <w:rPr>
                <w:sz w:val="20"/>
                <w:szCs w:val="20"/>
                <w:color w:val="auto"/>
              </w:rPr>
            </w:pPr>
            <w:r>
              <w:rPr>
                <w:rFonts w:ascii="Calibri" w:cs="Calibri" w:eastAsia="Calibri" w:hAnsi="Calibri"/>
                <w:sz w:val="16"/>
                <w:szCs w:val="16"/>
                <w:color w:val="auto"/>
              </w:rPr>
              <w:t>Income tax expense</w:t>
            </w:r>
          </w:p>
        </w:tc>
        <w:tc>
          <w:tcPr>
            <w:tcW w:w="12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416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312</w:t>
            </w:r>
          </w:p>
        </w:tc>
        <w:tc>
          <w:tcPr>
            <w:tcW w:w="10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33.3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376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3" w:lineRule="exact"/>
              <w:rPr>
                <w:sz w:val="20"/>
                <w:szCs w:val="20"/>
                <w:color w:val="auto"/>
              </w:rPr>
            </w:pPr>
            <w:r>
              <w:rPr>
                <w:rFonts w:ascii="Calibri" w:cs="Calibri" w:eastAsia="Calibri" w:hAnsi="Calibri"/>
                <w:sz w:val="16"/>
                <w:szCs w:val="16"/>
                <w:color w:val="auto"/>
              </w:rPr>
              <w:t>250</w:t>
            </w:r>
          </w:p>
        </w:tc>
        <w:tc>
          <w:tcPr>
            <w:tcW w:w="9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50.4</w:t>
            </w:r>
          </w:p>
        </w:tc>
        <w:tc>
          <w:tcPr>
            <w:tcW w:w="0" w:type="dxa"/>
            <w:vAlign w:val="bottom"/>
          </w:tcPr>
          <w:p>
            <w:pPr>
              <w:spacing w:after="0"/>
              <w:rPr>
                <w:sz w:val="1"/>
                <w:szCs w:val="1"/>
                <w:color w:val="auto"/>
              </w:rPr>
            </w:pPr>
          </w:p>
        </w:tc>
      </w:tr>
      <w:tr>
        <w:trPr>
          <w:trHeight w:val="23"/>
        </w:trPr>
        <w:tc>
          <w:tcPr>
            <w:tcW w:w="5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57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6"/>
                <w:szCs w:val="16"/>
                <w:color w:val="auto"/>
              </w:rPr>
              <w:t>Net income</w:t>
            </w:r>
          </w:p>
        </w:tc>
        <w:tc>
          <w:tcPr>
            <w:tcW w:w="12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6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1,323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5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1,075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6"/>
                <w:szCs w:val="16"/>
                <w:color w:val="auto"/>
              </w:rPr>
              <w:t>23.1</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62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1,199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62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881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6"/>
                <w:szCs w:val="16"/>
                <w:color w:val="auto"/>
              </w:rPr>
              <w:t>36.1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78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6"/>
                <w:szCs w:val="16"/>
                <w:color w:val="auto"/>
              </w:rPr>
              <w:t>Diluted earnings per share</w:t>
            </w:r>
          </w:p>
        </w:tc>
        <w:tc>
          <w:tcPr>
            <w:tcW w:w="12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6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3.96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5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3.24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6"/>
                <w:szCs w:val="16"/>
                <w:color w:val="auto"/>
              </w:rPr>
              <w:t>22.2</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62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3.60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62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2.66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6"/>
                <w:szCs w:val="16"/>
                <w:color w:val="auto"/>
              </w:rPr>
              <w:t>35.3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Calibri" w:cs="Calibri" w:eastAsia="Calibri" w:hAnsi="Calibri"/>
                <w:sz w:val="16"/>
                <w:szCs w:val="16"/>
                <w:color w:val="auto"/>
              </w:rPr>
              <w:t>Diluted weighted average shares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Calibri" w:cs="Calibri" w:eastAsia="Calibri" w:hAnsi="Calibri"/>
                <w:sz w:val="16"/>
                <w:szCs w:val="16"/>
                <w:color w:val="auto"/>
              </w:rPr>
              <w:t>0.7</w:t>
            </w: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Calibri" w:cs="Calibri" w:eastAsia="Calibri" w:hAnsi="Calibri"/>
                <w:sz w:val="16"/>
                <w:szCs w:val="16"/>
                <w:color w:val="auto"/>
              </w:rPr>
              <w:t>0.5</w:t>
            </w:r>
          </w:p>
        </w:tc>
        <w:tc>
          <w:tcPr>
            <w:tcW w:w="0" w:type="dxa"/>
            <w:vAlign w:val="bottom"/>
          </w:tcPr>
          <w:p>
            <w:pPr>
              <w:spacing w:after="0" w:line="20" w:lineRule="exact"/>
              <w:rPr>
                <w:sz w:val="1"/>
                <w:szCs w:val="1"/>
                <w:color w:val="auto"/>
              </w:rPr>
            </w:pPr>
          </w:p>
        </w:tc>
      </w:tr>
      <w:tr>
        <w:trPr>
          <w:trHeight w:val="168"/>
        </w:trPr>
        <w:tc>
          <w:tcPr>
            <w:tcW w:w="5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alibri" w:cs="Calibri" w:eastAsia="Calibri" w:hAnsi="Calibri"/>
                <w:sz w:val="16"/>
                <w:szCs w:val="16"/>
                <w:color w:val="auto"/>
              </w:rPr>
              <w:t>333.9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alibri" w:cs="Calibri" w:eastAsia="Calibri" w:hAnsi="Calibri"/>
                <w:sz w:val="16"/>
                <w:szCs w:val="16"/>
                <w:color w:val="auto"/>
              </w:rPr>
              <w:t>331.5</w:t>
            </w: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alibri" w:cs="Calibri" w:eastAsia="Calibri" w:hAnsi="Calibri"/>
                <w:sz w:val="16"/>
                <w:szCs w:val="16"/>
                <w:color w:val="auto"/>
              </w:rPr>
              <w:t>333.1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alibri" w:cs="Calibri" w:eastAsia="Calibri" w:hAnsi="Calibri"/>
                <w:sz w:val="16"/>
                <w:szCs w:val="16"/>
                <w:color w:val="auto"/>
              </w:rPr>
              <w:t>331.5</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ind w:left="20"/>
        <w:spacing w:after="0" w:line="231" w:lineRule="auto"/>
        <w:rPr>
          <w:sz w:val="20"/>
          <w:szCs w:val="20"/>
          <w:color w:val="auto"/>
        </w:rPr>
      </w:pPr>
      <w:r>
        <w:rPr>
          <w:rFonts w:ascii="Calibri" w:cs="Calibri" w:eastAsia="Calibri" w:hAnsi="Calibri"/>
          <w:sz w:val="16"/>
          <w:szCs w:val="16"/>
          <w:color w:val="auto"/>
        </w:rPr>
        <w:t>NM-Greater than 100% change or otherwise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10</w:t>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color w:val="auto"/>
        </w:rPr>
        <w:t>United Airlines Reports Second-Quarter 2024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UNITED AIRLINES HOLDINGS, INC.</w:t>
      </w:r>
    </w:p>
    <w:p>
      <w:pPr>
        <w:jc w:val="center"/>
        <w:spacing w:after="0" w:line="232" w:lineRule="auto"/>
        <w:rPr>
          <w:sz w:val="20"/>
          <w:szCs w:val="20"/>
          <w:color w:val="auto"/>
        </w:rPr>
      </w:pPr>
      <w:r>
        <w:rPr>
          <w:rFonts w:ascii="Calibri" w:cs="Calibri" w:eastAsia="Calibri" w:hAnsi="Calibri"/>
          <w:sz w:val="16"/>
          <w:szCs w:val="16"/>
          <w:color w:val="auto"/>
        </w:rPr>
        <w:t>PASSENGER REVENUE INFORMATION AND STATISTICS (UNAUDITED)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60" w:type="dxa"/>
            <w:vAlign w:val="bottom"/>
            <w:gridSpan w:val="6"/>
          </w:tcPr>
          <w:p>
            <w:pPr>
              <w:spacing w:after="0"/>
              <w:rPr>
                <w:sz w:val="20"/>
                <w:szCs w:val="20"/>
                <w:color w:val="auto"/>
              </w:rPr>
            </w:pPr>
            <w:r>
              <w:rPr>
                <w:rFonts w:ascii="Calibri" w:cs="Calibri" w:eastAsia="Calibri" w:hAnsi="Calibri"/>
                <w:sz w:val="16"/>
                <w:szCs w:val="16"/>
                <w:b w:val="1"/>
                <w:bCs w:val="1"/>
                <w:color w:val="auto"/>
              </w:rPr>
              <w:t>Informaton is as follows (in millions, except for percentage changes):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93"/>
        </w:trPr>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100"/>
              <w:spacing w:after="0"/>
              <w:rPr>
                <w:sz w:val="20"/>
                <w:szCs w:val="20"/>
                <w:color w:val="auto"/>
              </w:rPr>
            </w:pPr>
            <w:r>
              <w:rPr>
                <w:rFonts w:ascii="Calibri" w:cs="Calibri" w:eastAsia="Calibri" w:hAnsi="Calibri"/>
                <w:sz w:val="16"/>
                <w:szCs w:val="16"/>
                <w:color w:val="auto"/>
              </w:rPr>
              <w:t>Passenger</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Calibri" w:cs="Calibri" w:eastAsia="Calibri" w:hAnsi="Calibri"/>
                <w:sz w:val="16"/>
                <w:szCs w:val="16"/>
                <w:color w:val="auto"/>
                <w:w w:val="97"/>
              </w:rPr>
              <w:t>Available</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2"/>
        </w:trPr>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line="162" w:lineRule="exact"/>
              <w:rPr>
                <w:sz w:val="20"/>
                <w:szCs w:val="20"/>
                <w:color w:val="auto"/>
              </w:rPr>
            </w:pPr>
            <w:r>
              <w:rPr>
                <w:rFonts w:ascii="Calibri" w:cs="Calibri" w:eastAsia="Calibri" w:hAnsi="Calibri"/>
                <w:sz w:val="16"/>
                <w:szCs w:val="16"/>
                <w:color w:val="auto"/>
              </w:rPr>
              <w:t>Passenger</w:t>
            </w:r>
          </w:p>
        </w:tc>
        <w:tc>
          <w:tcPr>
            <w:tcW w:w="1180" w:type="dxa"/>
            <w:vAlign w:val="bottom"/>
            <w:gridSpan w:val="2"/>
          </w:tcPr>
          <w:p>
            <w:pPr>
              <w:jc w:val="center"/>
              <w:ind w:right="100"/>
              <w:spacing w:after="0" w:line="162" w:lineRule="exact"/>
              <w:rPr>
                <w:sz w:val="20"/>
                <w:szCs w:val="20"/>
                <w:color w:val="auto"/>
              </w:rPr>
            </w:pPr>
            <w:r>
              <w:rPr>
                <w:rFonts w:ascii="Calibri" w:cs="Calibri" w:eastAsia="Calibri" w:hAnsi="Calibri"/>
                <w:sz w:val="16"/>
                <w:szCs w:val="16"/>
                <w:color w:val="auto"/>
              </w:rPr>
              <w:t>Revenue per</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line="162" w:lineRule="exact"/>
              <w:rPr>
                <w:sz w:val="20"/>
                <w:szCs w:val="20"/>
                <w:color w:val="auto"/>
              </w:rPr>
            </w:pPr>
            <w:r>
              <w:rPr>
                <w:rFonts w:ascii="Calibri" w:cs="Calibri" w:eastAsia="Calibri" w:hAnsi="Calibri"/>
                <w:sz w:val="16"/>
                <w:szCs w:val="16"/>
                <w:color w:val="auto"/>
                <w:w w:val="98"/>
              </w:rPr>
              <w:t>Seat Miles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Calibri" w:cs="Calibri" w:eastAsia="Calibri" w:hAnsi="Calibri"/>
                <w:sz w:val="16"/>
                <w:szCs w:val="16"/>
                <w:color w:val="auto"/>
              </w:rPr>
              <w:t>2Q 2024</w:t>
            </w:r>
          </w:p>
        </w:tc>
      </w:tr>
      <w:tr>
        <w:trPr>
          <w:trHeight w:val="162"/>
        </w:trPr>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199"/>
              <w:spacing w:after="0" w:line="162" w:lineRule="exact"/>
              <w:rPr>
                <w:sz w:val="20"/>
                <w:szCs w:val="20"/>
                <w:color w:val="auto"/>
              </w:rPr>
            </w:pPr>
            <w:r>
              <w:rPr>
                <w:rFonts w:ascii="Calibri" w:cs="Calibri" w:eastAsia="Calibri" w:hAnsi="Calibri"/>
                <w:sz w:val="16"/>
                <w:szCs w:val="16"/>
                <w:color w:val="auto"/>
              </w:rPr>
              <w:t>2Q 2024</w:t>
            </w:r>
          </w:p>
        </w:tc>
        <w:tc>
          <w:tcPr>
            <w:tcW w:w="100" w:type="dxa"/>
            <w:vAlign w:val="bottom"/>
          </w:tcPr>
          <w:p>
            <w:pPr>
              <w:spacing w:after="0"/>
              <w:rPr>
                <w:sz w:val="14"/>
                <w:szCs w:val="14"/>
                <w:color w:val="auto"/>
              </w:rPr>
            </w:pPr>
          </w:p>
        </w:tc>
        <w:tc>
          <w:tcPr>
            <w:tcW w:w="1200" w:type="dxa"/>
            <w:vAlign w:val="bottom"/>
            <w:gridSpan w:val="2"/>
          </w:tcPr>
          <w:p>
            <w:pPr>
              <w:jc w:val="center"/>
              <w:ind w:right="100"/>
              <w:spacing w:after="0" w:line="162" w:lineRule="exact"/>
              <w:rPr>
                <w:sz w:val="20"/>
                <w:szCs w:val="20"/>
                <w:color w:val="auto"/>
              </w:rPr>
            </w:pPr>
            <w:r>
              <w:rPr>
                <w:rFonts w:ascii="Calibri" w:cs="Calibri" w:eastAsia="Calibri" w:hAnsi="Calibri"/>
                <w:sz w:val="16"/>
                <w:szCs w:val="16"/>
                <w:color w:val="auto"/>
              </w:rPr>
              <w:t>Revenue</w:t>
            </w:r>
          </w:p>
        </w:tc>
        <w:tc>
          <w:tcPr>
            <w:tcW w:w="1180" w:type="dxa"/>
            <w:vAlign w:val="bottom"/>
            <w:gridSpan w:val="2"/>
          </w:tcPr>
          <w:p>
            <w:pPr>
              <w:jc w:val="center"/>
              <w:ind w:right="100"/>
              <w:spacing w:after="0" w:line="162" w:lineRule="exact"/>
              <w:rPr>
                <w:sz w:val="20"/>
                <w:szCs w:val="20"/>
                <w:color w:val="auto"/>
              </w:rPr>
            </w:pPr>
            <w:r>
              <w:rPr>
                <w:rFonts w:ascii="Calibri" w:cs="Calibri" w:eastAsia="Calibri" w:hAnsi="Calibri"/>
                <w:sz w:val="16"/>
                <w:szCs w:val="16"/>
                <w:color w:val="auto"/>
              </w:rPr>
              <w:t>Available Seat</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line="162" w:lineRule="exact"/>
              <w:rPr>
                <w:sz w:val="20"/>
                <w:szCs w:val="20"/>
                <w:color w:val="auto"/>
              </w:rPr>
            </w:pPr>
            <w:r>
              <w:rPr>
                <w:rFonts w:ascii="Calibri" w:cs="Calibri" w:eastAsia="Calibri" w:hAnsi="Calibri"/>
                <w:sz w:val="16"/>
                <w:szCs w:val="16"/>
                <w:color w:val="auto"/>
                <w:w w:val="98"/>
              </w:rPr>
              <w:t>("ASMs")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Calibri" w:cs="Calibri" w:eastAsia="Calibri" w:hAnsi="Calibri"/>
                <w:sz w:val="16"/>
                <w:szCs w:val="16"/>
                <w:color w:val="auto"/>
              </w:rPr>
              <w:t>Revenue</w:t>
            </w:r>
          </w:p>
        </w:tc>
      </w:tr>
      <w:tr>
        <w:trPr>
          <w:trHeight w:val="162"/>
        </w:trPr>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139"/>
              <w:spacing w:after="0" w:line="162" w:lineRule="exact"/>
              <w:rPr>
                <w:sz w:val="20"/>
                <w:szCs w:val="20"/>
                <w:color w:val="auto"/>
              </w:rPr>
            </w:pPr>
            <w:r>
              <w:rPr>
                <w:rFonts w:ascii="Calibri" w:cs="Calibri" w:eastAsia="Calibri" w:hAnsi="Calibri"/>
                <w:sz w:val="16"/>
                <w:szCs w:val="16"/>
                <w:color w:val="auto"/>
              </w:rPr>
              <w:t>Passenger</w:t>
            </w:r>
          </w:p>
        </w:tc>
        <w:tc>
          <w:tcPr>
            <w:tcW w:w="100" w:type="dxa"/>
            <w:vAlign w:val="bottom"/>
          </w:tcPr>
          <w:p>
            <w:pPr>
              <w:spacing w:after="0"/>
              <w:rPr>
                <w:sz w:val="14"/>
                <w:szCs w:val="14"/>
                <w:color w:val="auto"/>
              </w:rPr>
            </w:pPr>
          </w:p>
        </w:tc>
        <w:tc>
          <w:tcPr>
            <w:tcW w:w="1200" w:type="dxa"/>
            <w:vAlign w:val="bottom"/>
            <w:gridSpan w:val="2"/>
          </w:tcPr>
          <w:p>
            <w:pPr>
              <w:jc w:val="center"/>
              <w:ind w:right="100"/>
              <w:spacing w:after="0" w:line="162" w:lineRule="exact"/>
              <w:rPr>
                <w:sz w:val="20"/>
                <w:szCs w:val="20"/>
                <w:color w:val="auto"/>
              </w:rPr>
            </w:pPr>
            <w:r>
              <w:rPr>
                <w:rFonts w:ascii="Calibri" w:cs="Calibri" w:eastAsia="Calibri" w:hAnsi="Calibri"/>
                <w:sz w:val="16"/>
                <w:szCs w:val="16"/>
                <w:color w:val="auto"/>
              </w:rPr>
              <w:t>vs.</w:t>
            </w:r>
          </w:p>
        </w:tc>
        <w:tc>
          <w:tcPr>
            <w:tcW w:w="1180" w:type="dxa"/>
            <w:vAlign w:val="bottom"/>
            <w:gridSpan w:val="2"/>
          </w:tcPr>
          <w:p>
            <w:pPr>
              <w:jc w:val="center"/>
              <w:ind w:right="100"/>
              <w:spacing w:after="0" w:line="162" w:lineRule="exact"/>
              <w:rPr>
                <w:sz w:val="20"/>
                <w:szCs w:val="20"/>
                <w:color w:val="auto"/>
              </w:rPr>
            </w:pPr>
            <w:r>
              <w:rPr>
                <w:rFonts w:ascii="Calibri" w:cs="Calibri" w:eastAsia="Calibri" w:hAnsi="Calibri"/>
                <w:sz w:val="16"/>
                <w:szCs w:val="16"/>
                <w:color w:val="auto"/>
              </w:rPr>
              <w:t>Mile ("PRASM")</w:t>
            </w:r>
          </w:p>
        </w:tc>
        <w:tc>
          <w:tcPr>
            <w:tcW w:w="1200" w:type="dxa"/>
            <w:vAlign w:val="bottom"/>
            <w:gridSpan w:val="2"/>
          </w:tcPr>
          <w:p>
            <w:pPr>
              <w:ind w:left="280"/>
              <w:spacing w:after="0" w:line="162" w:lineRule="exact"/>
              <w:rPr>
                <w:sz w:val="20"/>
                <w:szCs w:val="20"/>
                <w:color w:val="auto"/>
              </w:rPr>
            </w:pPr>
            <w:r>
              <w:rPr>
                <w:rFonts w:ascii="Calibri" w:cs="Calibri" w:eastAsia="Calibri" w:hAnsi="Calibri"/>
                <w:sz w:val="16"/>
                <w:szCs w:val="16"/>
                <w:color w:val="auto"/>
              </w:rPr>
              <w:t>Yield vs.</w:t>
            </w:r>
          </w:p>
        </w:tc>
        <w:tc>
          <w:tcPr>
            <w:tcW w:w="1200" w:type="dxa"/>
            <w:vAlign w:val="bottom"/>
            <w:gridSpan w:val="2"/>
          </w:tcPr>
          <w:p>
            <w:pPr>
              <w:jc w:val="center"/>
              <w:ind w:right="100"/>
              <w:spacing w:after="0" w:line="162" w:lineRule="exact"/>
              <w:rPr>
                <w:sz w:val="20"/>
                <w:szCs w:val="20"/>
                <w:color w:val="auto"/>
              </w:rPr>
            </w:pPr>
            <w:r>
              <w:rPr>
                <w:rFonts w:ascii="Calibri" w:cs="Calibri" w:eastAsia="Calibri" w:hAnsi="Calibri"/>
                <w:sz w:val="16"/>
                <w:szCs w:val="16"/>
                <w:color w:val="auto"/>
              </w:rPr>
              <w:t>vs.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Calibri" w:cs="Calibri" w:eastAsia="Calibri" w:hAnsi="Calibri"/>
                <w:sz w:val="16"/>
                <w:szCs w:val="16"/>
                <w:color w:val="auto"/>
              </w:rPr>
              <w:t>Passenger Miles</w:t>
            </w:r>
          </w:p>
        </w:tc>
      </w:tr>
      <w:tr>
        <w:trPr>
          <w:trHeight w:val="193"/>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79"/>
              <w:spacing w:after="0" w:line="193" w:lineRule="exact"/>
              <w:rPr>
                <w:sz w:val="20"/>
                <w:szCs w:val="20"/>
                <w:color w:val="auto"/>
              </w:rPr>
            </w:pPr>
            <w:r>
              <w:rPr>
                <w:rFonts w:ascii="Calibri" w:cs="Calibri" w:eastAsia="Calibri" w:hAnsi="Calibri"/>
                <w:sz w:val="16"/>
                <w:szCs w:val="16"/>
                <w:color w:val="auto"/>
              </w:rPr>
              <w:t>Revenue</w:t>
            </w:r>
          </w:p>
        </w:tc>
        <w:tc>
          <w:tcPr>
            <w:tcW w:w="100" w:type="dxa"/>
            <w:vAlign w:val="bottom"/>
          </w:tcPr>
          <w:p>
            <w:pPr>
              <w:spacing w:after="0"/>
              <w:rPr>
                <w:sz w:val="16"/>
                <w:szCs w:val="16"/>
                <w:color w:val="auto"/>
              </w:rPr>
            </w:pPr>
          </w:p>
        </w:tc>
        <w:tc>
          <w:tcPr>
            <w:tcW w:w="1200" w:type="dxa"/>
            <w:vAlign w:val="bottom"/>
            <w:gridSpan w:val="2"/>
          </w:tcPr>
          <w:p>
            <w:pPr>
              <w:jc w:val="center"/>
              <w:ind w:right="120"/>
              <w:spacing w:after="0" w:line="193" w:lineRule="exact"/>
              <w:rPr>
                <w:sz w:val="20"/>
                <w:szCs w:val="20"/>
                <w:color w:val="auto"/>
              </w:rPr>
            </w:pPr>
            <w:r>
              <w:rPr>
                <w:rFonts w:ascii="Calibri" w:cs="Calibri" w:eastAsia="Calibri" w:hAnsi="Calibri"/>
                <w:sz w:val="16"/>
                <w:szCs w:val="16"/>
                <w:color w:val="auto"/>
              </w:rPr>
              <w:t>2Q 2023</w:t>
            </w:r>
          </w:p>
        </w:tc>
        <w:tc>
          <w:tcPr>
            <w:tcW w:w="118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color w:val="auto"/>
                <w:w w:val="99"/>
              </w:rPr>
              <w:t>vs. 2Q 2023</w:t>
            </w:r>
          </w:p>
        </w:tc>
        <w:tc>
          <w:tcPr>
            <w:tcW w:w="120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color w:val="auto"/>
                <w:w w:val="98"/>
              </w:rPr>
              <w:t>2Q 2023</w:t>
            </w:r>
          </w:p>
        </w:tc>
        <w:tc>
          <w:tcPr>
            <w:tcW w:w="120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color w:val="auto"/>
                <w:w w:val="98"/>
              </w:rPr>
              <w:t>2Q 2023</w:t>
            </w:r>
          </w:p>
        </w:tc>
        <w:tc>
          <w:tcPr>
            <w:tcW w:w="1200" w:type="dxa"/>
            <w:vAlign w:val="bottom"/>
            <w:gridSpan w:val="2"/>
          </w:tcPr>
          <w:p>
            <w:pPr>
              <w:ind w:left="80"/>
              <w:spacing w:after="0" w:line="193" w:lineRule="exact"/>
              <w:rPr>
                <w:sz w:val="20"/>
                <w:szCs w:val="20"/>
                <w:color w:val="auto"/>
              </w:rPr>
            </w:pPr>
            <w:r>
              <w:rPr>
                <w:rFonts w:ascii="Calibri" w:cs="Calibri" w:eastAsia="Calibri" w:hAnsi="Calibri"/>
                <w:sz w:val="16"/>
                <w:szCs w:val="16"/>
                <w:color w:val="auto"/>
              </w:rPr>
              <w:t>2Q 2024 ASMs</w:t>
            </w:r>
          </w:p>
        </w:tc>
        <w:tc>
          <w:tcPr>
            <w:tcW w:w="1100" w:type="dxa"/>
            <w:vAlign w:val="bottom"/>
          </w:tcPr>
          <w:p>
            <w:pPr>
              <w:jc w:val="center"/>
              <w:spacing w:after="0" w:line="193" w:lineRule="exact"/>
              <w:rPr>
                <w:sz w:val="20"/>
                <w:szCs w:val="20"/>
                <w:color w:val="auto"/>
              </w:rPr>
            </w:pPr>
            <w:r>
              <w:rPr>
                <w:rFonts w:ascii="Calibri" w:cs="Calibri" w:eastAsia="Calibri" w:hAnsi="Calibri"/>
                <w:sz w:val="16"/>
                <w:szCs w:val="16"/>
                <w:color w:val="auto"/>
              </w:rPr>
              <w:t>("RPMs")</w:t>
            </w:r>
          </w:p>
        </w:tc>
      </w:tr>
      <w:tr>
        <w:trPr>
          <w:trHeight w:val="28"/>
        </w:trPr>
        <w:tc>
          <w:tcPr>
            <w:tcW w:w="2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2960" w:type="dxa"/>
            <w:vAlign w:val="bottom"/>
            <w:tcBorders>
              <w:bottom w:val="single" w:sz="8" w:color="CCEEFF"/>
            </w:tcBorders>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Domestc</w:t>
            </w:r>
          </w:p>
        </w:tc>
        <w:tc>
          <w:tcPr>
            <w:tcW w:w="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7,965</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center"/>
              <w:spacing w:after="0" w:line="187" w:lineRule="exact"/>
              <w:rPr>
                <w:sz w:val="20"/>
                <w:szCs w:val="20"/>
                <w:color w:val="auto"/>
              </w:rPr>
            </w:pPr>
            <w:r>
              <w:rPr>
                <w:rFonts w:ascii="Calibri" w:cs="Calibri" w:eastAsia="Calibri" w:hAnsi="Calibri"/>
                <w:sz w:val="16"/>
                <w:szCs w:val="16"/>
                <w:color w:val="auto"/>
              </w:rPr>
              <w:t>3.3%</w:t>
            </w: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center"/>
              <w:spacing w:after="0" w:line="187" w:lineRule="exact"/>
              <w:rPr>
                <w:sz w:val="20"/>
                <w:szCs w:val="20"/>
                <w:color w:val="auto"/>
              </w:rPr>
            </w:pPr>
            <w:r>
              <w:rPr>
                <w:rFonts w:ascii="Calibri" w:cs="Calibri" w:eastAsia="Calibri" w:hAnsi="Calibri"/>
                <w:sz w:val="16"/>
                <w:szCs w:val="16"/>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center"/>
              <w:spacing w:after="0" w:line="187" w:lineRule="exact"/>
              <w:rPr>
                <w:sz w:val="20"/>
                <w:szCs w:val="20"/>
                <w:color w:val="auto"/>
              </w:rPr>
            </w:pPr>
            <w:r>
              <w:rPr>
                <w:rFonts w:ascii="Calibri" w:cs="Calibri" w:eastAsia="Calibri" w:hAnsi="Calibri"/>
                <w:sz w:val="16"/>
                <w:szCs w:val="16"/>
                <w:color w:val="auto"/>
              </w:rPr>
              <w:t>5.3%</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42,251</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36,511</w:t>
            </w:r>
          </w:p>
        </w:tc>
      </w:tr>
      <w:tr>
        <w:trPr>
          <w:trHeight w:val="229"/>
        </w:trPr>
        <w:tc>
          <w:tcPr>
            <w:tcW w:w="2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6"/>
        </w:trPr>
        <w:tc>
          <w:tcPr>
            <w:tcW w:w="296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Europe</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2,837</w:t>
            </w:r>
          </w:p>
        </w:tc>
        <w:tc>
          <w:tcPr>
            <w:tcW w:w="1180" w:type="dxa"/>
            <w:vAlign w:val="bottom"/>
            <w:tcBorders>
              <w:bottom w:val="single" w:sz="8" w:color="CCEEFF"/>
            </w:tcBorders>
            <w:gridSpan w:val="2"/>
            <w:shd w:val="clear" w:color="auto" w:fill="CCEEFF"/>
          </w:tcPr>
          <w:p>
            <w:pPr>
              <w:jc w:val="center"/>
              <w:ind w:left="19"/>
              <w:spacing w:after="0" w:line="193" w:lineRule="exact"/>
              <w:rPr>
                <w:sz w:val="20"/>
                <w:szCs w:val="20"/>
                <w:color w:val="auto"/>
              </w:rPr>
            </w:pPr>
            <w:r>
              <w:rPr>
                <w:rFonts w:ascii="Calibri" w:cs="Calibri" w:eastAsia="Calibri" w:hAnsi="Calibri"/>
                <w:sz w:val="16"/>
                <w:szCs w:val="16"/>
                <w:color w:val="auto"/>
              </w:rPr>
              <w:t>8.7%</w:t>
            </w: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99"/>
              <w:spacing w:after="0" w:line="193" w:lineRule="exact"/>
              <w:rPr>
                <w:sz w:val="20"/>
                <w:szCs w:val="20"/>
                <w:color w:val="auto"/>
              </w:rPr>
            </w:pPr>
            <w:r>
              <w:rPr>
                <w:rFonts w:ascii="Calibri" w:cs="Calibri" w:eastAsia="Calibri" w:hAnsi="Calibri"/>
                <w:sz w:val="16"/>
                <w:szCs w:val="16"/>
                <w:color w:val="auto"/>
              </w:rPr>
              <w:t>0.9%</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spacing w:after="0" w:line="193" w:lineRule="exact"/>
              <w:rPr>
                <w:sz w:val="20"/>
                <w:szCs w:val="20"/>
                <w:color w:val="auto"/>
              </w:rPr>
            </w:pPr>
            <w:r>
              <w:rPr>
                <w:rFonts w:ascii="Calibri" w:cs="Calibri" w:eastAsia="Calibri" w:hAnsi="Calibri"/>
                <w:sz w:val="16"/>
                <w:szCs w:val="16"/>
                <w:color w:val="auto"/>
              </w:rPr>
              <w:t>5.4%</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spacing w:after="0" w:line="193" w:lineRule="exact"/>
              <w:rPr>
                <w:sz w:val="20"/>
                <w:szCs w:val="20"/>
                <w:color w:val="auto"/>
              </w:rPr>
            </w:pPr>
            <w:r>
              <w:rPr>
                <w:rFonts w:ascii="Calibri" w:cs="Calibri" w:eastAsia="Calibri" w:hAnsi="Calibri"/>
                <w:sz w:val="16"/>
                <w:szCs w:val="16"/>
                <w:color w:val="auto"/>
              </w:rPr>
              <w:t>7.8%</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16,554</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13,533</w:t>
            </w:r>
          </w:p>
        </w:tc>
      </w:tr>
      <w:tr>
        <w:trPr>
          <w:trHeight w:val="193"/>
        </w:trPr>
        <w:tc>
          <w:tcPr>
            <w:tcW w:w="2960" w:type="dxa"/>
            <w:vAlign w:val="bottom"/>
          </w:tcPr>
          <w:p>
            <w:pPr>
              <w:ind w:left="20"/>
              <w:spacing w:after="0" w:line="193" w:lineRule="exact"/>
              <w:rPr>
                <w:sz w:val="20"/>
                <w:szCs w:val="20"/>
                <w:color w:val="auto"/>
              </w:rPr>
            </w:pPr>
            <w:r>
              <w:rPr>
                <w:rFonts w:ascii="Calibri" w:cs="Calibri" w:eastAsia="Calibri" w:hAnsi="Calibri"/>
                <w:sz w:val="16"/>
                <w:szCs w:val="16"/>
                <w:color w:val="auto"/>
              </w:rPr>
              <w:t>Middle East/India/Africa</w:t>
            </w:r>
          </w:p>
        </w:tc>
        <w:tc>
          <w:tcPr>
            <w:tcW w:w="16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258</w:t>
            </w:r>
          </w:p>
        </w:tc>
        <w:tc>
          <w:tcPr>
            <w:tcW w:w="1180" w:type="dxa"/>
            <w:vAlign w:val="bottom"/>
            <w:gridSpan w:val="2"/>
          </w:tcPr>
          <w:p>
            <w:pPr>
              <w:jc w:val="center"/>
              <w:ind w:left="39"/>
              <w:spacing w:after="0" w:line="193" w:lineRule="exact"/>
              <w:rPr>
                <w:sz w:val="20"/>
                <w:szCs w:val="20"/>
                <w:color w:val="auto"/>
              </w:rPr>
            </w:pPr>
            <w:r>
              <w:rPr>
                <w:rFonts w:ascii="Calibri" w:cs="Calibri" w:eastAsia="Calibri" w:hAnsi="Calibri"/>
                <w:sz w:val="16"/>
                <w:szCs w:val="16"/>
                <w:color w:val="auto"/>
              </w:rPr>
              <w:t>(35.2%)</w:t>
            </w:r>
          </w:p>
        </w:tc>
        <w:tc>
          <w:tcPr>
            <w:tcW w:w="120" w:type="dxa"/>
            <w:vAlign w:val="bottom"/>
          </w:tcPr>
          <w:p>
            <w:pPr>
              <w:spacing w:after="0"/>
              <w:rPr>
                <w:sz w:val="16"/>
                <w:szCs w:val="16"/>
                <w:color w:val="auto"/>
              </w:rPr>
            </w:pPr>
          </w:p>
        </w:tc>
        <w:tc>
          <w:tcPr>
            <w:tcW w:w="1080" w:type="dxa"/>
            <w:vAlign w:val="bottom"/>
          </w:tcPr>
          <w:p>
            <w:pPr>
              <w:jc w:val="right"/>
              <w:ind w:right="299"/>
              <w:spacing w:after="0" w:line="193" w:lineRule="exact"/>
              <w:rPr>
                <w:sz w:val="20"/>
                <w:szCs w:val="20"/>
                <w:color w:val="auto"/>
              </w:rPr>
            </w:pPr>
            <w:r>
              <w:rPr>
                <w:rFonts w:ascii="Calibri" w:cs="Calibri" w:eastAsia="Calibri" w:hAnsi="Calibri"/>
                <w:sz w:val="16"/>
                <w:szCs w:val="16"/>
                <w:color w:val="auto"/>
              </w:rPr>
              <w:t>5.5%</w:t>
            </w:r>
          </w:p>
        </w:tc>
        <w:tc>
          <w:tcPr>
            <w:tcW w:w="100" w:type="dxa"/>
            <w:vAlign w:val="bottom"/>
          </w:tcPr>
          <w:p>
            <w:pPr>
              <w:spacing w:after="0"/>
              <w:rPr>
                <w:sz w:val="16"/>
                <w:szCs w:val="16"/>
                <w:color w:val="auto"/>
              </w:rPr>
            </w:pPr>
          </w:p>
        </w:tc>
        <w:tc>
          <w:tcPr>
            <w:tcW w:w="1100" w:type="dxa"/>
            <w:vAlign w:val="bottom"/>
          </w:tcPr>
          <w:p>
            <w:pPr>
              <w:jc w:val="center"/>
              <w:spacing w:after="0" w:line="193" w:lineRule="exact"/>
              <w:rPr>
                <w:sz w:val="20"/>
                <w:szCs w:val="20"/>
                <w:color w:val="auto"/>
              </w:rPr>
            </w:pPr>
            <w:r>
              <w:rPr>
                <w:rFonts w:ascii="Calibri" w:cs="Calibri" w:eastAsia="Calibri" w:hAnsi="Calibri"/>
                <w:sz w:val="16"/>
                <w:szCs w:val="16"/>
                <w:color w:val="auto"/>
              </w:rPr>
              <w:t>9.9%</w:t>
            </w:r>
          </w:p>
        </w:tc>
        <w:tc>
          <w:tcPr>
            <w:tcW w:w="100" w:type="dxa"/>
            <w:vAlign w:val="bottom"/>
          </w:tcPr>
          <w:p>
            <w:pPr>
              <w:spacing w:after="0"/>
              <w:rPr>
                <w:sz w:val="16"/>
                <w:szCs w:val="16"/>
                <w:color w:val="auto"/>
              </w:rPr>
            </w:pPr>
          </w:p>
        </w:tc>
        <w:tc>
          <w:tcPr>
            <w:tcW w:w="1100" w:type="dxa"/>
            <w:vAlign w:val="bottom"/>
          </w:tcPr>
          <w:p>
            <w:pPr>
              <w:jc w:val="center"/>
              <w:spacing w:after="0" w:line="193" w:lineRule="exact"/>
              <w:rPr>
                <w:sz w:val="20"/>
                <w:szCs w:val="20"/>
                <w:color w:val="auto"/>
              </w:rPr>
            </w:pPr>
            <w:r>
              <w:rPr>
                <w:rFonts w:ascii="Calibri" w:cs="Calibri" w:eastAsia="Calibri" w:hAnsi="Calibri"/>
                <w:sz w:val="16"/>
                <w:szCs w:val="16"/>
                <w:color w:val="auto"/>
              </w:rPr>
              <w:t>(38.6%)</w:t>
            </w:r>
          </w:p>
        </w:tc>
        <w:tc>
          <w:tcPr>
            <w:tcW w:w="10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1,848</w:t>
            </w:r>
          </w:p>
        </w:tc>
        <w:tc>
          <w:tcPr>
            <w:tcW w:w="10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1,567</w:t>
            </w:r>
          </w:p>
        </w:tc>
      </w:tr>
      <w:tr>
        <w:trPr>
          <w:trHeight w:val="23"/>
        </w:trPr>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9"/>
        </w:trPr>
        <w:tc>
          <w:tcPr>
            <w:tcW w:w="2960" w:type="dxa"/>
            <w:vAlign w:val="bottom"/>
            <w:tcBorders>
              <w:bottom w:val="single" w:sz="8" w:color="CCEEFF"/>
            </w:tcBorders>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Atlantc</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3,095</w:t>
            </w:r>
          </w:p>
        </w:tc>
        <w:tc>
          <w:tcPr>
            <w:tcW w:w="1180" w:type="dxa"/>
            <w:vAlign w:val="bottom"/>
            <w:tcBorders>
              <w:bottom w:val="single" w:sz="8" w:color="CCEEFF"/>
            </w:tcBorders>
            <w:gridSpan w:val="2"/>
            <w:shd w:val="clear" w:color="auto" w:fill="CCEEFF"/>
          </w:tcPr>
          <w:p>
            <w:pPr>
              <w:jc w:val="center"/>
              <w:ind w:left="19"/>
              <w:spacing w:after="0" w:line="182" w:lineRule="exact"/>
              <w:rPr>
                <w:sz w:val="20"/>
                <w:szCs w:val="20"/>
                <w:color w:val="auto"/>
              </w:rPr>
            </w:pPr>
            <w:r>
              <w:rPr>
                <w:rFonts w:ascii="Calibri" w:cs="Calibri" w:eastAsia="Calibri" w:hAnsi="Calibri"/>
                <w:sz w:val="16"/>
                <w:szCs w:val="16"/>
                <w:color w:val="auto"/>
              </w:rPr>
              <w:t>2.9%</w:t>
            </w: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299"/>
              <w:spacing w:after="0" w:line="182" w:lineRule="exact"/>
              <w:rPr>
                <w:sz w:val="20"/>
                <w:szCs w:val="20"/>
                <w:color w:val="auto"/>
              </w:rPr>
            </w:pPr>
            <w:r>
              <w:rPr>
                <w:rFonts w:ascii="Calibri" w:cs="Calibri" w:eastAsia="Calibri" w:hAnsi="Calibri"/>
                <w:sz w:val="16"/>
                <w:szCs w:val="16"/>
                <w:color w:val="auto"/>
              </w:rPr>
              <w:t>2.7%</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center"/>
              <w:spacing w:after="0" w:line="182" w:lineRule="exact"/>
              <w:rPr>
                <w:sz w:val="20"/>
                <w:szCs w:val="20"/>
                <w:color w:val="auto"/>
              </w:rPr>
            </w:pPr>
            <w:r>
              <w:rPr>
                <w:rFonts w:ascii="Calibri" w:cs="Calibri" w:eastAsia="Calibri" w:hAnsi="Calibri"/>
                <w:sz w:val="16"/>
                <w:szCs w:val="16"/>
                <w:color w:val="auto"/>
              </w:rPr>
              <w:t>7.6%</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center"/>
              <w:spacing w:after="0" w:line="182" w:lineRule="exact"/>
              <w:rPr>
                <w:sz w:val="20"/>
                <w:szCs w:val="20"/>
                <w:color w:val="auto"/>
              </w:rPr>
            </w:pPr>
            <w:r>
              <w:rPr>
                <w:rFonts w:ascii="Calibri" w:cs="Calibri" w:eastAsia="Calibri" w:hAnsi="Calibri"/>
                <w:sz w:val="16"/>
                <w:szCs w:val="16"/>
                <w:color w:val="auto"/>
              </w:rPr>
              <w:t>0.2%</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18,402</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15,100</w:t>
            </w:r>
          </w:p>
        </w:tc>
      </w:tr>
      <w:tr>
        <w:trPr>
          <w:trHeight w:val="193"/>
        </w:trPr>
        <w:tc>
          <w:tcPr>
            <w:tcW w:w="2960" w:type="dxa"/>
            <w:vAlign w:val="bottom"/>
          </w:tcPr>
          <w:p>
            <w:pPr>
              <w:ind w:left="20"/>
              <w:spacing w:after="0" w:line="193" w:lineRule="exact"/>
              <w:rPr>
                <w:sz w:val="20"/>
                <w:szCs w:val="20"/>
                <w:color w:val="auto"/>
              </w:rPr>
            </w:pPr>
            <w:r>
              <w:rPr>
                <w:rFonts w:ascii="Calibri" w:cs="Calibri" w:eastAsia="Calibri" w:hAnsi="Calibri"/>
                <w:sz w:val="16"/>
                <w:szCs w:val="16"/>
                <w:color w:val="auto"/>
              </w:rPr>
              <w:t>Pacifc</w:t>
            </w:r>
          </w:p>
        </w:tc>
        <w:tc>
          <w:tcPr>
            <w:tcW w:w="16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1,386</w:t>
            </w:r>
          </w:p>
        </w:tc>
        <w:tc>
          <w:tcPr>
            <w:tcW w:w="1180" w:type="dxa"/>
            <w:vAlign w:val="bottom"/>
            <w:gridSpan w:val="2"/>
          </w:tcPr>
          <w:p>
            <w:pPr>
              <w:jc w:val="center"/>
              <w:ind w:left="19"/>
              <w:spacing w:after="0" w:line="193" w:lineRule="exact"/>
              <w:rPr>
                <w:sz w:val="20"/>
                <w:szCs w:val="20"/>
                <w:color w:val="auto"/>
              </w:rPr>
            </w:pPr>
            <w:r>
              <w:rPr>
                <w:rFonts w:ascii="Calibri" w:cs="Calibri" w:eastAsia="Calibri" w:hAnsi="Calibri"/>
                <w:sz w:val="16"/>
                <w:szCs w:val="16"/>
                <w:color w:val="auto"/>
              </w:rPr>
              <w:t>24.3%</w:t>
            </w:r>
          </w:p>
        </w:tc>
        <w:tc>
          <w:tcPr>
            <w:tcW w:w="120" w:type="dxa"/>
            <w:vAlign w:val="bottom"/>
          </w:tcPr>
          <w:p>
            <w:pPr>
              <w:spacing w:after="0"/>
              <w:rPr>
                <w:sz w:val="16"/>
                <w:szCs w:val="16"/>
                <w:color w:val="auto"/>
              </w:rPr>
            </w:pPr>
          </w:p>
        </w:tc>
        <w:tc>
          <w:tcPr>
            <w:tcW w:w="1080" w:type="dxa"/>
            <w:vAlign w:val="bottom"/>
          </w:tcPr>
          <w:p>
            <w:pPr>
              <w:jc w:val="right"/>
              <w:ind w:right="239"/>
              <w:spacing w:after="0" w:line="193" w:lineRule="exact"/>
              <w:rPr>
                <w:sz w:val="20"/>
                <w:szCs w:val="20"/>
                <w:color w:val="auto"/>
              </w:rPr>
            </w:pPr>
            <w:r>
              <w:rPr>
                <w:rFonts w:ascii="Calibri" w:cs="Calibri" w:eastAsia="Calibri" w:hAnsi="Calibri"/>
                <w:sz w:val="16"/>
                <w:szCs w:val="16"/>
                <w:color w:val="auto"/>
              </w:rPr>
              <w:t>(9.4%)</w:t>
            </w:r>
          </w:p>
        </w:tc>
        <w:tc>
          <w:tcPr>
            <w:tcW w:w="100" w:type="dxa"/>
            <w:vAlign w:val="bottom"/>
          </w:tcPr>
          <w:p>
            <w:pPr>
              <w:spacing w:after="0"/>
              <w:rPr>
                <w:sz w:val="16"/>
                <w:szCs w:val="16"/>
                <w:color w:val="auto"/>
              </w:rPr>
            </w:pPr>
          </w:p>
        </w:tc>
        <w:tc>
          <w:tcPr>
            <w:tcW w:w="1100" w:type="dxa"/>
            <w:vAlign w:val="bottom"/>
          </w:tcPr>
          <w:p>
            <w:pPr>
              <w:jc w:val="center"/>
              <w:spacing w:after="0" w:line="193" w:lineRule="exact"/>
              <w:rPr>
                <w:sz w:val="20"/>
                <w:szCs w:val="20"/>
                <w:color w:val="auto"/>
              </w:rPr>
            </w:pPr>
            <w:r>
              <w:rPr>
                <w:rFonts w:ascii="Calibri" w:cs="Calibri" w:eastAsia="Calibri" w:hAnsi="Calibri"/>
                <w:sz w:val="16"/>
                <w:szCs w:val="16"/>
                <w:color w:val="auto"/>
              </w:rPr>
              <w:t>(2.5)%</w:t>
            </w:r>
          </w:p>
        </w:tc>
        <w:tc>
          <w:tcPr>
            <w:tcW w:w="100" w:type="dxa"/>
            <w:vAlign w:val="bottom"/>
          </w:tcPr>
          <w:p>
            <w:pPr>
              <w:spacing w:after="0"/>
              <w:rPr>
                <w:sz w:val="16"/>
                <w:szCs w:val="16"/>
                <w:color w:val="auto"/>
              </w:rPr>
            </w:pPr>
          </w:p>
        </w:tc>
        <w:tc>
          <w:tcPr>
            <w:tcW w:w="1100" w:type="dxa"/>
            <w:vAlign w:val="bottom"/>
          </w:tcPr>
          <w:p>
            <w:pPr>
              <w:jc w:val="center"/>
              <w:spacing w:after="0" w:line="193" w:lineRule="exact"/>
              <w:rPr>
                <w:sz w:val="20"/>
                <w:szCs w:val="20"/>
                <w:color w:val="auto"/>
              </w:rPr>
            </w:pPr>
            <w:r>
              <w:rPr>
                <w:rFonts w:ascii="Calibri" w:cs="Calibri" w:eastAsia="Calibri" w:hAnsi="Calibri"/>
                <w:sz w:val="16"/>
                <w:szCs w:val="16"/>
                <w:color w:val="auto"/>
              </w:rPr>
              <w:t>37.2%</w:t>
            </w:r>
          </w:p>
        </w:tc>
        <w:tc>
          <w:tcPr>
            <w:tcW w:w="10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10,444</w:t>
            </w:r>
          </w:p>
        </w:tc>
        <w:tc>
          <w:tcPr>
            <w:tcW w:w="10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8,178</w:t>
            </w:r>
          </w:p>
        </w:tc>
      </w:tr>
      <w:tr>
        <w:trPr>
          <w:trHeight w:val="23"/>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296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Latn America</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1,234</w:t>
            </w:r>
          </w:p>
        </w:tc>
        <w:tc>
          <w:tcPr>
            <w:tcW w:w="1180" w:type="dxa"/>
            <w:vAlign w:val="bottom"/>
            <w:tcBorders>
              <w:bottom w:val="single" w:sz="8" w:color="CCEEFF"/>
            </w:tcBorders>
            <w:gridSpan w:val="2"/>
            <w:shd w:val="clear" w:color="auto" w:fill="CCEEFF"/>
          </w:tcPr>
          <w:p>
            <w:pPr>
              <w:jc w:val="center"/>
              <w:ind w:left="19"/>
              <w:spacing w:after="0" w:line="193" w:lineRule="exact"/>
              <w:rPr>
                <w:sz w:val="20"/>
                <w:szCs w:val="20"/>
                <w:color w:val="auto"/>
              </w:rPr>
            </w:pPr>
            <w:r>
              <w:rPr>
                <w:rFonts w:ascii="Calibri" w:cs="Calibri" w:eastAsia="Calibri" w:hAnsi="Calibri"/>
                <w:sz w:val="16"/>
                <w:szCs w:val="16"/>
                <w:color w:val="auto"/>
              </w:rPr>
              <w:t>5.5%</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239"/>
              <w:spacing w:after="0" w:line="193" w:lineRule="exact"/>
              <w:rPr>
                <w:sz w:val="20"/>
                <w:szCs w:val="20"/>
                <w:color w:val="auto"/>
              </w:rPr>
            </w:pPr>
            <w:r>
              <w:rPr>
                <w:rFonts w:ascii="Calibri" w:cs="Calibri" w:eastAsia="Calibri" w:hAnsi="Calibri"/>
                <w:sz w:val="16"/>
                <w:szCs w:val="16"/>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center"/>
              <w:spacing w:after="0" w:line="193" w:lineRule="exact"/>
              <w:rPr>
                <w:sz w:val="20"/>
                <w:szCs w:val="20"/>
                <w:color w:val="auto"/>
              </w:rPr>
            </w:pPr>
            <w:r>
              <w:rPr>
                <w:rFonts w:ascii="Calibri" w:cs="Calibri" w:eastAsia="Calibri" w:hAnsi="Calibri"/>
                <w:sz w:val="16"/>
                <w:szCs w:val="16"/>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center"/>
              <w:spacing w:after="0" w:line="193" w:lineRule="exact"/>
              <w:rPr>
                <w:sz w:val="20"/>
                <w:szCs w:val="20"/>
                <w:color w:val="auto"/>
              </w:rPr>
            </w:pPr>
            <w:r>
              <w:rPr>
                <w:rFonts w:ascii="Calibri" w:cs="Calibri" w:eastAsia="Calibri" w:hAnsi="Calibri"/>
                <w:sz w:val="16"/>
                <w:szCs w:val="16"/>
                <w:color w:val="auto"/>
              </w:rPr>
              <w:t>15.4%</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8,581</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7,275</w:t>
            </w:r>
          </w:p>
        </w:tc>
      </w:tr>
      <w:tr>
        <w:trPr>
          <w:trHeight w:val="187"/>
        </w:trPr>
        <w:tc>
          <w:tcPr>
            <w:tcW w:w="2960" w:type="dxa"/>
            <w:vAlign w:val="bottom"/>
          </w:tcPr>
          <w:p>
            <w:pPr>
              <w:ind w:left="20"/>
              <w:spacing w:after="0" w:line="182" w:lineRule="exact"/>
              <w:rPr>
                <w:sz w:val="20"/>
                <w:szCs w:val="20"/>
                <w:color w:val="auto"/>
              </w:rPr>
            </w:pPr>
            <w:r>
              <w:rPr>
                <w:rFonts w:ascii="Calibri" w:cs="Calibri" w:eastAsia="Calibri" w:hAnsi="Calibri"/>
                <w:sz w:val="16"/>
                <w:szCs w:val="16"/>
                <w:color w:val="auto"/>
              </w:rPr>
              <w:t>Internatonal</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5,715</w:t>
            </w:r>
          </w:p>
        </w:tc>
        <w:tc>
          <w:tcPr>
            <w:tcW w:w="1180" w:type="dxa"/>
            <w:vAlign w:val="bottom"/>
            <w:gridSpan w:val="2"/>
          </w:tcPr>
          <w:p>
            <w:pPr>
              <w:jc w:val="center"/>
              <w:ind w:left="19"/>
              <w:spacing w:after="0" w:line="182" w:lineRule="exact"/>
              <w:rPr>
                <w:sz w:val="20"/>
                <w:szCs w:val="20"/>
                <w:color w:val="auto"/>
              </w:rPr>
            </w:pPr>
            <w:r>
              <w:rPr>
                <w:rFonts w:ascii="Calibri" w:cs="Calibri" w:eastAsia="Calibri" w:hAnsi="Calibri"/>
                <w:sz w:val="16"/>
                <w:szCs w:val="16"/>
                <w:color w:val="auto"/>
              </w:rPr>
              <w:t>8.0%</w:t>
            </w:r>
          </w:p>
        </w:tc>
        <w:tc>
          <w:tcPr>
            <w:tcW w:w="120" w:type="dxa"/>
            <w:vAlign w:val="bottom"/>
          </w:tcPr>
          <w:p>
            <w:pPr>
              <w:spacing w:after="0"/>
              <w:rPr>
                <w:sz w:val="16"/>
                <w:szCs w:val="16"/>
                <w:color w:val="auto"/>
              </w:rPr>
            </w:pPr>
          </w:p>
        </w:tc>
        <w:tc>
          <w:tcPr>
            <w:tcW w:w="1080" w:type="dxa"/>
            <w:vAlign w:val="bottom"/>
          </w:tcPr>
          <w:p>
            <w:pPr>
              <w:jc w:val="right"/>
              <w:ind w:right="239"/>
              <w:spacing w:after="0" w:line="182" w:lineRule="exact"/>
              <w:rPr>
                <w:sz w:val="20"/>
                <w:szCs w:val="20"/>
                <w:color w:val="auto"/>
              </w:rPr>
            </w:pPr>
            <w:r>
              <w:rPr>
                <w:rFonts w:ascii="Calibri" w:cs="Calibri" w:eastAsia="Calibri" w:hAnsi="Calibri"/>
                <w:sz w:val="16"/>
                <w:szCs w:val="16"/>
                <w:color w:val="auto"/>
              </w:rPr>
              <w:t>(3.6%)</w:t>
            </w:r>
          </w:p>
        </w:tc>
        <w:tc>
          <w:tcPr>
            <w:tcW w:w="100" w:type="dxa"/>
            <w:vAlign w:val="bottom"/>
          </w:tcPr>
          <w:p>
            <w:pPr>
              <w:spacing w:after="0"/>
              <w:rPr>
                <w:sz w:val="16"/>
                <w:szCs w:val="16"/>
                <w:color w:val="auto"/>
              </w:rPr>
            </w:pPr>
          </w:p>
        </w:tc>
        <w:tc>
          <w:tcPr>
            <w:tcW w:w="1100" w:type="dxa"/>
            <w:vAlign w:val="bottom"/>
          </w:tcPr>
          <w:p>
            <w:pPr>
              <w:jc w:val="center"/>
              <w:spacing w:after="0" w:line="182" w:lineRule="exact"/>
              <w:rPr>
                <w:sz w:val="20"/>
                <w:szCs w:val="20"/>
                <w:color w:val="auto"/>
              </w:rPr>
            </w:pPr>
            <w:r>
              <w:rPr>
                <w:rFonts w:ascii="Calibri" w:cs="Calibri" w:eastAsia="Calibri" w:hAnsi="Calibri"/>
                <w:sz w:val="16"/>
                <w:szCs w:val="16"/>
                <w:color w:val="auto"/>
              </w:rPr>
              <w:t>1.2%</w:t>
            </w:r>
          </w:p>
        </w:tc>
        <w:tc>
          <w:tcPr>
            <w:tcW w:w="100" w:type="dxa"/>
            <w:vAlign w:val="bottom"/>
          </w:tcPr>
          <w:p>
            <w:pPr>
              <w:spacing w:after="0"/>
              <w:rPr>
                <w:sz w:val="16"/>
                <w:szCs w:val="16"/>
                <w:color w:val="auto"/>
              </w:rPr>
            </w:pPr>
          </w:p>
        </w:tc>
        <w:tc>
          <w:tcPr>
            <w:tcW w:w="1100" w:type="dxa"/>
            <w:vAlign w:val="bottom"/>
          </w:tcPr>
          <w:p>
            <w:pPr>
              <w:jc w:val="center"/>
              <w:spacing w:after="0" w:line="182" w:lineRule="exact"/>
              <w:rPr>
                <w:sz w:val="20"/>
                <w:szCs w:val="20"/>
                <w:color w:val="auto"/>
              </w:rPr>
            </w:pPr>
            <w:r>
              <w:rPr>
                <w:rFonts w:ascii="Calibri" w:cs="Calibri" w:eastAsia="Calibri" w:hAnsi="Calibri"/>
                <w:sz w:val="16"/>
                <w:szCs w:val="16"/>
                <w:color w:val="auto"/>
              </w:rPr>
              <w:t>12.0%</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37,427</w:t>
            </w:r>
          </w:p>
        </w:tc>
        <w:tc>
          <w:tcPr>
            <w:tcW w:w="100" w:type="dxa"/>
            <w:vAlign w:val="bottom"/>
          </w:tcPr>
          <w:p>
            <w:pPr>
              <w:spacing w:after="0"/>
              <w:rPr>
                <w:sz w:val="16"/>
                <w:szCs w:val="16"/>
                <w:color w:val="auto"/>
              </w:rPr>
            </w:pP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30,553</w:t>
            </w:r>
          </w:p>
        </w:tc>
      </w:tr>
      <w:tr>
        <w:trPr>
          <w:trHeight w:val="23"/>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209"/>
        </w:trPr>
        <w:tc>
          <w:tcPr>
            <w:tcW w:w="2960" w:type="dxa"/>
            <w:vAlign w:val="bottom"/>
          </w:tcPr>
          <w:p>
            <w:pPr>
              <w:ind w:left="20"/>
              <w:spacing w:after="0"/>
              <w:rPr>
                <w:sz w:val="20"/>
                <w:szCs w:val="20"/>
                <w:color w:val="auto"/>
              </w:rPr>
            </w:pPr>
            <w:r>
              <w:rPr>
                <w:rFonts w:ascii="Calibri" w:cs="Calibri" w:eastAsia="Calibri" w:hAnsi="Calibri"/>
                <w:sz w:val="16"/>
                <w:szCs w:val="16"/>
                <w:color w:val="auto"/>
              </w:rPr>
              <w:t>Consolidated</w:t>
            </w:r>
          </w:p>
        </w:tc>
        <w:tc>
          <w:tcPr>
            <w:tcW w:w="1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9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13,680</w:t>
            </w:r>
          </w:p>
        </w:tc>
        <w:tc>
          <w:tcPr>
            <w:tcW w:w="1180" w:type="dxa"/>
            <w:vAlign w:val="bottom"/>
            <w:gridSpan w:val="2"/>
          </w:tcPr>
          <w:p>
            <w:pPr>
              <w:jc w:val="center"/>
              <w:ind w:left="19"/>
              <w:spacing w:after="0"/>
              <w:rPr>
                <w:sz w:val="20"/>
                <w:szCs w:val="20"/>
                <w:color w:val="auto"/>
              </w:rPr>
            </w:pPr>
            <w:r>
              <w:rPr>
                <w:rFonts w:ascii="Calibri" w:cs="Calibri" w:eastAsia="Calibri" w:hAnsi="Calibri"/>
                <w:sz w:val="16"/>
                <w:szCs w:val="16"/>
                <w:color w:val="auto"/>
              </w:rPr>
              <w:t>5.2%</w:t>
            </w:r>
          </w:p>
        </w:tc>
        <w:tc>
          <w:tcPr>
            <w:tcW w:w="120" w:type="dxa"/>
            <w:vAlign w:val="bottom"/>
          </w:tcPr>
          <w:p>
            <w:pPr>
              <w:spacing w:after="0"/>
              <w:rPr>
                <w:sz w:val="18"/>
                <w:szCs w:val="18"/>
                <w:color w:val="auto"/>
              </w:rPr>
            </w:pPr>
          </w:p>
        </w:tc>
        <w:tc>
          <w:tcPr>
            <w:tcW w:w="1080" w:type="dxa"/>
            <w:vAlign w:val="bottom"/>
          </w:tcPr>
          <w:p>
            <w:pPr>
              <w:jc w:val="right"/>
              <w:ind w:right="239"/>
              <w:spacing w:after="0"/>
              <w:rPr>
                <w:sz w:val="20"/>
                <w:szCs w:val="20"/>
                <w:color w:val="auto"/>
              </w:rPr>
            </w:pPr>
            <w:r>
              <w:rPr>
                <w:rFonts w:ascii="Calibri" w:cs="Calibri" w:eastAsia="Calibri" w:hAnsi="Calibri"/>
                <w:sz w:val="16"/>
                <w:szCs w:val="16"/>
                <w:color w:val="auto"/>
              </w:rPr>
              <w:t>(2.9%)</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Calibri" w:cs="Calibri" w:eastAsia="Calibri" w:hAnsi="Calibri"/>
                <w:sz w:val="16"/>
                <w:szCs w:val="16"/>
                <w:color w:val="auto"/>
              </w:rPr>
              <w:t>(0.3%)</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Calibri" w:cs="Calibri" w:eastAsia="Calibri" w:hAnsi="Calibri"/>
                <w:sz w:val="16"/>
                <w:szCs w:val="16"/>
                <w:color w:val="auto"/>
              </w:rPr>
              <w:t>8.3%</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79,678</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67,064</w:t>
            </w:r>
          </w:p>
        </w:tc>
      </w:tr>
      <w:tr>
        <w:trPr>
          <w:trHeight w:val="21"/>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20"/>
                <w:szCs w:val="20"/>
                <w:color w:val="auto"/>
              </w:rPr>
            </w:pPr>
            <w:r>
              <w:rPr>
                <w:rFonts w:ascii="Calibri" w:cs="Calibri" w:eastAsia="Calibri" w:hAnsi="Calibri"/>
                <w:sz w:val="16"/>
                <w:szCs w:val="16"/>
                <w:b w:val="1"/>
                <w:bCs w:val="1"/>
                <w:color w:val="auto"/>
              </w:rPr>
              <w:t>Select operatng statstcs are as follows: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7"/>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gridSpan w:val="2"/>
            <w:vMerge w:val="restart"/>
          </w:tcPr>
          <w:p>
            <w:pPr>
              <w:jc w:val="center"/>
              <w:ind w:left="19"/>
              <w:spacing w:after="0"/>
              <w:rPr>
                <w:sz w:val="20"/>
                <w:szCs w:val="20"/>
                <w:color w:val="auto"/>
              </w:rPr>
            </w:pPr>
            <w:r>
              <w:rPr>
                <w:rFonts w:ascii="Calibri" w:cs="Calibri" w:eastAsia="Calibri" w:hAnsi="Calibri"/>
                <w:sz w:val="16"/>
                <w:szCs w:val="16"/>
                <w:color w:val="auto"/>
                <w:w w:val="86"/>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4"/>
          </w:tcPr>
          <w:p>
            <w:pPr>
              <w:jc w:val="center"/>
              <w:ind w:right="19"/>
              <w:spacing w:after="0"/>
              <w:rPr>
                <w:sz w:val="20"/>
                <w:szCs w:val="20"/>
                <w:color w:val="auto"/>
              </w:rPr>
            </w:pPr>
            <w:r>
              <w:rPr>
                <w:rFonts w:ascii="Calibri" w:cs="Calibri" w:eastAsia="Calibri" w:hAnsi="Calibri"/>
                <w:sz w:val="16"/>
                <w:szCs w:val="16"/>
                <w:color w:val="auto"/>
              </w:rPr>
              <w:t>Six Months Ended June</w:t>
            </w:r>
          </w:p>
        </w:tc>
        <w:tc>
          <w:tcPr>
            <w:tcW w:w="1100" w:type="dxa"/>
            <w:vAlign w:val="bottom"/>
            <w:gridSpan w:val="2"/>
            <w:vMerge w:val="restart"/>
          </w:tcPr>
          <w:p>
            <w:pPr>
              <w:jc w:val="center"/>
              <w:ind w:left="19"/>
              <w:spacing w:after="0"/>
              <w:rPr>
                <w:sz w:val="20"/>
                <w:szCs w:val="20"/>
                <w:color w:val="auto"/>
              </w:rPr>
            </w:pPr>
            <w:r>
              <w:rPr>
                <w:rFonts w:ascii="Calibri" w:cs="Calibri" w:eastAsia="Calibri" w:hAnsi="Calibri"/>
                <w:sz w:val="16"/>
                <w:szCs w:val="16"/>
                <w:color w:val="auto"/>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gridSpan w:val="5"/>
            <w:vMerge w:val="restart"/>
          </w:tcPr>
          <w:p>
            <w:pPr>
              <w:ind w:left="20"/>
              <w:spacing w:after="0" w:line="193" w:lineRule="exact"/>
              <w:rPr>
                <w:sz w:val="20"/>
                <w:szCs w:val="20"/>
                <w:color w:val="auto"/>
              </w:rPr>
            </w:pPr>
            <w:r>
              <w:rPr>
                <w:rFonts w:ascii="Calibri" w:cs="Calibri" w:eastAsia="Calibri" w:hAnsi="Calibri"/>
                <w:sz w:val="16"/>
                <w:szCs w:val="16"/>
                <w:color w:val="auto"/>
              </w:rPr>
              <w:t>Three Months Ended June 30,</w:t>
            </w:r>
          </w:p>
        </w:tc>
        <w:tc>
          <w:tcPr>
            <w:tcW w:w="14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vMerge w:val="restart"/>
          </w:tcPr>
          <w:p>
            <w:pPr>
              <w:jc w:val="right"/>
              <w:spacing w:after="0" w:line="193" w:lineRule="exact"/>
              <w:rPr>
                <w:sz w:val="20"/>
                <w:szCs w:val="20"/>
                <w:color w:val="auto"/>
              </w:rPr>
            </w:pPr>
            <w:r>
              <w:rPr>
                <w:rFonts w:ascii="Calibri" w:cs="Calibri" w:eastAsia="Calibri" w:hAnsi="Calibri"/>
                <w:sz w:val="16"/>
                <w:szCs w:val="16"/>
                <w:color w:val="auto"/>
              </w:rPr>
              <w:t>30,</w:t>
            </w:r>
          </w:p>
        </w:tc>
        <w:tc>
          <w:tcPr>
            <w:tcW w:w="7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jc w:val="center"/>
              <w:ind w:right="100"/>
              <w:spacing w:after="0" w:line="134" w:lineRule="exact"/>
              <w:rPr>
                <w:sz w:val="20"/>
                <w:szCs w:val="20"/>
                <w:color w:val="auto"/>
              </w:rPr>
            </w:pPr>
            <w:r>
              <w:rPr>
                <w:rFonts w:ascii="Calibri" w:cs="Calibri" w:eastAsia="Calibri" w:hAnsi="Calibri"/>
                <w:sz w:val="14"/>
                <w:szCs w:val="14"/>
                <w:color w:val="auto"/>
              </w:rPr>
              <w:t>Increase/</w:t>
            </w:r>
          </w:p>
        </w:tc>
        <w:tc>
          <w:tcPr>
            <w:tcW w:w="10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center"/>
              <w:spacing w:after="0" w:line="134" w:lineRule="exact"/>
              <w:rPr>
                <w:sz w:val="20"/>
                <w:szCs w:val="20"/>
                <w:color w:val="auto"/>
              </w:rPr>
            </w:pPr>
            <w:r>
              <w:rPr>
                <w:rFonts w:ascii="Calibri" w:cs="Calibri" w:eastAsia="Calibri" w:hAnsi="Calibri"/>
                <w:sz w:val="14"/>
                <w:szCs w:val="14"/>
                <w:color w:val="auto"/>
              </w:rPr>
              <w:t>Increase/</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19"/>
              <w:spacing w:after="0" w:line="187" w:lineRule="exact"/>
              <w:rPr>
                <w:sz w:val="20"/>
                <w:szCs w:val="20"/>
                <w:color w:val="auto"/>
              </w:rPr>
            </w:pPr>
            <w:r>
              <w:rPr>
                <w:rFonts w:ascii="Calibri" w:cs="Calibri" w:eastAsia="Calibri" w:hAnsi="Calibri"/>
                <w:sz w:val="16"/>
                <w:szCs w:val="16"/>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39"/>
              <w:spacing w:after="0" w:line="187" w:lineRule="exact"/>
              <w:rPr>
                <w:sz w:val="20"/>
                <w:szCs w:val="20"/>
                <w:color w:val="auto"/>
              </w:rPr>
            </w:pPr>
            <w:r>
              <w:rPr>
                <w:rFonts w:ascii="Calibri" w:cs="Calibri" w:eastAsia="Calibri" w:hAnsi="Calibri"/>
                <w:sz w:val="16"/>
                <w:szCs w:val="16"/>
                <w:color w:val="auto"/>
              </w:rPr>
              <w:t>2023</w:t>
            </w:r>
          </w:p>
        </w:tc>
        <w:tc>
          <w:tcPr>
            <w:tcW w:w="100" w:type="dxa"/>
            <w:vAlign w:val="bottom"/>
          </w:tcPr>
          <w:p>
            <w:pPr>
              <w:spacing w:after="0"/>
              <w:rPr>
                <w:sz w:val="16"/>
                <w:szCs w:val="16"/>
                <w:color w:val="auto"/>
              </w:rPr>
            </w:pPr>
          </w:p>
        </w:tc>
        <w:tc>
          <w:tcPr>
            <w:tcW w:w="1480" w:type="dxa"/>
            <w:vAlign w:val="bottom"/>
            <w:gridSpan w:val="2"/>
          </w:tcPr>
          <w:p>
            <w:pPr>
              <w:jc w:val="center"/>
              <w:ind w:right="100"/>
              <w:spacing w:after="0" w:line="182" w:lineRule="exact"/>
              <w:rPr>
                <w:sz w:val="20"/>
                <w:szCs w:val="20"/>
                <w:color w:val="auto"/>
              </w:rPr>
            </w:pPr>
            <w:r>
              <w:rPr>
                <w:rFonts w:ascii="Calibri" w:cs="Calibri" w:eastAsia="Calibri" w:hAnsi="Calibri"/>
                <w:sz w:val="16"/>
                <w:szCs w:val="16"/>
                <w:color w:val="auto"/>
              </w:rPr>
              <w:t>(Decrease)</w:t>
            </w:r>
          </w:p>
        </w:tc>
        <w:tc>
          <w:tcPr>
            <w:tcW w:w="100" w:type="dxa"/>
            <w:vAlign w:val="bottom"/>
          </w:tcPr>
          <w:p>
            <w:pPr>
              <w:spacing w:after="0"/>
              <w:rPr>
                <w:sz w:val="16"/>
                <w:szCs w:val="16"/>
                <w:color w:val="auto"/>
              </w:rPr>
            </w:pPr>
          </w:p>
        </w:tc>
        <w:tc>
          <w:tcPr>
            <w:tcW w:w="720" w:type="dxa"/>
            <w:vAlign w:val="bottom"/>
          </w:tcPr>
          <w:p>
            <w:pPr>
              <w:jc w:val="right"/>
              <w:ind w:right="159"/>
              <w:spacing w:after="0" w:line="187" w:lineRule="exact"/>
              <w:rPr>
                <w:sz w:val="20"/>
                <w:szCs w:val="20"/>
                <w:color w:val="auto"/>
              </w:rPr>
            </w:pPr>
            <w:r>
              <w:rPr>
                <w:rFonts w:ascii="Calibri" w:cs="Calibri" w:eastAsia="Calibri" w:hAnsi="Calibri"/>
                <w:sz w:val="16"/>
                <w:szCs w:val="16"/>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79"/>
              <w:spacing w:after="0" w:line="187" w:lineRule="exact"/>
              <w:rPr>
                <w:sz w:val="20"/>
                <w:szCs w:val="20"/>
                <w:color w:val="auto"/>
              </w:rPr>
            </w:pPr>
            <w:r>
              <w:rPr>
                <w:rFonts w:ascii="Calibri" w:cs="Calibri" w:eastAsia="Calibri" w:hAnsi="Calibri"/>
                <w:sz w:val="16"/>
                <w:szCs w:val="16"/>
                <w:color w:val="auto"/>
              </w:rPr>
              <w:t>2023</w:t>
            </w:r>
          </w:p>
        </w:tc>
        <w:tc>
          <w:tcPr>
            <w:tcW w:w="100" w:type="dxa"/>
            <w:vAlign w:val="bottom"/>
          </w:tcPr>
          <w:p>
            <w:pPr>
              <w:spacing w:after="0"/>
              <w:rPr>
                <w:sz w:val="16"/>
                <w:szCs w:val="16"/>
                <w:color w:val="auto"/>
              </w:rPr>
            </w:pPr>
          </w:p>
        </w:tc>
        <w:tc>
          <w:tcPr>
            <w:tcW w:w="1000" w:type="dxa"/>
            <w:vAlign w:val="bottom"/>
          </w:tcPr>
          <w:p>
            <w:pPr>
              <w:jc w:val="center"/>
              <w:spacing w:after="0" w:line="182" w:lineRule="exact"/>
              <w:rPr>
                <w:sz w:val="20"/>
                <w:szCs w:val="20"/>
                <w:color w:val="auto"/>
              </w:rPr>
            </w:pPr>
            <w:r>
              <w:rPr>
                <w:rFonts w:ascii="Calibri" w:cs="Calibri" w:eastAsia="Calibri" w:hAnsi="Calibri"/>
                <w:sz w:val="16"/>
                <w:szCs w:val="16"/>
                <w:color w:val="auto"/>
              </w:rPr>
              <w:t>(Decrease)</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240" w:type="dxa"/>
            <w:vAlign w:val="bottom"/>
            <w:tcBorders>
              <w:bottom w:val="single" w:sz="8" w:color="CCEEFF"/>
            </w:tcBorders>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Passengers (thousands) (a)</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rPr>
              <w:t>44,375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rPr>
              <w:t>41,945</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441"/>
              <w:spacing w:after="0" w:line="187" w:lineRule="exact"/>
              <w:rPr>
                <w:sz w:val="20"/>
                <w:szCs w:val="20"/>
                <w:color w:val="auto"/>
              </w:rPr>
            </w:pPr>
            <w:r>
              <w:rPr>
                <w:rFonts w:ascii="Calibri" w:cs="Calibri" w:eastAsia="Calibri" w:hAnsi="Calibri"/>
                <w:sz w:val="16"/>
                <w:szCs w:val="16"/>
                <w:color w:val="auto"/>
              </w:rPr>
              <w:t>5.8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79"/>
              <w:spacing w:after="0" w:line="187" w:lineRule="exact"/>
              <w:rPr>
                <w:sz w:val="20"/>
                <w:szCs w:val="20"/>
                <w:color w:val="auto"/>
              </w:rPr>
            </w:pPr>
            <w:r>
              <w:rPr>
                <w:rFonts w:ascii="Calibri" w:cs="Calibri" w:eastAsia="Calibri" w:hAnsi="Calibri"/>
                <w:sz w:val="16"/>
                <w:szCs w:val="16"/>
                <w:color w:val="auto"/>
              </w:rPr>
              <w:t>83,700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rPr>
              <w:t>78,767</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6.3</w:t>
            </w:r>
          </w:p>
        </w:tc>
        <w:tc>
          <w:tcPr>
            <w:tcW w:w="4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40" w:type="dxa"/>
            <w:vAlign w:val="bottom"/>
          </w:tcPr>
          <w:p>
            <w:pPr>
              <w:ind w:left="20"/>
              <w:spacing w:after="0" w:line="193" w:lineRule="exact"/>
              <w:rPr>
                <w:sz w:val="20"/>
                <w:szCs w:val="20"/>
                <w:color w:val="auto"/>
              </w:rPr>
            </w:pPr>
            <w:r>
              <w:rPr>
                <w:rFonts w:ascii="Calibri" w:cs="Calibri" w:eastAsia="Calibri" w:hAnsi="Calibri"/>
                <w:sz w:val="16"/>
                <w:szCs w:val="16"/>
                <w:color w:val="auto"/>
              </w:rPr>
              <w:t>RPMs (millions) (b)</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67,064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63,541</w:t>
            </w:r>
          </w:p>
        </w:tc>
        <w:tc>
          <w:tcPr>
            <w:tcW w:w="1480" w:type="dxa"/>
            <w:vAlign w:val="bottom"/>
            <w:gridSpan w:val="2"/>
          </w:tcPr>
          <w:p>
            <w:pPr>
              <w:jc w:val="right"/>
              <w:ind w:right="441"/>
              <w:spacing w:after="0" w:line="193" w:lineRule="exact"/>
              <w:rPr>
                <w:sz w:val="20"/>
                <w:szCs w:val="20"/>
                <w:color w:val="auto"/>
              </w:rPr>
            </w:pPr>
            <w:r>
              <w:rPr>
                <w:rFonts w:ascii="Calibri" w:cs="Calibri" w:eastAsia="Calibri" w:hAnsi="Calibri"/>
                <w:sz w:val="16"/>
                <w:szCs w:val="16"/>
                <w:color w:val="auto"/>
              </w:rPr>
              <w:t>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124,491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w w:val="98"/>
              </w:rPr>
              <w:t>116,073</w:t>
            </w:r>
          </w:p>
        </w:tc>
        <w:tc>
          <w:tcPr>
            <w:tcW w:w="11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7.3</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ASMs (millions) (c)</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79,678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73,538</w:t>
            </w:r>
          </w:p>
        </w:tc>
        <w:tc>
          <w:tcPr>
            <w:tcW w:w="1480" w:type="dxa"/>
            <w:vAlign w:val="bottom"/>
            <w:tcBorders>
              <w:bottom w:val="single" w:sz="8" w:color="CCEEFF"/>
            </w:tcBorders>
            <w:gridSpan w:val="2"/>
            <w:shd w:val="clear" w:color="auto" w:fill="CCEEFF"/>
          </w:tcPr>
          <w:p>
            <w:pPr>
              <w:jc w:val="right"/>
              <w:ind w:right="441"/>
              <w:spacing w:after="0" w:line="193" w:lineRule="exact"/>
              <w:rPr>
                <w:sz w:val="20"/>
                <w:szCs w:val="20"/>
                <w:color w:val="auto"/>
              </w:rPr>
            </w:pPr>
            <w:r>
              <w:rPr>
                <w:rFonts w:ascii="Calibri" w:cs="Calibri" w:eastAsia="Calibri" w:hAnsi="Calibri"/>
                <w:sz w:val="16"/>
                <w:szCs w:val="16"/>
                <w:color w:val="auto"/>
              </w:rPr>
              <w:t>8.3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151,346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w w:val="98"/>
              </w:rPr>
              <w:t>139,258</w:t>
            </w:r>
          </w:p>
        </w:tc>
        <w:tc>
          <w:tcPr>
            <w:tcW w:w="110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8.7</w:t>
            </w:r>
          </w:p>
        </w:tc>
        <w:tc>
          <w:tcPr>
            <w:tcW w:w="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40" w:type="dxa"/>
            <w:vAlign w:val="bottom"/>
          </w:tcPr>
          <w:p>
            <w:pPr>
              <w:ind w:left="20"/>
              <w:spacing w:after="0" w:line="193" w:lineRule="exact"/>
              <w:rPr>
                <w:sz w:val="20"/>
                <w:szCs w:val="20"/>
                <w:color w:val="auto"/>
              </w:rPr>
            </w:pPr>
            <w:r>
              <w:rPr>
                <w:rFonts w:ascii="Calibri" w:cs="Calibri" w:eastAsia="Calibri" w:hAnsi="Calibri"/>
                <w:sz w:val="16"/>
                <w:szCs w:val="16"/>
                <w:color w:val="auto"/>
              </w:rPr>
              <w:t>Passenger load factor: (d)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Consolidated</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84.2 %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86.4 %</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gridSpan w:val="2"/>
            <w:shd w:val="clear" w:color="auto" w:fill="CCEEFF"/>
          </w:tcPr>
          <w:p>
            <w:pPr>
              <w:ind w:left="600"/>
              <w:spacing w:after="0" w:line="193" w:lineRule="exact"/>
              <w:rPr>
                <w:sz w:val="20"/>
                <w:szCs w:val="20"/>
                <w:color w:val="auto"/>
              </w:rPr>
            </w:pPr>
            <w:r>
              <w:rPr>
                <w:rFonts w:ascii="Calibri" w:cs="Calibri" w:eastAsia="Calibri" w:hAnsi="Calibri"/>
                <w:sz w:val="16"/>
                <w:szCs w:val="16"/>
                <w:color w:val="auto"/>
              </w:rPr>
              <w:t>(2.2) pts.</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82.3 %</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83.4 %</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2"/>
            <w:shd w:val="clear" w:color="auto" w:fill="CCEEFF"/>
          </w:tcPr>
          <w:p>
            <w:pPr>
              <w:ind w:left="660"/>
              <w:spacing w:after="0" w:line="193" w:lineRule="exact"/>
              <w:rPr>
                <w:sz w:val="20"/>
                <w:szCs w:val="20"/>
                <w:color w:val="auto"/>
              </w:rPr>
            </w:pPr>
            <w:r>
              <w:rPr>
                <w:rFonts w:ascii="Calibri" w:cs="Calibri" w:eastAsia="Calibri" w:hAnsi="Calibri"/>
                <w:sz w:val="16"/>
                <w:szCs w:val="16"/>
                <w:color w:val="auto"/>
              </w:rPr>
              <w:t>(1.1) pts.</w:t>
            </w:r>
          </w:p>
        </w:tc>
        <w:tc>
          <w:tcPr>
            <w:tcW w:w="0" w:type="dxa"/>
            <w:vAlign w:val="bottom"/>
          </w:tcPr>
          <w:p>
            <w:pPr>
              <w:spacing w:after="0"/>
              <w:rPr>
                <w:sz w:val="1"/>
                <w:szCs w:val="1"/>
                <w:color w:val="auto"/>
              </w:rPr>
            </w:pPr>
          </w:p>
        </w:tc>
      </w:tr>
      <w:tr>
        <w:trPr>
          <w:trHeight w:val="194"/>
        </w:trPr>
        <w:tc>
          <w:tcPr>
            <w:tcW w:w="4240" w:type="dxa"/>
            <w:vAlign w:val="bottom"/>
          </w:tcPr>
          <w:p>
            <w:pPr>
              <w:ind w:left="140"/>
              <w:spacing w:after="0" w:line="193" w:lineRule="exact"/>
              <w:rPr>
                <w:sz w:val="20"/>
                <w:szCs w:val="20"/>
                <w:color w:val="auto"/>
              </w:rPr>
            </w:pPr>
            <w:r>
              <w:rPr>
                <w:rFonts w:ascii="Calibri" w:cs="Calibri" w:eastAsia="Calibri" w:hAnsi="Calibri"/>
                <w:sz w:val="16"/>
                <w:szCs w:val="16"/>
                <w:color w:val="auto"/>
              </w:rPr>
              <w:t>Domestc</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line="193" w:lineRule="exact"/>
              <w:rPr>
                <w:sz w:val="20"/>
                <w:szCs w:val="20"/>
                <w:color w:val="auto"/>
              </w:rPr>
            </w:pPr>
            <w:r>
              <w:rPr>
                <w:rFonts w:ascii="Calibri" w:cs="Calibri" w:eastAsia="Calibri" w:hAnsi="Calibri"/>
                <w:sz w:val="16"/>
                <w:szCs w:val="16"/>
                <w:color w:val="auto"/>
              </w:rPr>
              <w:t>86.4 %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93" w:lineRule="exact"/>
              <w:rPr>
                <w:sz w:val="20"/>
                <w:szCs w:val="20"/>
                <w:color w:val="auto"/>
              </w:rPr>
            </w:pPr>
            <w:r>
              <w:rPr>
                <w:rFonts w:ascii="Calibri" w:cs="Calibri" w:eastAsia="Calibri" w:hAnsi="Calibri"/>
                <w:sz w:val="16"/>
                <w:szCs w:val="16"/>
                <w:color w:val="auto"/>
              </w:rPr>
              <w:t>87.0 %</w:t>
            </w:r>
          </w:p>
        </w:tc>
        <w:tc>
          <w:tcPr>
            <w:tcW w:w="100" w:type="dxa"/>
            <w:vAlign w:val="bottom"/>
          </w:tcPr>
          <w:p>
            <w:pPr>
              <w:spacing w:after="0"/>
              <w:rPr>
                <w:sz w:val="16"/>
                <w:szCs w:val="16"/>
                <w:color w:val="auto"/>
              </w:rPr>
            </w:pPr>
          </w:p>
        </w:tc>
        <w:tc>
          <w:tcPr>
            <w:tcW w:w="1480" w:type="dxa"/>
            <w:vAlign w:val="bottom"/>
            <w:gridSpan w:val="2"/>
          </w:tcPr>
          <w:p>
            <w:pPr>
              <w:ind w:left="600"/>
              <w:spacing w:after="0" w:line="193" w:lineRule="exact"/>
              <w:rPr>
                <w:sz w:val="20"/>
                <w:szCs w:val="20"/>
                <w:color w:val="auto"/>
              </w:rPr>
            </w:pPr>
            <w:r>
              <w:rPr>
                <w:rFonts w:ascii="Calibri" w:cs="Calibri" w:eastAsia="Calibri" w:hAnsi="Calibri"/>
                <w:sz w:val="16"/>
                <w:szCs w:val="16"/>
                <w:color w:val="auto"/>
              </w:rPr>
              <w:t>(0.6) pts.</w:t>
            </w:r>
          </w:p>
        </w:tc>
        <w:tc>
          <w:tcPr>
            <w:tcW w:w="100" w:type="dxa"/>
            <w:vAlign w:val="bottom"/>
          </w:tcPr>
          <w:p>
            <w:pPr>
              <w:spacing w:after="0"/>
              <w:rPr>
                <w:sz w:val="16"/>
                <w:szCs w:val="16"/>
                <w:color w:val="auto"/>
              </w:rPr>
            </w:pPr>
          </w:p>
        </w:tc>
        <w:tc>
          <w:tcPr>
            <w:tcW w:w="720" w:type="dxa"/>
            <w:vAlign w:val="bottom"/>
          </w:tcPr>
          <w:p>
            <w:pPr>
              <w:jc w:val="right"/>
              <w:spacing w:after="0" w:line="193" w:lineRule="exact"/>
              <w:rPr>
                <w:sz w:val="20"/>
                <w:szCs w:val="20"/>
                <w:color w:val="auto"/>
              </w:rPr>
            </w:pPr>
            <w:r>
              <w:rPr>
                <w:rFonts w:ascii="Calibri" w:cs="Calibri" w:eastAsia="Calibri" w:hAnsi="Calibri"/>
                <w:sz w:val="16"/>
                <w:szCs w:val="16"/>
                <w:color w:val="auto"/>
              </w:rPr>
              <w:t>85.1 %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line="193" w:lineRule="exact"/>
              <w:rPr>
                <w:sz w:val="20"/>
                <w:szCs w:val="20"/>
                <w:color w:val="auto"/>
              </w:rPr>
            </w:pPr>
            <w:r>
              <w:rPr>
                <w:rFonts w:ascii="Calibri" w:cs="Calibri" w:eastAsia="Calibri" w:hAnsi="Calibri"/>
                <w:sz w:val="16"/>
                <w:szCs w:val="16"/>
                <w:color w:val="auto"/>
              </w:rPr>
              <w:t>84.1 %</w:t>
            </w:r>
          </w:p>
        </w:tc>
        <w:tc>
          <w:tcPr>
            <w:tcW w:w="11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1.0</w:t>
            </w:r>
          </w:p>
        </w:tc>
        <w:tc>
          <w:tcPr>
            <w:tcW w:w="440" w:type="dxa"/>
            <w:vAlign w:val="bottom"/>
          </w:tcPr>
          <w:p>
            <w:pPr>
              <w:ind w:left="20"/>
              <w:spacing w:after="0" w:line="193" w:lineRule="exact"/>
              <w:rPr>
                <w:sz w:val="20"/>
                <w:szCs w:val="20"/>
                <w:color w:val="auto"/>
              </w:rPr>
            </w:pPr>
            <w:r>
              <w:rPr>
                <w:rFonts w:ascii="Calibri" w:cs="Calibri" w:eastAsia="Calibri" w:hAnsi="Calibri"/>
                <w:sz w:val="16"/>
                <w:szCs w:val="16"/>
                <w:color w:val="auto"/>
              </w:rPr>
              <w:t>pt.</w:t>
            </w:r>
          </w:p>
        </w:tc>
        <w:tc>
          <w:tcPr>
            <w:tcW w:w="0" w:type="dxa"/>
            <w:vAlign w:val="bottom"/>
          </w:tcPr>
          <w:p>
            <w:pPr>
              <w:spacing w:after="0"/>
              <w:rPr>
                <w:sz w:val="1"/>
                <w:szCs w:val="1"/>
                <w:color w:val="auto"/>
              </w:rPr>
            </w:pPr>
          </w:p>
        </w:tc>
      </w:tr>
      <w:tr>
        <w:trPr>
          <w:trHeight w:val="23"/>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Internatonal</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81.6 %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85.6 %</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gridSpan w:val="2"/>
            <w:shd w:val="clear" w:color="auto" w:fill="CCEEFF"/>
          </w:tcPr>
          <w:p>
            <w:pPr>
              <w:ind w:left="600"/>
              <w:spacing w:after="0" w:line="193" w:lineRule="exact"/>
              <w:rPr>
                <w:sz w:val="20"/>
                <w:szCs w:val="20"/>
                <w:color w:val="auto"/>
              </w:rPr>
            </w:pPr>
            <w:r>
              <w:rPr>
                <w:rFonts w:ascii="Calibri" w:cs="Calibri" w:eastAsia="Calibri" w:hAnsi="Calibri"/>
                <w:sz w:val="16"/>
                <w:szCs w:val="16"/>
                <w:color w:val="auto"/>
              </w:rPr>
              <w:t>(4.0) pts.</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79.0 %</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82.4 %</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gridSpan w:val="2"/>
            <w:shd w:val="clear" w:color="auto" w:fill="CCEEFF"/>
          </w:tcPr>
          <w:p>
            <w:pPr>
              <w:ind w:left="660"/>
              <w:spacing w:after="0" w:line="193" w:lineRule="exact"/>
              <w:rPr>
                <w:sz w:val="20"/>
                <w:szCs w:val="20"/>
                <w:color w:val="auto"/>
              </w:rPr>
            </w:pPr>
            <w:r>
              <w:rPr>
                <w:rFonts w:ascii="Calibri" w:cs="Calibri" w:eastAsia="Calibri" w:hAnsi="Calibri"/>
                <w:sz w:val="16"/>
                <w:szCs w:val="16"/>
                <w:color w:val="auto"/>
              </w:rPr>
              <w:t>(3.4) pts.</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line="193" w:lineRule="exact"/>
              <w:rPr>
                <w:sz w:val="20"/>
                <w:szCs w:val="20"/>
                <w:color w:val="auto"/>
              </w:rPr>
            </w:pPr>
            <w:r>
              <w:rPr>
                <w:rFonts w:ascii="Calibri" w:cs="Calibri" w:eastAsia="Calibri" w:hAnsi="Calibri"/>
                <w:sz w:val="16"/>
                <w:szCs w:val="16"/>
                <w:color w:val="auto"/>
              </w:rPr>
              <w:t>PRASM (cents)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17.17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17.68</w:t>
            </w:r>
          </w:p>
        </w:tc>
        <w:tc>
          <w:tcPr>
            <w:tcW w:w="1480" w:type="dxa"/>
            <w:vAlign w:val="bottom"/>
            <w:gridSpan w:val="2"/>
          </w:tcPr>
          <w:p>
            <w:pPr>
              <w:ind w:left="700"/>
              <w:spacing w:after="0" w:line="193" w:lineRule="exact"/>
              <w:rPr>
                <w:sz w:val="20"/>
                <w:szCs w:val="20"/>
                <w:color w:val="auto"/>
              </w:rPr>
            </w:pPr>
            <w:r>
              <w:rPr>
                <w:rFonts w:ascii="Calibri" w:cs="Calibri" w:eastAsia="Calibri" w:hAnsi="Calibri"/>
                <w:sz w:val="16"/>
                <w:szCs w:val="16"/>
                <w:color w:val="auto"/>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16.51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16.71</w:t>
            </w:r>
          </w:p>
        </w:tc>
        <w:tc>
          <w:tcPr>
            <w:tcW w:w="1100" w:type="dxa"/>
            <w:vAlign w:val="bottom"/>
            <w:gridSpan w:val="2"/>
          </w:tcPr>
          <w:p>
            <w:pPr>
              <w:ind w:left="760"/>
              <w:spacing w:after="0" w:line="193" w:lineRule="exact"/>
              <w:rPr>
                <w:sz w:val="20"/>
                <w:szCs w:val="20"/>
                <w:color w:val="auto"/>
              </w:rPr>
            </w:pPr>
            <w:r>
              <w:rPr>
                <w:rFonts w:ascii="Calibri" w:cs="Calibri" w:eastAsia="Calibri" w:hAnsi="Calibri"/>
                <w:sz w:val="16"/>
                <w:szCs w:val="16"/>
                <w:color w:val="auto"/>
              </w:rPr>
              <w:t>(1.2)</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Total revenue per available seat mile ("TRASM") (cents)</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18.81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19.28</w:t>
            </w:r>
          </w:p>
        </w:tc>
        <w:tc>
          <w:tcPr>
            <w:tcW w:w="1480" w:type="dxa"/>
            <w:vAlign w:val="bottom"/>
            <w:tcBorders>
              <w:bottom w:val="single" w:sz="8" w:color="CCEEFF"/>
            </w:tcBorders>
            <w:gridSpan w:val="2"/>
            <w:shd w:val="clear" w:color="auto" w:fill="CCEEFF"/>
          </w:tcPr>
          <w:p>
            <w:pPr>
              <w:ind w:left="700"/>
              <w:spacing w:after="0" w:line="193" w:lineRule="exact"/>
              <w:rPr>
                <w:sz w:val="20"/>
                <w:szCs w:val="20"/>
                <w:color w:val="auto"/>
              </w:rPr>
            </w:pPr>
            <w:r>
              <w:rPr>
                <w:rFonts w:ascii="Calibri" w:cs="Calibri" w:eastAsia="Calibri" w:hAnsi="Calibri"/>
                <w:sz w:val="16"/>
                <w:szCs w:val="16"/>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18.19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18.39</w:t>
            </w:r>
          </w:p>
        </w:tc>
        <w:tc>
          <w:tcPr>
            <w:tcW w:w="1100" w:type="dxa"/>
            <w:vAlign w:val="bottom"/>
            <w:tcBorders>
              <w:bottom w:val="single" w:sz="8" w:color="CCEEFF"/>
            </w:tcBorders>
            <w:gridSpan w:val="2"/>
            <w:shd w:val="clear" w:color="auto" w:fill="CCEEFF"/>
          </w:tcPr>
          <w:p>
            <w:pPr>
              <w:ind w:left="760"/>
              <w:spacing w:after="0" w:line="193" w:lineRule="exact"/>
              <w:rPr>
                <w:sz w:val="20"/>
                <w:szCs w:val="20"/>
                <w:color w:val="auto"/>
              </w:rPr>
            </w:pPr>
            <w:r>
              <w:rPr>
                <w:rFonts w:ascii="Calibri" w:cs="Calibri" w:eastAsia="Calibri" w:hAnsi="Calibri"/>
                <w:sz w:val="16"/>
                <w:szCs w:val="16"/>
                <w:color w:val="auto"/>
              </w:rPr>
              <w:t>(1.1)</w:t>
            </w:r>
          </w:p>
        </w:tc>
        <w:tc>
          <w:tcPr>
            <w:tcW w:w="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40" w:type="dxa"/>
            <w:vAlign w:val="bottom"/>
          </w:tcPr>
          <w:p>
            <w:pPr>
              <w:ind w:left="20"/>
              <w:spacing w:after="0" w:line="193" w:lineRule="exact"/>
              <w:rPr>
                <w:sz w:val="20"/>
                <w:szCs w:val="20"/>
                <w:color w:val="auto"/>
              </w:rPr>
            </w:pPr>
            <w:r>
              <w:rPr>
                <w:rFonts w:ascii="Calibri" w:cs="Calibri" w:eastAsia="Calibri" w:hAnsi="Calibri"/>
                <w:sz w:val="16"/>
                <w:szCs w:val="16"/>
                <w:color w:val="auto"/>
              </w:rPr>
              <w:t>Average yield per RPM (cents) (e)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20.40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20.46</w:t>
            </w:r>
          </w:p>
        </w:tc>
        <w:tc>
          <w:tcPr>
            <w:tcW w:w="1480" w:type="dxa"/>
            <w:vAlign w:val="bottom"/>
            <w:gridSpan w:val="2"/>
          </w:tcPr>
          <w:p>
            <w:pPr>
              <w:ind w:left="700"/>
              <w:spacing w:after="0" w:line="193" w:lineRule="exact"/>
              <w:rPr>
                <w:sz w:val="20"/>
                <w:szCs w:val="20"/>
                <w:color w:val="auto"/>
              </w:rPr>
            </w:pPr>
            <w:r>
              <w:rPr>
                <w:rFonts w:ascii="Calibri" w:cs="Calibri" w:eastAsia="Calibri" w:hAnsi="Calibri"/>
                <w:sz w:val="16"/>
                <w:szCs w:val="16"/>
                <w:color w:val="auto"/>
              </w:rPr>
              <w:t>(0.3)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20.08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20.05</w:t>
            </w:r>
          </w:p>
        </w:tc>
        <w:tc>
          <w:tcPr>
            <w:tcW w:w="11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0.1</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Cargo revenue ton miles (millions) (f)</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890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768</w:t>
            </w:r>
          </w:p>
        </w:tc>
        <w:tc>
          <w:tcPr>
            <w:tcW w:w="1480" w:type="dxa"/>
            <w:vAlign w:val="bottom"/>
            <w:tcBorders>
              <w:bottom w:val="single" w:sz="8" w:color="CCEEFF"/>
            </w:tcBorders>
            <w:gridSpan w:val="2"/>
            <w:shd w:val="clear" w:color="auto" w:fill="CCEEFF"/>
          </w:tcPr>
          <w:p>
            <w:pPr>
              <w:jc w:val="right"/>
              <w:ind w:right="441"/>
              <w:spacing w:after="0" w:line="193" w:lineRule="exact"/>
              <w:rPr>
                <w:sz w:val="20"/>
                <w:szCs w:val="20"/>
                <w:color w:val="auto"/>
              </w:rPr>
            </w:pPr>
            <w:r>
              <w:rPr>
                <w:rFonts w:ascii="Calibri" w:cs="Calibri" w:eastAsia="Calibri" w:hAnsi="Calibri"/>
                <w:sz w:val="16"/>
                <w:szCs w:val="16"/>
                <w:color w:val="auto"/>
              </w:rPr>
              <w:t>15.9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1,742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1,499</w:t>
            </w:r>
          </w:p>
        </w:tc>
        <w:tc>
          <w:tcPr>
            <w:tcW w:w="110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16.2</w:t>
            </w:r>
          </w:p>
        </w:tc>
        <w:tc>
          <w:tcPr>
            <w:tcW w:w="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line="193" w:lineRule="exact"/>
              <w:rPr>
                <w:sz w:val="20"/>
                <w:szCs w:val="20"/>
                <w:color w:val="auto"/>
              </w:rPr>
            </w:pPr>
            <w:r>
              <w:rPr>
                <w:rFonts w:ascii="Calibri" w:cs="Calibri" w:eastAsia="Calibri" w:hAnsi="Calibri"/>
                <w:sz w:val="16"/>
                <w:szCs w:val="16"/>
                <w:color w:val="auto"/>
              </w:rPr>
              <w:t>Aircraf in feet at end of period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1,369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1,325</w:t>
            </w:r>
          </w:p>
        </w:tc>
        <w:tc>
          <w:tcPr>
            <w:tcW w:w="1480" w:type="dxa"/>
            <w:vAlign w:val="bottom"/>
            <w:gridSpan w:val="2"/>
          </w:tcPr>
          <w:p>
            <w:pPr>
              <w:jc w:val="right"/>
              <w:ind w:right="441"/>
              <w:spacing w:after="0" w:line="193" w:lineRule="exact"/>
              <w:rPr>
                <w:sz w:val="20"/>
                <w:szCs w:val="20"/>
                <w:color w:val="auto"/>
              </w:rPr>
            </w:pPr>
            <w:r>
              <w:rPr>
                <w:rFonts w:ascii="Calibri" w:cs="Calibri" w:eastAsia="Calibri" w:hAnsi="Calibri"/>
                <w:sz w:val="16"/>
                <w:szCs w:val="16"/>
                <w:color w:val="auto"/>
              </w:rPr>
              <w:t>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1,369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1,325</w:t>
            </w:r>
          </w:p>
        </w:tc>
        <w:tc>
          <w:tcPr>
            <w:tcW w:w="11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3.3</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Average stage length (miles) (g)</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1,517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1,497</w:t>
            </w:r>
          </w:p>
        </w:tc>
        <w:tc>
          <w:tcPr>
            <w:tcW w:w="1480" w:type="dxa"/>
            <w:vAlign w:val="bottom"/>
            <w:tcBorders>
              <w:bottom w:val="single" w:sz="8" w:color="CCEEFF"/>
            </w:tcBorders>
            <w:gridSpan w:val="2"/>
            <w:shd w:val="clear" w:color="auto" w:fill="CCEEFF"/>
          </w:tcPr>
          <w:p>
            <w:pPr>
              <w:jc w:val="right"/>
              <w:ind w:right="441"/>
              <w:spacing w:after="0" w:line="193" w:lineRule="exact"/>
              <w:rPr>
                <w:sz w:val="20"/>
                <w:szCs w:val="20"/>
                <w:color w:val="auto"/>
              </w:rPr>
            </w:pPr>
            <w:r>
              <w:rPr>
                <w:rFonts w:ascii="Calibri" w:cs="Calibri" w:eastAsia="Calibri" w:hAnsi="Calibri"/>
                <w:sz w:val="16"/>
                <w:szCs w:val="16"/>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1,500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1,465</w:t>
            </w:r>
          </w:p>
        </w:tc>
        <w:tc>
          <w:tcPr>
            <w:tcW w:w="110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2.4</w:t>
            </w:r>
          </w:p>
        </w:tc>
        <w:tc>
          <w:tcPr>
            <w:tcW w:w="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line="193" w:lineRule="exact"/>
              <w:rPr>
                <w:sz w:val="20"/>
                <w:szCs w:val="20"/>
                <w:color w:val="auto"/>
              </w:rPr>
            </w:pPr>
            <w:r>
              <w:rPr>
                <w:rFonts w:ascii="Calibri" w:cs="Calibri" w:eastAsia="Calibri" w:hAnsi="Calibri"/>
                <w:sz w:val="16"/>
                <w:szCs w:val="16"/>
                <w:color w:val="auto"/>
              </w:rPr>
              <w:t>Employee headcount, as of June 30 (in thousands)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106.0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99.8</w:t>
            </w:r>
          </w:p>
        </w:tc>
        <w:tc>
          <w:tcPr>
            <w:tcW w:w="1480" w:type="dxa"/>
            <w:vAlign w:val="bottom"/>
            <w:gridSpan w:val="2"/>
          </w:tcPr>
          <w:p>
            <w:pPr>
              <w:jc w:val="right"/>
              <w:ind w:right="441"/>
              <w:spacing w:after="0" w:line="193" w:lineRule="exact"/>
              <w:rPr>
                <w:sz w:val="20"/>
                <w:szCs w:val="20"/>
                <w:color w:val="auto"/>
              </w:rPr>
            </w:pPr>
            <w:r>
              <w:rPr>
                <w:rFonts w:ascii="Calibri" w:cs="Calibri" w:eastAsia="Calibri" w:hAnsi="Calibri"/>
                <w:sz w:val="16"/>
                <w:szCs w:val="16"/>
                <w:color w:val="auto"/>
              </w:rPr>
              <w:t>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106.0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99.8</w:t>
            </w:r>
          </w:p>
        </w:tc>
        <w:tc>
          <w:tcPr>
            <w:tcW w:w="11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6.2</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Cost per ASM ("CASM") (cents)</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16.39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17.22</w:t>
            </w:r>
          </w:p>
        </w:tc>
        <w:tc>
          <w:tcPr>
            <w:tcW w:w="1480" w:type="dxa"/>
            <w:vAlign w:val="bottom"/>
            <w:tcBorders>
              <w:bottom w:val="single" w:sz="8" w:color="CCEEFF"/>
            </w:tcBorders>
            <w:gridSpan w:val="2"/>
            <w:shd w:val="clear" w:color="auto" w:fill="CCEEFF"/>
          </w:tcPr>
          <w:p>
            <w:pPr>
              <w:ind w:left="700"/>
              <w:spacing w:after="0" w:line="193" w:lineRule="exact"/>
              <w:rPr>
                <w:sz w:val="20"/>
                <w:szCs w:val="20"/>
                <w:color w:val="auto"/>
              </w:rPr>
            </w:pPr>
            <w:r>
              <w:rPr>
                <w:rFonts w:ascii="Calibri" w:cs="Calibri" w:eastAsia="Calibri" w:hAnsi="Calibri"/>
                <w:sz w:val="16"/>
                <w:szCs w:val="16"/>
                <w:color w:val="auto"/>
              </w:rPr>
              <w:t>(4.8)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16.85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17.33</w:t>
            </w:r>
          </w:p>
        </w:tc>
        <w:tc>
          <w:tcPr>
            <w:tcW w:w="1100" w:type="dxa"/>
            <w:vAlign w:val="bottom"/>
            <w:tcBorders>
              <w:bottom w:val="single" w:sz="8" w:color="CCEEFF"/>
            </w:tcBorders>
            <w:gridSpan w:val="2"/>
            <w:shd w:val="clear" w:color="auto" w:fill="CCEEFF"/>
          </w:tcPr>
          <w:p>
            <w:pPr>
              <w:ind w:left="760"/>
              <w:spacing w:after="0" w:line="193" w:lineRule="exact"/>
              <w:rPr>
                <w:sz w:val="20"/>
                <w:szCs w:val="20"/>
                <w:color w:val="auto"/>
              </w:rPr>
            </w:pPr>
            <w:r>
              <w:rPr>
                <w:rFonts w:ascii="Calibri" w:cs="Calibri" w:eastAsia="Calibri" w:hAnsi="Calibri"/>
                <w:sz w:val="16"/>
                <w:szCs w:val="16"/>
                <w:color w:val="auto"/>
              </w:rPr>
              <w:t>(2.8)</w:t>
            </w:r>
          </w:p>
        </w:tc>
        <w:tc>
          <w:tcPr>
            <w:tcW w:w="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40" w:type="dxa"/>
            <w:vAlign w:val="bottom"/>
          </w:tcPr>
          <w:p>
            <w:pPr>
              <w:ind w:left="20"/>
              <w:spacing w:after="0" w:line="193" w:lineRule="exact"/>
              <w:rPr>
                <w:sz w:val="20"/>
                <w:szCs w:val="20"/>
                <w:color w:val="auto"/>
              </w:rPr>
            </w:pPr>
            <w:r>
              <w:rPr>
                <w:rFonts w:ascii="Calibri" w:cs="Calibri" w:eastAsia="Calibri" w:hAnsi="Calibri"/>
                <w:sz w:val="16"/>
                <w:szCs w:val="16"/>
                <w:color w:val="auto"/>
              </w:rPr>
              <w:t>CASM-ex (cents) (h)</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12.10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11.85</w:t>
            </w:r>
          </w:p>
        </w:tc>
        <w:tc>
          <w:tcPr>
            <w:tcW w:w="1480" w:type="dxa"/>
            <w:vAlign w:val="bottom"/>
            <w:gridSpan w:val="2"/>
          </w:tcPr>
          <w:p>
            <w:pPr>
              <w:jc w:val="right"/>
              <w:ind w:right="441"/>
              <w:spacing w:after="0" w:line="193" w:lineRule="exact"/>
              <w:rPr>
                <w:sz w:val="20"/>
                <w:szCs w:val="20"/>
                <w:color w:val="auto"/>
              </w:rPr>
            </w:pPr>
            <w:r>
              <w:rPr>
                <w:rFonts w:ascii="Calibri" w:cs="Calibri" w:eastAsia="Calibri" w:hAnsi="Calibri"/>
                <w:sz w:val="16"/>
                <w:szCs w:val="16"/>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12.59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12.18</w:t>
            </w:r>
          </w:p>
        </w:tc>
        <w:tc>
          <w:tcPr>
            <w:tcW w:w="11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3.4</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Average aircraf fuel price per gallon</w:t>
            </w:r>
          </w:p>
        </w:tc>
        <w:tc>
          <w:tcPr>
            <w:tcW w:w="320" w:type="dxa"/>
            <w:vAlign w:val="bottom"/>
            <w:tcBorders>
              <w:bottom w:val="single" w:sz="8" w:color="CCEEFF"/>
            </w:tcBorders>
            <w:gridSpan w:val="2"/>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w:t>
            </w:r>
          </w:p>
        </w:tc>
        <w:tc>
          <w:tcPr>
            <w:tcW w:w="74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2.76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74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2.66</w:t>
            </w:r>
          </w:p>
        </w:tc>
        <w:tc>
          <w:tcPr>
            <w:tcW w:w="1480" w:type="dxa"/>
            <w:vAlign w:val="bottom"/>
            <w:tcBorders>
              <w:bottom w:val="single" w:sz="8" w:color="CCEEFF"/>
            </w:tcBorders>
            <w:gridSpan w:val="2"/>
            <w:shd w:val="clear" w:color="auto" w:fill="CCEEFF"/>
          </w:tcPr>
          <w:p>
            <w:pPr>
              <w:jc w:val="right"/>
              <w:ind w:right="441"/>
              <w:spacing w:after="0" w:line="193" w:lineRule="exact"/>
              <w:rPr>
                <w:sz w:val="20"/>
                <w:szCs w:val="20"/>
                <w:color w:val="auto"/>
              </w:rPr>
            </w:pPr>
            <w:r>
              <w:rPr>
                <w:rFonts w:ascii="Calibri" w:cs="Calibri" w:eastAsia="Calibri" w:hAnsi="Calibri"/>
                <w:sz w:val="16"/>
                <w:szCs w:val="16"/>
                <w:color w:val="auto"/>
              </w:rPr>
              <w:t>3.8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72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2.82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7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2.98</w:t>
            </w:r>
          </w:p>
        </w:tc>
        <w:tc>
          <w:tcPr>
            <w:tcW w:w="1100" w:type="dxa"/>
            <w:vAlign w:val="bottom"/>
            <w:tcBorders>
              <w:bottom w:val="single" w:sz="8" w:color="CCEEFF"/>
            </w:tcBorders>
            <w:gridSpan w:val="2"/>
            <w:shd w:val="clear" w:color="auto" w:fill="CCEEFF"/>
          </w:tcPr>
          <w:p>
            <w:pPr>
              <w:ind w:left="760"/>
              <w:spacing w:after="0" w:line="193" w:lineRule="exact"/>
              <w:rPr>
                <w:sz w:val="20"/>
                <w:szCs w:val="20"/>
                <w:color w:val="auto"/>
              </w:rPr>
            </w:pPr>
            <w:r>
              <w:rPr>
                <w:rFonts w:ascii="Calibri" w:cs="Calibri" w:eastAsia="Calibri" w:hAnsi="Calibri"/>
                <w:sz w:val="16"/>
                <w:szCs w:val="16"/>
                <w:color w:val="auto"/>
              </w:rPr>
              <w:t>(5.4)</w:t>
            </w:r>
          </w:p>
        </w:tc>
        <w:tc>
          <w:tcPr>
            <w:tcW w:w="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40" w:type="dxa"/>
            <w:vAlign w:val="bottom"/>
          </w:tcPr>
          <w:p>
            <w:pPr>
              <w:ind w:left="20"/>
              <w:spacing w:after="0" w:line="193" w:lineRule="exact"/>
              <w:rPr>
                <w:sz w:val="20"/>
                <w:szCs w:val="20"/>
                <w:color w:val="auto"/>
              </w:rPr>
            </w:pPr>
            <w:r>
              <w:rPr>
                <w:rFonts w:ascii="Calibri" w:cs="Calibri" w:eastAsia="Calibri" w:hAnsi="Calibri"/>
                <w:sz w:val="16"/>
                <w:szCs w:val="16"/>
                <w:color w:val="auto"/>
              </w:rPr>
              <w:t>Fuel gallons consumed (millions)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1,134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1,062</w:t>
            </w:r>
          </w:p>
        </w:tc>
        <w:tc>
          <w:tcPr>
            <w:tcW w:w="1480" w:type="dxa"/>
            <w:vAlign w:val="bottom"/>
            <w:gridSpan w:val="2"/>
          </w:tcPr>
          <w:p>
            <w:pPr>
              <w:jc w:val="right"/>
              <w:ind w:right="441"/>
              <w:spacing w:after="0" w:line="193" w:lineRule="exact"/>
              <w:rPr>
                <w:sz w:val="20"/>
                <w:szCs w:val="20"/>
                <w:color w:val="auto"/>
              </w:rPr>
            </w:pPr>
            <w:r>
              <w:rPr>
                <w:rFonts w:ascii="Calibri" w:cs="Calibri" w:eastAsia="Calibri" w:hAnsi="Calibri"/>
                <w:sz w:val="16"/>
                <w:szCs w:val="16"/>
                <w:color w:val="auto"/>
              </w:rPr>
              <w:t>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2,159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2,014</w:t>
            </w:r>
          </w:p>
        </w:tc>
        <w:tc>
          <w:tcPr>
            <w:tcW w:w="11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7.2</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20" w:hanging="212"/>
        <w:spacing w:after="0"/>
        <w:tabs>
          <w:tab w:leader="none" w:pos="220" w:val="left"/>
        </w:tabs>
        <w:numPr>
          <w:ilvl w:val="0"/>
          <w:numId w:val="18"/>
        </w:numPr>
        <w:rPr>
          <w:rFonts w:ascii="Calibri" w:cs="Calibri" w:eastAsia="Calibri" w:hAnsi="Calibri"/>
          <w:sz w:val="16"/>
          <w:szCs w:val="16"/>
          <w:color w:val="auto"/>
        </w:rPr>
      </w:pPr>
      <w:r>
        <w:rPr>
          <w:rFonts w:ascii="Calibri" w:cs="Calibri" w:eastAsia="Calibri" w:hAnsi="Calibri"/>
          <w:sz w:val="16"/>
          <w:szCs w:val="16"/>
          <w:color w:val="auto"/>
        </w:rPr>
        <w:t>The number of revenue passengers measured by each fight segment fown.</w:t>
      </w:r>
    </w:p>
    <w:p>
      <w:pPr>
        <w:spacing w:after="0" w:line="7" w:lineRule="exact"/>
        <w:rPr>
          <w:rFonts w:ascii="Calibri" w:cs="Calibri" w:eastAsia="Calibri" w:hAnsi="Calibri"/>
          <w:sz w:val="16"/>
          <w:szCs w:val="16"/>
          <w:color w:val="auto"/>
        </w:rPr>
      </w:pPr>
    </w:p>
    <w:p>
      <w:pPr>
        <w:ind w:left="220" w:hanging="212"/>
        <w:spacing w:after="0"/>
        <w:tabs>
          <w:tab w:leader="none" w:pos="220" w:val="left"/>
        </w:tabs>
        <w:numPr>
          <w:ilvl w:val="0"/>
          <w:numId w:val="18"/>
        </w:numPr>
        <w:rPr>
          <w:rFonts w:ascii="Calibri" w:cs="Calibri" w:eastAsia="Calibri" w:hAnsi="Calibri"/>
          <w:sz w:val="16"/>
          <w:szCs w:val="16"/>
          <w:color w:val="auto"/>
        </w:rPr>
      </w:pPr>
      <w:r>
        <w:rPr>
          <w:rFonts w:ascii="Calibri" w:cs="Calibri" w:eastAsia="Calibri" w:hAnsi="Calibri"/>
          <w:sz w:val="16"/>
          <w:szCs w:val="16"/>
          <w:color w:val="auto"/>
        </w:rPr>
        <w:t>The number of scheduled miles fown by revenue passengers.</w:t>
      </w:r>
    </w:p>
    <w:p>
      <w:pPr>
        <w:ind w:left="220" w:hanging="212"/>
        <w:spacing w:after="0" w:line="232" w:lineRule="auto"/>
        <w:tabs>
          <w:tab w:leader="none" w:pos="220" w:val="left"/>
        </w:tabs>
        <w:numPr>
          <w:ilvl w:val="0"/>
          <w:numId w:val="18"/>
        </w:numPr>
        <w:rPr>
          <w:rFonts w:ascii="Calibri" w:cs="Calibri" w:eastAsia="Calibri" w:hAnsi="Calibri"/>
          <w:sz w:val="16"/>
          <w:szCs w:val="16"/>
          <w:color w:val="auto"/>
        </w:rPr>
      </w:pPr>
      <w:r>
        <w:rPr>
          <w:rFonts w:ascii="Calibri" w:cs="Calibri" w:eastAsia="Calibri" w:hAnsi="Calibri"/>
          <w:sz w:val="16"/>
          <w:szCs w:val="16"/>
          <w:color w:val="auto"/>
        </w:rPr>
        <w:t>The number of seats available for passengers multplied by the number of scheduled miles those seats are fown.</w:t>
      </w:r>
    </w:p>
    <w:p>
      <w:pPr>
        <w:ind w:left="220" w:hanging="212"/>
        <w:spacing w:after="0" w:line="232" w:lineRule="auto"/>
        <w:tabs>
          <w:tab w:leader="none" w:pos="220" w:val="left"/>
        </w:tabs>
        <w:numPr>
          <w:ilvl w:val="0"/>
          <w:numId w:val="18"/>
        </w:numPr>
        <w:rPr>
          <w:rFonts w:ascii="Calibri" w:cs="Calibri" w:eastAsia="Calibri" w:hAnsi="Calibri"/>
          <w:sz w:val="16"/>
          <w:szCs w:val="16"/>
          <w:color w:val="auto"/>
        </w:rPr>
      </w:pPr>
      <w:r>
        <w:rPr>
          <w:rFonts w:ascii="Calibri" w:cs="Calibri" w:eastAsia="Calibri" w:hAnsi="Calibri"/>
          <w:sz w:val="16"/>
          <w:szCs w:val="16"/>
          <w:color w:val="auto"/>
        </w:rPr>
        <w:t>RPMs divided by ASMs.</w:t>
      </w:r>
    </w:p>
    <w:p>
      <w:pPr>
        <w:spacing w:after="0" w:line="7" w:lineRule="exact"/>
        <w:rPr>
          <w:rFonts w:ascii="Calibri" w:cs="Calibri" w:eastAsia="Calibri" w:hAnsi="Calibri"/>
          <w:sz w:val="16"/>
          <w:szCs w:val="16"/>
          <w:color w:val="auto"/>
        </w:rPr>
      </w:pPr>
    </w:p>
    <w:p>
      <w:pPr>
        <w:ind w:left="220" w:hanging="212"/>
        <w:spacing w:after="0"/>
        <w:tabs>
          <w:tab w:leader="none" w:pos="220" w:val="left"/>
        </w:tabs>
        <w:numPr>
          <w:ilvl w:val="0"/>
          <w:numId w:val="18"/>
        </w:numPr>
        <w:rPr>
          <w:rFonts w:ascii="Calibri" w:cs="Calibri" w:eastAsia="Calibri" w:hAnsi="Calibri"/>
          <w:sz w:val="16"/>
          <w:szCs w:val="16"/>
          <w:color w:val="auto"/>
        </w:rPr>
      </w:pPr>
      <w:r>
        <w:rPr>
          <w:rFonts w:ascii="Calibri" w:cs="Calibri" w:eastAsia="Calibri" w:hAnsi="Calibri"/>
          <w:sz w:val="16"/>
          <w:szCs w:val="16"/>
          <w:color w:val="auto"/>
        </w:rPr>
        <w:t>The average passenger revenue received for each RPM fown.</w:t>
      </w:r>
    </w:p>
    <w:p>
      <w:pPr>
        <w:ind w:left="200" w:hanging="192"/>
        <w:spacing w:after="0" w:line="232" w:lineRule="auto"/>
        <w:tabs>
          <w:tab w:leader="none" w:pos="200" w:val="left"/>
        </w:tabs>
        <w:numPr>
          <w:ilvl w:val="0"/>
          <w:numId w:val="18"/>
        </w:numPr>
        <w:rPr>
          <w:rFonts w:ascii="Calibri" w:cs="Calibri" w:eastAsia="Calibri" w:hAnsi="Calibri"/>
          <w:sz w:val="16"/>
          <w:szCs w:val="16"/>
          <w:color w:val="auto"/>
        </w:rPr>
      </w:pPr>
      <w:r>
        <w:rPr>
          <w:rFonts w:ascii="Calibri" w:cs="Calibri" w:eastAsia="Calibri" w:hAnsi="Calibri"/>
          <w:sz w:val="16"/>
          <w:szCs w:val="16"/>
          <w:color w:val="auto"/>
        </w:rPr>
        <w:t>The number of cargo revenue tons transported multplied by the number of miles fown.</w:t>
      </w:r>
    </w:p>
    <w:p>
      <w:pPr>
        <w:spacing w:after="0" w:line="7" w:lineRule="exact"/>
        <w:rPr>
          <w:rFonts w:ascii="Calibri" w:cs="Calibri" w:eastAsia="Calibri" w:hAnsi="Calibri"/>
          <w:sz w:val="16"/>
          <w:szCs w:val="16"/>
          <w:color w:val="auto"/>
        </w:rPr>
      </w:pPr>
    </w:p>
    <w:p>
      <w:pPr>
        <w:ind w:left="220" w:hanging="212"/>
        <w:spacing w:after="0"/>
        <w:tabs>
          <w:tab w:leader="none" w:pos="220" w:val="left"/>
        </w:tabs>
        <w:numPr>
          <w:ilvl w:val="0"/>
          <w:numId w:val="18"/>
        </w:numPr>
        <w:rPr>
          <w:rFonts w:ascii="Calibri" w:cs="Calibri" w:eastAsia="Calibri" w:hAnsi="Calibri"/>
          <w:sz w:val="16"/>
          <w:szCs w:val="16"/>
          <w:color w:val="auto"/>
        </w:rPr>
      </w:pPr>
      <w:r>
        <w:rPr>
          <w:rFonts w:ascii="Calibri" w:cs="Calibri" w:eastAsia="Calibri" w:hAnsi="Calibri"/>
          <w:sz w:val="16"/>
          <w:szCs w:val="16"/>
          <w:color w:val="auto"/>
        </w:rPr>
        <w:t>Average stage length equals the average distance a fight travels weighted for size of aircraf.</w:t>
      </w:r>
    </w:p>
    <w:p>
      <w:pPr>
        <w:ind w:right="900" w:firstLine="8"/>
        <w:spacing w:after="0" w:line="232" w:lineRule="auto"/>
        <w:tabs>
          <w:tab w:leader="none" w:pos="220" w:val="left"/>
        </w:tabs>
        <w:numPr>
          <w:ilvl w:val="0"/>
          <w:numId w:val="18"/>
        </w:numPr>
        <w:rPr>
          <w:rFonts w:ascii="Calibri" w:cs="Calibri" w:eastAsia="Calibri" w:hAnsi="Calibri"/>
          <w:sz w:val="16"/>
          <w:szCs w:val="16"/>
          <w:color w:val="auto"/>
        </w:rPr>
      </w:pPr>
      <w:r>
        <w:rPr>
          <w:rFonts w:ascii="Calibri" w:cs="Calibri" w:eastAsia="Calibri" w:hAnsi="Calibri"/>
          <w:sz w:val="16"/>
          <w:szCs w:val="16"/>
          <w:color w:val="auto"/>
        </w:rPr>
        <w:t>CASM-ex is CASM less the impact of fuel expense, proft sharing, special charges and third-party expenses. See NON-GAAP FINANCIAL INFORMATION for a reconciliaton of CASM-ex to CASM, the most comparable GAAP measure.</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11</w:t>
      </w:r>
    </w:p>
    <w:p>
      <w:pPr>
        <w:sectPr>
          <w:pgSz w:w="11900" w:h="16838" w:orient="portrait"/>
          <w:cols w:equalWidth="0" w:num="1">
            <w:col w:w="11240"/>
          </w:cols>
          <w:pgMar w:left="320" w:top="112" w:right="339"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8"/>
          <w:szCs w:val="18"/>
          <w:color w:val="auto"/>
        </w:rPr>
        <w:t>United Airlines Reports Second-Quarter 2024 Results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UNITED AIRLINES HOLDINGS, INC.</w:t>
      </w:r>
    </w:p>
    <w:p>
      <w:pPr>
        <w:spacing w:after="0" w:line="95" w:lineRule="exact"/>
        <w:rPr>
          <w:sz w:val="20"/>
          <w:szCs w:val="20"/>
          <w:color w:val="auto"/>
        </w:rPr>
      </w:pPr>
    </w:p>
    <w:p>
      <w:pPr>
        <w:ind w:left="80" w:hanging="72"/>
        <w:spacing w:after="0"/>
        <w:tabs>
          <w:tab w:leader="none" w:pos="80" w:val="left"/>
        </w:tabs>
        <w:numPr>
          <w:ilvl w:val="0"/>
          <w:numId w:val="19"/>
        </w:numPr>
        <w:rPr>
          <w:rFonts w:ascii="Calibri" w:cs="Calibri" w:eastAsia="Calibri" w:hAnsi="Calibri"/>
          <w:sz w:val="21"/>
          <w:szCs w:val="21"/>
          <w:color w:val="auto"/>
          <w:vertAlign w:val="superscript"/>
        </w:rPr>
      </w:pPr>
      <w:r>
        <w:rPr>
          <w:rFonts w:ascii="Calibri" w:cs="Calibri" w:eastAsia="Calibri" w:hAnsi="Calibri"/>
          <w:sz w:val="16"/>
          <w:szCs w:val="16"/>
          <w:color w:val="auto"/>
        </w:rPr>
        <w:t>NON-GAAP FINANCIAL INFORMATION</w:t>
      </w:r>
    </w:p>
    <w:p>
      <w:pPr>
        <w:spacing w:after="0" w:line="77" w:lineRule="exact"/>
        <w:rPr>
          <w:sz w:val="20"/>
          <w:szCs w:val="20"/>
          <w:color w:val="auto"/>
        </w:rPr>
      </w:pPr>
    </w:p>
    <w:p>
      <w:pPr>
        <w:ind w:right="40"/>
        <w:spacing w:after="0" w:line="225" w:lineRule="auto"/>
        <w:rPr>
          <w:sz w:val="20"/>
          <w:szCs w:val="20"/>
          <w:color w:val="auto"/>
        </w:rPr>
      </w:pPr>
      <w:r>
        <w:rPr>
          <w:rFonts w:ascii="Calibri" w:cs="Calibri" w:eastAsia="Calibri" w:hAnsi="Calibri"/>
          <w:sz w:val="16"/>
          <w:szCs w:val="16"/>
          <w:color w:val="auto"/>
        </w:rPr>
        <w:t>UAL evaluates its fnancial performance utlizing various accountng principles generally accepted in the United States of America (GAAP) and non-GAAP fnancial measures, including adjusted earnings before interest, taxes, depreciaton and amortzaton (adjusted EBITDA), adjusted EBITDA margin, adjusted EBITDA excluding aircraf rent (adjusted EBITDAR), adjusted operatng income (loss), adjusted operatng margin, adjusted pre-tax income (loss), adjusted pre-tax margin, adjusted net income (loss), adjusted diluted earnings (loss) per share, CASM-ex, adjusted capital expenditures, adjusted total debt, adjusted net debt, free cash fow, and free cash fow, net of fnancings, among others. The non-GAAP fnancial measures are provided as supplemental informaton to the fnancial measures presented in this press release that are calculated and presented in accordance with GAAP and are presented because management believes that they supplement or enhance management's, analysts' and investors' overall understanding of the company's underlying fnancial performance and trends and facilitate comparisons among current, past and future periods.</w:t>
      </w:r>
    </w:p>
    <w:p>
      <w:pPr>
        <w:spacing w:after="0" w:line="68" w:lineRule="exact"/>
        <w:rPr>
          <w:sz w:val="20"/>
          <w:szCs w:val="20"/>
          <w:color w:val="auto"/>
        </w:rPr>
      </w:pPr>
    </w:p>
    <w:p>
      <w:pPr>
        <w:ind w:right="20"/>
        <w:spacing w:after="0" w:line="237" w:lineRule="auto"/>
        <w:rPr>
          <w:sz w:val="20"/>
          <w:szCs w:val="20"/>
          <w:color w:val="auto"/>
        </w:rPr>
      </w:pPr>
      <w:r>
        <w:rPr>
          <w:rFonts w:ascii="Calibri" w:cs="Calibri" w:eastAsia="Calibri" w:hAnsi="Calibri"/>
          <w:sz w:val="16"/>
          <w:szCs w:val="16"/>
          <w:color w:val="auto"/>
        </w:rPr>
        <w:t>Because the non-GAAP fnancial measures are not calculated in accordance with GAAP, they should not be considered superior to and are not intended to be considered in isolaton or as a substtute for the related GAAP fnancial measures presented in the press release and may not be the same as or comparable to similarly ttled measures presented by other companies due to possible diferences in method and in the items being adjusted. We encourage investors to review our fnancial statements and publicly-fled reports in their entrety and not to rely on any single fnancial measure.</w:t>
      </w:r>
    </w:p>
    <w:p>
      <w:pPr>
        <w:spacing w:after="0" w:line="52" w:lineRule="exact"/>
        <w:rPr>
          <w:sz w:val="20"/>
          <w:szCs w:val="20"/>
          <w:color w:val="auto"/>
        </w:rPr>
      </w:pPr>
    </w:p>
    <w:p>
      <w:pPr>
        <w:spacing w:after="0" w:line="238" w:lineRule="auto"/>
        <w:rPr>
          <w:sz w:val="20"/>
          <w:szCs w:val="20"/>
          <w:color w:val="auto"/>
        </w:rPr>
      </w:pPr>
      <w:r>
        <w:rPr>
          <w:rFonts w:ascii="Calibri" w:cs="Calibri" w:eastAsia="Calibri" w:hAnsi="Calibri"/>
          <w:sz w:val="16"/>
          <w:szCs w:val="16"/>
          <w:color w:val="auto"/>
        </w:rPr>
        <w:t>The company does not provide a reconciliaton of forward-looking measures where the company believes such a reconciliaton would imply a degree of precision and certainty that could be confusing to investors and is unable to reasonably predict certain items contained in the GAAP measures without unreasonable eforts. This is due to the inherent difculty of forecastng the tming or amount of various items that have not yet occurred and are out of the company's control or cannot be reasonably predicted. For the same reasons, the company is unable to address the probable signifcance of the unavailable informaton. Forward-looking non-GAAP fnancial measures provided without the most directly comparable GAAP fnancial measures may vary materially from the corresponding GAAP fnancial measures. See "Cautonary Statement Regarding Forward-Looking Statements" above. The informaton below provides an explanaton of certain adjustments refected in the non-GAAP fnancial measures and shows a reconciliaton of non-GAAP fnancial measures reported in this press release to the most directly comparable GAAP fnancial measures. Within the fnancial tables presented, certain columns and rows may not add due to the use of rounded numbers. Percentages and earnings per share amounts presented are calculated from the underlying amounts.</w:t>
      </w:r>
    </w:p>
    <w:p>
      <w:pPr>
        <w:spacing w:after="0" w:line="66" w:lineRule="exact"/>
        <w:rPr>
          <w:sz w:val="20"/>
          <w:szCs w:val="20"/>
          <w:color w:val="auto"/>
        </w:rPr>
      </w:pPr>
    </w:p>
    <w:p>
      <w:pPr>
        <w:ind w:right="20"/>
        <w:spacing w:after="0" w:line="237" w:lineRule="auto"/>
        <w:rPr>
          <w:sz w:val="20"/>
          <w:szCs w:val="20"/>
          <w:color w:val="auto"/>
        </w:rPr>
      </w:pPr>
      <w:r>
        <w:rPr>
          <w:rFonts w:ascii="Calibri" w:cs="Calibri" w:eastAsia="Calibri" w:hAnsi="Calibri"/>
          <w:sz w:val="16"/>
          <w:szCs w:val="16"/>
          <w:b w:val="1"/>
          <w:bCs w:val="1"/>
          <w:color w:val="auto"/>
        </w:rPr>
        <w:t xml:space="preserve">CASM: </w:t>
      </w:r>
      <w:r>
        <w:rPr>
          <w:rFonts w:ascii="Calibri" w:cs="Calibri" w:eastAsia="Calibri" w:hAnsi="Calibri"/>
          <w:sz w:val="16"/>
          <w:szCs w:val="16"/>
          <w:color w:val="auto"/>
        </w:rPr>
        <w:t>CASM is a common metric used in the airline industry to measure an airline's cost structure and efciency. UAL reports CASM excluding special charges, third-party</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business expenses, fuel expense, and proft sharing. UAL believes that adjustng for special charges is useful to investors because those items are not indicatve of UAL's ongoing performance. UAL also believes that excluding third-party business expenses, such as maintenance, fight academy, ground handling and catering services for third partes, provides more meaningful disclosure because these expenses are not directly related to UAL's core business. UAL also believes that excluding fuel expense from certain measures is useful to investors because it provides an additonal measure of management's performance excluding the efects of a signifcant cost item over which management has limited infuence. UAL excludes proft sharing because it believes that this exclusion allows investors to beter understand and analyze UAL's operatng cost performance and provides a more meaningful comparison of our core operatng costs to the airline industry.</w:t>
      </w:r>
    </w:p>
    <w:p>
      <w:pPr>
        <w:spacing w:after="0" w:line="40" w:lineRule="exact"/>
        <w:rPr>
          <w:sz w:val="20"/>
          <w:szCs w:val="20"/>
          <w:color w:val="auto"/>
        </w:rPr>
      </w:pPr>
    </w:p>
    <w:p>
      <w:pPr>
        <w:ind w:right="20"/>
        <w:spacing w:after="0" w:line="234" w:lineRule="auto"/>
        <w:rPr>
          <w:sz w:val="20"/>
          <w:szCs w:val="20"/>
          <w:color w:val="auto"/>
        </w:rPr>
      </w:pPr>
      <w:r>
        <w:rPr>
          <w:rFonts w:ascii="Calibri" w:cs="Calibri" w:eastAsia="Calibri" w:hAnsi="Calibri"/>
          <w:sz w:val="16"/>
          <w:szCs w:val="16"/>
          <w:b w:val="1"/>
          <w:bCs w:val="1"/>
          <w:color w:val="auto"/>
        </w:rPr>
        <w:t xml:space="preserve">Adjusted EBITDA and EBITDAR: </w:t>
      </w:r>
      <w:r>
        <w:rPr>
          <w:rFonts w:ascii="Calibri" w:cs="Calibri" w:eastAsia="Calibri" w:hAnsi="Calibri"/>
          <w:sz w:val="16"/>
          <w:szCs w:val="16"/>
          <w:color w:val="auto"/>
        </w:rPr>
        <w:t>UAL also reports EBITDA and EBITDAR excluding special charges, nonoperatng unrealized (gains) losses on investments, net and</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nonoperatng debt extnguishment and modifcaton fees. UAL believes that adjustng for these items is useful to investors because they are not indicatve of UAL's ongoing performance.</w:t>
      </w:r>
    </w:p>
    <w:p>
      <w:pPr>
        <w:spacing w:after="0" w:line="63" w:lineRule="exact"/>
        <w:rPr>
          <w:sz w:val="20"/>
          <w:szCs w:val="20"/>
          <w:color w:val="auto"/>
        </w:rPr>
      </w:pPr>
    </w:p>
    <w:p>
      <w:pPr>
        <w:jc w:val="both"/>
        <w:ind w:right="180"/>
        <w:spacing w:after="0" w:line="237" w:lineRule="auto"/>
        <w:rPr>
          <w:sz w:val="20"/>
          <w:szCs w:val="20"/>
          <w:color w:val="auto"/>
        </w:rPr>
      </w:pPr>
      <w:r>
        <w:rPr>
          <w:rFonts w:ascii="Calibri" w:cs="Calibri" w:eastAsia="Calibri" w:hAnsi="Calibri"/>
          <w:sz w:val="16"/>
          <w:szCs w:val="16"/>
          <w:b w:val="1"/>
          <w:bCs w:val="1"/>
          <w:color w:val="auto"/>
        </w:rPr>
        <w:t xml:space="preserve">Adjusted Capital Expenditures and Free Cash Flow: </w:t>
      </w:r>
      <w:r>
        <w:rPr>
          <w:rFonts w:ascii="Calibri" w:cs="Calibri" w:eastAsia="Calibri" w:hAnsi="Calibri"/>
          <w:sz w:val="16"/>
          <w:szCs w:val="16"/>
          <w:color w:val="auto"/>
        </w:rPr>
        <w:t>UAL believes that adjustng capital expenditures for assets acquired through the issuance of debt, fnance leases and</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other fnancial liabilites is useful to investors in order to appropriately refect the total amounts spent on capital expenditures. UAL also believes that adjustng net cash provided by (used in) operatng actvites for capital expenditures, net of fight equipment purchase deposit returns, adjusted capital expenditures, and aircraf operatng lease additons is useful to allow investors to evaluate the company's ability to generate cash that is available for debt service or general corporate initatves.</w:t>
      </w:r>
    </w:p>
    <w:p>
      <w:pPr>
        <w:spacing w:after="0" w:line="52" w:lineRule="exact"/>
        <w:rPr>
          <w:sz w:val="20"/>
          <w:szCs w:val="20"/>
          <w:color w:val="auto"/>
        </w:rPr>
      </w:pPr>
    </w:p>
    <w:p>
      <w:pPr>
        <w:ind w:right="60"/>
        <w:spacing w:after="0" w:line="237" w:lineRule="auto"/>
        <w:rPr>
          <w:sz w:val="20"/>
          <w:szCs w:val="20"/>
          <w:color w:val="auto"/>
        </w:rPr>
      </w:pPr>
      <w:r>
        <w:rPr>
          <w:rFonts w:ascii="Calibri" w:cs="Calibri" w:eastAsia="Calibri" w:hAnsi="Calibri"/>
          <w:sz w:val="16"/>
          <w:szCs w:val="16"/>
          <w:b w:val="1"/>
          <w:bCs w:val="1"/>
          <w:color w:val="auto"/>
        </w:rPr>
        <w:t xml:space="preserve">Adjusted Total Debt and Adjusted Net Debt: </w:t>
      </w:r>
      <w:r>
        <w:rPr>
          <w:rFonts w:ascii="Calibri" w:cs="Calibri" w:eastAsia="Calibri" w:hAnsi="Calibri"/>
          <w:sz w:val="16"/>
          <w:szCs w:val="16"/>
          <w:color w:val="auto"/>
        </w:rPr>
        <w:t>Adjusted total debt is a non-GAAP fnancial measure that includes current and long-term debt, operatng lease obligatons</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and fnance lease obligatons, current and noncurrent other fnancial liabilites and noncurrent pension and postretrement obligatons. Adjusted net debt is adjusted total debt minus cash, cash equivalents and short-term investments. UAL provides adjusted total debt and adjusted net debt because we believe these measures provide useful supplemental informaton for assessing the company's debt and debt-like obligaton profle.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1860" w:type="dxa"/>
            <w:vAlign w:val="bottom"/>
            <w:gridSpan w:val="4"/>
          </w:tcPr>
          <w:p>
            <w:pPr>
              <w:jc w:val="right"/>
              <w:spacing w:after="0"/>
              <w:rPr>
                <w:sz w:val="20"/>
                <w:szCs w:val="20"/>
                <w:color w:val="auto"/>
              </w:rPr>
            </w:pPr>
            <w:r>
              <w:rPr>
                <w:rFonts w:ascii="Calibri" w:cs="Calibri" w:eastAsia="Calibri" w:hAnsi="Calibri"/>
                <w:sz w:val="16"/>
                <w:szCs w:val="16"/>
                <w:color w:val="auto"/>
              </w:rPr>
              <w:t>Three Months Ended June</w:t>
            </w:r>
          </w:p>
        </w:tc>
        <w:tc>
          <w:tcPr>
            <w:tcW w:w="1360" w:type="dxa"/>
            <w:vAlign w:val="bottom"/>
            <w:vMerge w:val="restart"/>
          </w:tcPr>
          <w:p>
            <w:pPr>
              <w:jc w:val="center"/>
              <w:ind w:right="20"/>
              <w:spacing w:after="0"/>
              <w:rPr>
                <w:sz w:val="20"/>
                <w:szCs w:val="20"/>
                <w:color w:val="auto"/>
              </w:rPr>
            </w:pPr>
            <w:r>
              <w:rPr>
                <w:rFonts w:ascii="Calibri" w:cs="Calibri" w:eastAsia="Calibri" w:hAnsi="Calibri"/>
                <w:sz w:val="16"/>
                <w:szCs w:val="16"/>
                <w:color w:val="auto"/>
                <w:w w:val="86"/>
              </w:rPr>
              <w:t>%</w:t>
            </w:r>
          </w:p>
        </w:tc>
        <w:tc>
          <w:tcPr>
            <w:tcW w:w="1780" w:type="dxa"/>
            <w:vAlign w:val="bottom"/>
            <w:gridSpan w:val="4"/>
          </w:tcPr>
          <w:p>
            <w:pPr>
              <w:jc w:val="center"/>
              <w:spacing w:after="0"/>
              <w:rPr>
                <w:sz w:val="20"/>
                <w:szCs w:val="20"/>
                <w:color w:val="auto"/>
              </w:rPr>
            </w:pPr>
            <w:r>
              <w:rPr>
                <w:rFonts w:ascii="Calibri" w:cs="Calibri" w:eastAsia="Calibri" w:hAnsi="Calibri"/>
                <w:sz w:val="16"/>
                <w:szCs w:val="16"/>
                <w:color w:val="auto"/>
              </w:rPr>
              <w:t>Six Months Ended June</w:t>
            </w:r>
          </w:p>
        </w:tc>
        <w:tc>
          <w:tcPr>
            <w:tcW w:w="1120" w:type="dxa"/>
            <w:vAlign w:val="bottom"/>
            <w:vMerge w:val="restart"/>
          </w:tcPr>
          <w:p>
            <w:pPr>
              <w:jc w:val="center"/>
              <w:ind w:left="4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68"/>
        </w:trPr>
        <w:tc>
          <w:tcPr>
            <w:tcW w:w="5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gridSpan w:val="3"/>
            <w:vMerge w:val="restart"/>
          </w:tcPr>
          <w:p>
            <w:pPr>
              <w:jc w:val="right"/>
              <w:ind w:right="739"/>
              <w:spacing w:after="0" w:line="193" w:lineRule="exact"/>
              <w:rPr>
                <w:sz w:val="20"/>
                <w:szCs w:val="20"/>
                <w:color w:val="auto"/>
              </w:rPr>
            </w:pPr>
            <w:r>
              <w:rPr>
                <w:rFonts w:ascii="Calibri" w:cs="Calibri" w:eastAsia="Calibri" w:hAnsi="Calibri"/>
                <w:sz w:val="16"/>
                <w:szCs w:val="16"/>
                <w:color w:val="auto"/>
              </w:rPr>
              <w:t>30,</w:t>
            </w:r>
          </w:p>
        </w:tc>
        <w:tc>
          <w:tcPr>
            <w:tcW w:w="13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gridSpan w:val="2"/>
            <w:vMerge w:val="restart"/>
          </w:tcPr>
          <w:p>
            <w:pPr>
              <w:jc w:val="right"/>
              <w:ind w:right="60"/>
              <w:spacing w:after="0" w:line="193" w:lineRule="exact"/>
              <w:rPr>
                <w:sz w:val="20"/>
                <w:szCs w:val="20"/>
                <w:color w:val="auto"/>
              </w:rPr>
            </w:pPr>
            <w:r>
              <w:rPr>
                <w:rFonts w:ascii="Calibri" w:cs="Calibri" w:eastAsia="Calibri" w:hAnsi="Calibri"/>
                <w:sz w:val="16"/>
                <w:szCs w:val="16"/>
                <w:color w:val="auto"/>
                <w:w w:val="98"/>
              </w:rPr>
              <w:t>30,</w:t>
            </w:r>
          </w:p>
        </w:tc>
        <w:tc>
          <w:tcPr>
            <w:tcW w:w="7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5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1360" w:type="dxa"/>
            <w:vAlign w:val="bottom"/>
            <w:vMerge w:val="restart"/>
          </w:tcPr>
          <w:p>
            <w:pPr>
              <w:jc w:val="center"/>
              <w:ind w:right="20"/>
              <w:spacing w:after="0" w:line="134" w:lineRule="exact"/>
              <w:rPr>
                <w:sz w:val="20"/>
                <w:szCs w:val="20"/>
                <w:color w:val="auto"/>
              </w:rPr>
            </w:pPr>
            <w:r>
              <w:rPr>
                <w:rFonts w:ascii="Calibri" w:cs="Calibri" w:eastAsia="Calibri" w:hAnsi="Calibri"/>
                <w:sz w:val="14"/>
                <w:szCs w:val="14"/>
                <w:color w:val="auto"/>
              </w:rPr>
              <w:t>Increase/</w:t>
            </w:r>
          </w:p>
        </w:tc>
        <w:tc>
          <w:tcPr>
            <w:tcW w:w="78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vMerge w:val="restart"/>
          </w:tcPr>
          <w:p>
            <w:pPr>
              <w:jc w:val="center"/>
              <w:ind w:left="60"/>
              <w:spacing w:after="0" w:line="134" w:lineRule="exact"/>
              <w:rPr>
                <w:sz w:val="20"/>
                <w:szCs w:val="20"/>
                <w:color w:val="auto"/>
              </w:rPr>
            </w:pPr>
            <w:r>
              <w:rPr>
                <w:rFonts w:ascii="Calibri" w:cs="Calibri" w:eastAsia="Calibri" w:hAnsi="Calibri"/>
                <w:sz w:val="14"/>
                <w:szCs w:val="14"/>
                <w:color w:val="auto"/>
              </w:rPr>
              <w:t>Increase/</w:t>
            </w:r>
          </w:p>
        </w:tc>
        <w:tc>
          <w:tcPr>
            <w:tcW w:w="0" w:type="dxa"/>
            <w:vAlign w:val="bottom"/>
          </w:tcPr>
          <w:p>
            <w:pPr>
              <w:spacing w:after="0"/>
              <w:rPr>
                <w:sz w:val="1"/>
                <w:szCs w:val="1"/>
                <w:color w:val="auto"/>
              </w:rPr>
            </w:pPr>
          </w:p>
        </w:tc>
      </w:tr>
      <w:tr>
        <w:trPr>
          <w:trHeight w:val="28"/>
        </w:trPr>
        <w:tc>
          <w:tcPr>
            <w:tcW w:w="5120" w:type="dxa"/>
            <w:vAlign w:val="bottom"/>
            <w:vMerge w:val="restart"/>
          </w:tcPr>
          <w:p>
            <w:pPr>
              <w:ind w:left="20"/>
              <w:spacing w:after="0"/>
              <w:rPr>
                <w:sz w:val="20"/>
                <w:szCs w:val="20"/>
                <w:color w:val="auto"/>
              </w:rPr>
            </w:pPr>
            <w:r>
              <w:rPr>
                <w:rFonts w:ascii="Calibri" w:cs="Calibri" w:eastAsia="Calibri" w:hAnsi="Calibri"/>
                <w:sz w:val="16"/>
                <w:szCs w:val="16"/>
                <w:b w:val="1"/>
                <w:bCs w:val="1"/>
                <w:color w:val="auto"/>
              </w:rPr>
              <w:t xml:space="preserve">CASM-ex </w:t>
            </w:r>
            <w:r>
              <w:rPr>
                <w:rFonts w:ascii="Calibri" w:cs="Calibri" w:eastAsia="Calibri" w:hAnsi="Calibri"/>
                <w:sz w:val="16"/>
                <w:szCs w:val="16"/>
                <w:color w:val="auto"/>
              </w:rPr>
              <w:t>(in cents, except for percentage changes)</w:t>
            </w: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vMerge w:val="continue"/>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120" w:type="dxa"/>
            <w:vAlign w:val="bottom"/>
            <w:vMerge w:val="continue"/>
          </w:tcPr>
          <w:p>
            <w:pPr>
              <w:spacing w:after="0"/>
              <w:rPr>
                <w:sz w:val="16"/>
                <w:szCs w:val="16"/>
                <w:color w:val="auto"/>
              </w:rPr>
            </w:pPr>
          </w:p>
        </w:tc>
        <w:tc>
          <w:tcPr>
            <w:tcW w:w="800" w:type="dxa"/>
            <w:vAlign w:val="bottom"/>
          </w:tcPr>
          <w:p>
            <w:pPr>
              <w:jc w:val="right"/>
              <w:ind w:right="139"/>
              <w:spacing w:after="0" w:line="187" w:lineRule="exact"/>
              <w:rPr>
                <w:sz w:val="20"/>
                <w:szCs w:val="20"/>
                <w:color w:val="auto"/>
              </w:rPr>
            </w:pPr>
            <w:r>
              <w:rPr>
                <w:rFonts w:ascii="Calibri" w:cs="Calibri" w:eastAsia="Calibri" w:hAnsi="Calibri"/>
                <w:sz w:val="16"/>
                <w:szCs w:val="16"/>
                <w:color w:val="auto"/>
              </w:rPr>
              <w:t>2024</w:t>
            </w:r>
          </w:p>
        </w:tc>
        <w:tc>
          <w:tcPr>
            <w:tcW w:w="1060" w:type="dxa"/>
            <w:vAlign w:val="bottom"/>
            <w:gridSpan w:val="3"/>
          </w:tcPr>
          <w:p>
            <w:pPr>
              <w:jc w:val="right"/>
              <w:ind w:right="219"/>
              <w:spacing w:after="0" w:line="187" w:lineRule="exact"/>
              <w:rPr>
                <w:sz w:val="20"/>
                <w:szCs w:val="20"/>
                <w:color w:val="auto"/>
              </w:rPr>
            </w:pPr>
            <w:r>
              <w:rPr>
                <w:rFonts w:ascii="Calibri" w:cs="Calibri" w:eastAsia="Calibri" w:hAnsi="Calibri"/>
                <w:sz w:val="16"/>
                <w:szCs w:val="16"/>
                <w:color w:val="auto"/>
              </w:rPr>
              <w:t>2023</w:t>
            </w:r>
          </w:p>
        </w:tc>
        <w:tc>
          <w:tcPr>
            <w:tcW w:w="1360" w:type="dxa"/>
            <w:vAlign w:val="bottom"/>
          </w:tcPr>
          <w:p>
            <w:pPr>
              <w:jc w:val="center"/>
              <w:ind w:right="20"/>
              <w:spacing w:after="0" w:line="182" w:lineRule="exact"/>
              <w:rPr>
                <w:sz w:val="20"/>
                <w:szCs w:val="20"/>
                <w:color w:val="auto"/>
              </w:rPr>
            </w:pPr>
            <w:r>
              <w:rPr>
                <w:rFonts w:ascii="Calibri" w:cs="Calibri" w:eastAsia="Calibri" w:hAnsi="Calibri"/>
                <w:sz w:val="16"/>
                <w:szCs w:val="16"/>
                <w:color w:val="auto"/>
              </w:rPr>
              <w:t>(Decrease)</w:t>
            </w:r>
          </w:p>
        </w:tc>
        <w:tc>
          <w:tcPr>
            <w:tcW w:w="780" w:type="dxa"/>
            <w:vAlign w:val="bottom"/>
          </w:tcPr>
          <w:p>
            <w:pPr>
              <w:jc w:val="right"/>
              <w:ind w:right="119"/>
              <w:spacing w:after="0" w:line="187" w:lineRule="exact"/>
              <w:rPr>
                <w:sz w:val="20"/>
                <w:szCs w:val="20"/>
                <w:color w:val="auto"/>
              </w:rPr>
            </w:pPr>
            <w:r>
              <w:rPr>
                <w:rFonts w:ascii="Calibri" w:cs="Calibri" w:eastAsia="Calibri" w:hAnsi="Calibri"/>
                <w:sz w:val="16"/>
                <w:szCs w:val="16"/>
                <w:color w:val="auto"/>
              </w:rPr>
              <w:t>2024</w:t>
            </w:r>
          </w:p>
        </w:tc>
        <w:tc>
          <w:tcPr>
            <w:tcW w:w="1000" w:type="dxa"/>
            <w:vAlign w:val="bottom"/>
            <w:gridSpan w:val="3"/>
          </w:tcPr>
          <w:p>
            <w:pPr>
              <w:jc w:val="right"/>
              <w:ind w:right="119"/>
              <w:spacing w:after="0" w:line="187" w:lineRule="exact"/>
              <w:rPr>
                <w:sz w:val="20"/>
                <w:szCs w:val="20"/>
                <w:color w:val="auto"/>
              </w:rPr>
            </w:pPr>
            <w:r>
              <w:rPr>
                <w:rFonts w:ascii="Calibri" w:cs="Calibri" w:eastAsia="Calibri" w:hAnsi="Calibri"/>
                <w:sz w:val="16"/>
                <w:szCs w:val="16"/>
                <w:color w:val="auto"/>
              </w:rPr>
              <w:t>2023</w:t>
            </w:r>
          </w:p>
        </w:tc>
        <w:tc>
          <w:tcPr>
            <w:tcW w:w="1120" w:type="dxa"/>
            <w:vAlign w:val="bottom"/>
          </w:tcPr>
          <w:p>
            <w:pPr>
              <w:jc w:val="center"/>
              <w:ind w:left="60"/>
              <w:spacing w:after="0" w:line="182" w:lineRule="exact"/>
              <w:rPr>
                <w:sz w:val="20"/>
                <w:szCs w:val="20"/>
                <w:color w:val="auto"/>
              </w:rPr>
            </w:pPr>
            <w:r>
              <w:rPr>
                <w:rFonts w:ascii="Calibri" w:cs="Calibri" w:eastAsia="Calibri" w:hAnsi="Calibri"/>
                <w:sz w:val="16"/>
                <w:szCs w:val="16"/>
                <w:color w:val="auto"/>
              </w:rPr>
              <w:t>(Decrease)</w:t>
            </w:r>
          </w:p>
        </w:tc>
        <w:tc>
          <w:tcPr>
            <w:tcW w:w="0" w:type="dxa"/>
            <w:vAlign w:val="bottom"/>
          </w:tcPr>
          <w:p>
            <w:pPr>
              <w:spacing w:after="0"/>
              <w:rPr>
                <w:sz w:val="1"/>
                <w:szCs w:val="1"/>
                <w:color w:val="auto"/>
              </w:rPr>
            </w:pPr>
          </w:p>
        </w:tc>
      </w:tr>
      <w:tr>
        <w:trPr>
          <w:trHeight w:val="22"/>
        </w:trPr>
        <w:tc>
          <w:tcPr>
            <w:tcW w:w="5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CASM (GAAP)</w:t>
            </w:r>
          </w:p>
        </w:tc>
        <w:tc>
          <w:tcPr>
            <w:tcW w:w="8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16.39</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17.22</w:t>
            </w:r>
          </w:p>
        </w:tc>
        <w:tc>
          <w:tcPr>
            <w:tcW w:w="1360" w:type="dxa"/>
            <w:vAlign w:val="bottom"/>
            <w:tcBorders>
              <w:bottom w:val="single" w:sz="8" w:color="CCEEFF"/>
            </w:tcBorders>
            <w:shd w:val="clear" w:color="auto" w:fill="CCEEFF"/>
          </w:tcPr>
          <w:p>
            <w:pPr>
              <w:jc w:val="right"/>
              <w:ind w:right="160"/>
              <w:spacing w:after="0" w:line="182" w:lineRule="exact"/>
              <w:rPr>
                <w:sz w:val="20"/>
                <w:szCs w:val="20"/>
                <w:color w:val="auto"/>
              </w:rPr>
            </w:pPr>
            <w:r>
              <w:rPr>
                <w:rFonts w:ascii="Calibri" w:cs="Calibri" w:eastAsia="Calibri" w:hAnsi="Calibri"/>
                <w:sz w:val="16"/>
                <w:szCs w:val="16"/>
                <w:color w:val="auto"/>
              </w:rPr>
              <w:t>(4.8)</w:t>
            </w:r>
          </w:p>
        </w:tc>
        <w:tc>
          <w:tcPr>
            <w:tcW w:w="7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16.85</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17.33</w:t>
            </w:r>
          </w:p>
        </w:tc>
        <w:tc>
          <w:tcPr>
            <w:tcW w:w="1120" w:type="dxa"/>
            <w:vAlign w:val="bottom"/>
            <w:tcBorders>
              <w:bottom w:val="single" w:sz="8" w:color="CCEEFF"/>
            </w:tcBorders>
            <w:shd w:val="clear" w:color="auto" w:fill="CCEEFF"/>
          </w:tcPr>
          <w:p>
            <w:pPr>
              <w:jc w:val="right"/>
              <w:spacing w:after="0" w:line="182" w:lineRule="exact"/>
              <w:rPr>
                <w:sz w:val="20"/>
                <w:szCs w:val="20"/>
                <w:color w:val="auto"/>
              </w:rPr>
            </w:pPr>
            <w:r>
              <w:rPr>
                <w:rFonts w:ascii="Calibri" w:cs="Calibri" w:eastAsia="Calibri" w:hAnsi="Calibri"/>
                <w:sz w:val="16"/>
                <w:szCs w:val="16"/>
                <w:color w:val="auto"/>
              </w:rPr>
              <w:t>(2.8)</w:t>
            </w:r>
          </w:p>
        </w:tc>
        <w:tc>
          <w:tcPr>
            <w:tcW w:w="0" w:type="dxa"/>
            <w:vAlign w:val="bottom"/>
          </w:tcPr>
          <w:p>
            <w:pPr>
              <w:spacing w:after="0"/>
              <w:rPr>
                <w:sz w:val="1"/>
                <w:szCs w:val="1"/>
                <w:color w:val="auto"/>
              </w:rPr>
            </w:pPr>
          </w:p>
        </w:tc>
      </w:tr>
      <w:tr>
        <w:trPr>
          <w:trHeight w:val="193"/>
        </w:trPr>
        <w:tc>
          <w:tcPr>
            <w:tcW w:w="5120" w:type="dxa"/>
            <w:vAlign w:val="bottom"/>
          </w:tcPr>
          <w:p>
            <w:pPr>
              <w:ind w:left="220"/>
              <w:spacing w:after="0" w:line="193" w:lineRule="exact"/>
              <w:rPr>
                <w:sz w:val="20"/>
                <w:szCs w:val="20"/>
                <w:color w:val="auto"/>
              </w:rPr>
            </w:pPr>
            <w:r>
              <w:rPr>
                <w:rFonts w:ascii="Calibri" w:cs="Calibri" w:eastAsia="Calibri" w:hAnsi="Calibri"/>
                <w:sz w:val="16"/>
                <w:szCs w:val="16"/>
                <w:color w:val="auto"/>
              </w:rPr>
              <w:t>Fuel expense</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3.93</w:t>
            </w:r>
          </w:p>
        </w:tc>
        <w:tc>
          <w:tcPr>
            <w:tcW w:w="1060" w:type="dxa"/>
            <w:vAlign w:val="bottom"/>
            <w:gridSpan w:val="3"/>
          </w:tcPr>
          <w:p>
            <w:pPr>
              <w:jc w:val="right"/>
              <w:spacing w:after="0" w:line="193" w:lineRule="exact"/>
              <w:rPr>
                <w:sz w:val="20"/>
                <w:szCs w:val="20"/>
                <w:color w:val="auto"/>
              </w:rPr>
            </w:pPr>
            <w:r>
              <w:rPr>
                <w:rFonts w:ascii="Calibri" w:cs="Calibri" w:eastAsia="Calibri" w:hAnsi="Calibri"/>
                <w:sz w:val="16"/>
                <w:szCs w:val="16"/>
                <w:color w:val="auto"/>
              </w:rPr>
              <w:t>3.84</w:t>
            </w:r>
          </w:p>
        </w:tc>
        <w:tc>
          <w:tcPr>
            <w:tcW w:w="1360" w:type="dxa"/>
            <w:vAlign w:val="bottom"/>
          </w:tcPr>
          <w:p>
            <w:pPr>
              <w:jc w:val="right"/>
              <w:ind w:right="180"/>
              <w:spacing w:after="0" w:line="193" w:lineRule="exact"/>
              <w:rPr>
                <w:sz w:val="20"/>
                <w:szCs w:val="20"/>
                <w:color w:val="auto"/>
              </w:rPr>
            </w:pPr>
            <w:r>
              <w:rPr>
                <w:rFonts w:ascii="Calibri" w:cs="Calibri" w:eastAsia="Calibri" w:hAnsi="Calibri"/>
                <w:sz w:val="16"/>
                <w:szCs w:val="16"/>
                <w:color w:val="auto"/>
              </w:rPr>
              <w:t>2.3</w:t>
            </w: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4.02</w:t>
            </w:r>
          </w:p>
        </w:tc>
        <w:tc>
          <w:tcPr>
            <w:tcW w:w="1000" w:type="dxa"/>
            <w:vAlign w:val="bottom"/>
            <w:gridSpan w:val="3"/>
          </w:tcPr>
          <w:p>
            <w:pPr>
              <w:jc w:val="right"/>
              <w:spacing w:after="0" w:line="193" w:lineRule="exact"/>
              <w:rPr>
                <w:sz w:val="20"/>
                <w:szCs w:val="20"/>
                <w:color w:val="auto"/>
              </w:rPr>
            </w:pPr>
            <w:r>
              <w:rPr>
                <w:rFonts w:ascii="Calibri" w:cs="Calibri" w:eastAsia="Calibri" w:hAnsi="Calibri"/>
                <w:sz w:val="16"/>
                <w:szCs w:val="16"/>
                <w:color w:val="auto"/>
              </w:rPr>
              <w:t>4.30</w:t>
            </w: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(6.5)</w:t>
            </w:r>
          </w:p>
        </w:tc>
        <w:tc>
          <w:tcPr>
            <w:tcW w:w="0" w:type="dxa"/>
            <w:vAlign w:val="bottom"/>
          </w:tcPr>
          <w:p>
            <w:pPr>
              <w:spacing w:after="0"/>
              <w:rPr>
                <w:sz w:val="1"/>
                <w:szCs w:val="1"/>
                <w:color w:val="auto"/>
              </w:rPr>
            </w:pPr>
          </w:p>
        </w:tc>
      </w:tr>
      <w:tr>
        <w:trPr>
          <w:trHeight w:val="23"/>
        </w:trPr>
        <w:tc>
          <w:tcPr>
            <w:tcW w:w="5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Proft sharing</w:t>
            </w: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0.23</w:t>
            </w:r>
          </w:p>
        </w:tc>
        <w:tc>
          <w:tcPr>
            <w:tcW w:w="1060" w:type="dxa"/>
            <w:vAlign w:val="bottom"/>
            <w:tcBorders>
              <w:bottom w:val="single" w:sz="8" w:color="CCEEFF"/>
            </w:tcBorders>
            <w:gridSpan w:val="3"/>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0.30</w:t>
            </w:r>
          </w:p>
        </w:tc>
        <w:tc>
          <w:tcPr>
            <w:tcW w:w="1360" w:type="dxa"/>
            <w:vAlign w:val="bottom"/>
            <w:tcBorders>
              <w:bottom w:val="single" w:sz="8" w:color="CCEEFF"/>
            </w:tcBorders>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(23.3)</w:t>
            </w:r>
          </w:p>
        </w:tc>
        <w:tc>
          <w:tcPr>
            <w:tcW w:w="7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0.13</w:t>
            </w:r>
          </w:p>
        </w:tc>
        <w:tc>
          <w:tcPr>
            <w:tcW w:w="1000" w:type="dxa"/>
            <w:vAlign w:val="bottom"/>
            <w:tcBorders>
              <w:bottom w:val="single" w:sz="8" w:color="CCEEFF"/>
            </w:tcBorders>
            <w:gridSpan w:val="3"/>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0.16</w:t>
            </w: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(18.8)</w:t>
            </w:r>
          </w:p>
        </w:tc>
        <w:tc>
          <w:tcPr>
            <w:tcW w:w="0" w:type="dxa"/>
            <w:vAlign w:val="bottom"/>
          </w:tcPr>
          <w:p>
            <w:pPr>
              <w:spacing w:after="0"/>
              <w:rPr>
                <w:sz w:val="1"/>
                <w:szCs w:val="1"/>
                <w:color w:val="auto"/>
              </w:rPr>
            </w:pPr>
          </w:p>
        </w:tc>
      </w:tr>
      <w:tr>
        <w:trPr>
          <w:trHeight w:val="194"/>
        </w:trPr>
        <w:tc>
          <w:tcPr>
            <w:tcW w:w="5120" w:type="dxa"/>
            <w:vAlign w:val="bottom"/>
          </w:tcPr>
          <w:p>
            <w:pPr>
              <w:ind w:left="220"/>
              <w:spacing w:after="0" w:line="193" w:lineRule="exact"/>
              <w:rPr>
                <w:sz w:val="20"/>
                <w:szCs w:val="20"/>
                <w:color w:val="auto"/>
              </w:rPr>
            </w:pPr>
            <w:r>
              <w:rPr>
                <w:rFonts w:ascii="Calibri" w:cs="Calibri" w:eastAsia="Calibri" w:hAnsi="Calibri"/>
                <w:sz w:val="16"/>
                <w:szCs w:val="16"/>
                <w:color w:val="auto"/>
              </w:rPr>
              <w:t>Third-party business expenses</w:t>
            </w:r>
          </w:p>
        </w:tc>
        <w:tc>
          <w:tcPr>
            <w:tcW w:w="800" w:type="dxa"/>
            <w:vAlign w:val="bottom"/>
          </w:tcPr>
          <w:p>
            <w:pPr>
              <w:jc w:val="right"/>
              <w:spacing w:after="0" w:line="193" w:lineRule="exact"/>
              <w:rPr>
                <w:sz w:val="20"/>
                <w:szCs w:val="20"/>
                <w:color w:val="auto"/>
              </w:rPr>
            </w:pPr>
            <w:r>
              <w:rPr>
                <w:rFonts w:ascii="Calibri" w:cs="Calibri" w:eastAsia="Calibri" w:hAnsi="Calibri"/>
                <w:sz w:val="16"/>
                <w:szCs w:val="16"/>
                <w:color w:val="auto"/>
              </w:rPr>
              <w:t>0.08</w:t>
            </w:r>
          </w:p>
        </w:tc>
        <w:tc>
          <w:tcPr>
            <w:tcW w:w="1060" w:type="dxa"/>
            <w:vAlign w:val="bottom"/>
            <w:gridSpan w:val="3"/>
          </w:tcPr>
          <w:p>
            <w:pPr>
              <w:jc w:val="right"/>
              <w:spacing w:after="0" w:line="193" w:lineRule="exact"/>
              <w:rPr>
                <w:sz w:val="20"/>
                <w:szCs w:val="20"/>
                <w:color w:val="auto"/>
              </w:rPr>
            </w:pPr>
            <w:r>
              <w:rPr>
                <w:rFonts w:ascii="Calibri" w:cs="Calibri" w:eastAsia="Calibri" w:hAnsi="Calibri"/>
                <w:sz w:val="16"/>
                <w:szCs w:val="16"/>
                <w:color w:val="auto"/>
              </w:rPr>
              <w:t>0.06</w:t>
            </w:r>
          </w:p>
        </w:tc>
        <w:tc>
          <w:tcPr>
            <w:tcW w:w="1360" w:type="dxa"/>
            <w:vAlign w:val="bottom"/>
          </w:tcPr>
          <w:p>
            <w:pPr>
              <w:jc w:val="right"/>
              <w:ind w:right="180"/>
              <w:spacing w:after="0" w:line="193" w:lineRule="exact"/>
              <w:rPr>
                <w:sz w:val="20"/>
                <w:szCs w:val="20"/>
                <w:color w:val="auto"/>
              </w:rPr>
            </w:pPr>
            <w:r>
              <w:rPr>
                <w:rFonts w:ascii="Calibri" w:cs="Calibri" w:eastAsia="Calibri" w:hAnsi="Calibri"/>
                <w:sz w:val="16"/>
                <w:szCs w:val="16"/>
                <w:color w:val="auto"/>
              </w:rPr>
              <w:t>33.3</w:t>
            </w:r>
          </w:p>
        </w:tc>
        <w:tc>
          <w:tcPr>
            <w:tcW w:w="780" w:type="dxa"/>
            <w:vAlign w:val="bottom"/>
          </w:tcPr>
          <w:p>
            <w:pPr>
              <w:jc w:val="right"/>
              <w:spacing w:after="0" w:line="193" w:lineRule="exact"/>
              <w:rPr>
                <w:sz w:val="20"/>
                <w:szCs w:val="20"/>
                <w:color w:val="auto"/>
              </w:rPr>
            </w:pPr>
            <w:r>
              <w:rPr>
                <w:rFonts w:ascii="Calibri" w:cs="Calibri" w:eastAsia="Calibri" w:hAnsi="Calibri"/>
                <w:sz w:val="16"/>
                <w:szCs w:val="16"/>
                <w:color w:val="auto"/>
              </w:rPr>
              <w:t>0.08</w:t>
            </w:r>
          </w:p>
        </w:tc>
        <w:tc>
          <w:tcPr>
            <w:tcW w:w="1000" w:type="dxa"/>
            <w:vAlign w:val="bottom"/>
            <w:gridSpan w:val="3"/>
          </w:tcPr>
          <w:p>
            <w:pPr>
              <w:jc w:val="right"/>
              <w:spacing w:after="0" w:line="193" w:lineRule="exact"/>
              <w:rPr>
                <w:sz w:val="20"/>
                <w:szCs w:val="20"/>
                <w:color w:val="auto"/>
              </w:rPr>
            </w:pPr>
            <w:r>
              <w:rPr>
                <w:rFonts w:ascii="Calibri" w:cs="Calibri" w:eastAsia="Calibri" w:hAnsi="Calibri"/>
                <w:sz w:val="16"/>
                <w:szCs w:val="16"/>
                <w:color w:val="auto"/>
              </w:rPr>
              <w:t>0.06</w:t>
            </w: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33.3</w:t>
            </w:r>
          </w:p>
        </w:tc>
        <w:tc>
          <w:tcPr>
            <w:tcW w:w="0" w:type="dxa"/>
            <w:vAlign w:val="bottom"/>
          </w:tcPr>
          <w:p>
            <w:pPr>
              <w:spacing w:after="0"/>
              <w:rPr>
                <w:sz w:val="1"/>
                <w:szCs w:val="1"/>
                <w:color w:val="auto"/>
              </w:rPr>
            </w:pPr>
          </w:p>
        </w:tc>
      </w:tr>
      <w:tr>
        <w:trPr>
          <w:trHeight w:val="23"/>
        </w:trPr>
        <w:tc>
          <w:tcPr>
            <w:tcW w:w="5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Special charges</w:t>
            </w:r>
          </w:p>
        </w:tc>
        <w:tc>
          <w:tcPr>
            <w:tcW w:w="8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0.05</w:t>
            </w:r>
          </w:p>
        </w:tc>
        <w:tc>
          <w:tcPr>
            <w:tcW w:w="1060" w:type="dxa"/>
            <w:vAlign w:val="bottom"/>
            <w:tcBorders>
              <w:bottom w:val="single" w:sz="8" w:color="CCEEFF"/>
            </w:tcBorders>
            <w:gridSpan w:val="3"/>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1.17</w:t>
            </w:r>
          </w:p>
        </w:tc>
        <w:tc>
          <w:tcPr>
            <w:tcW w:w="1360" w:type="dxa"/>
            <w:vAlign w:val="bottom"/>
            <w:tcBorders>
              <w:bottom w:val="single" w:sz="8" w:color="CCEEFF"/>
            </w:tcBorders>
            <w:shd w:val="clear" w:color="auto" w:fill="CCEEFF"/>
          </w:tcPr>
          <w:p>
            <w:pPr>
              <w:jc w:val="right"/>
              <w:ind w:right="140"/>
              <w:spacing w:after="0" w:line="193" w:lineRule="exact"/>
              <w:rPr>
                <w:sz w:val="20"/>
                <w:szCs w:val="20"/>
                <w:color w:val="auto"/>
              </w:rPr>
            </w:pPr>
            <w:r>
              <w:rPr>
                <w:rFonts w:ascii="Calibri" w:cs="Calibri" w:eastAsia="Calibri" w:hAnsi="Calibri"/>
                <w:sz w:val="16"/>
                <w:szCs w:val="16"/>
                <w:color w:val="auto"/>
              </w:rPr>
              <w:t>NM</w:t>
            </w:r>
          </w:p>
        </w:tc>
        <w:tc>
          <w:tcPr>
            <w:tcW w:w="7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0.03</w:t>
            </w:r>
          </w:p>
        </w:tc>
        <w:tc>
          <w:tcPr>
            <w:tcW w:w="1000" w:type="dxa"/>
            <w:vAlign w:val="bottom"/>
            <w:tcBorders>
              <w:bottom w:val="single" w:sz="8" w:color="CCEEFF"/>
            </w:tcBorders>
            <w:gridSpan w:val="3"/>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0.63</w:t>
            </w:r>
          </w:p>
        </w:tc>
        <w:tc>
          <w:tcPr>
            <w:tcW w:w="11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NM</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line="174" w:lineRule="exact"/>
              <w:rPr>
                <w:sz w:val="20"/>
                <w:szCs w:val="20"/>
                <w:color w:val="auto"/>
              </w:rPr>
            </w:pPr>
            <w:r>
              <w:rPr>
                <w:rFonts w:ascii="Calibri" w:cs="Calibri" w:eastAsia="Calibri" w:hAnsi="Calibri"/>
                <w:sz w:val="16"/>
                <w:szCs w:val="16"/>
                <w:color w:val="auto"/>
              </w:rPr>
              <w:t>CASM-ex (Non-GAAP)</w:t>
            </w:r>
          </w:p>
        </w:tc>
        <w:tc>
          <w:tcPr>
            <w:tcW w:w="80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12.10</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11.85</w:t>
            </w:r>
          </w:p>
        </w:tc>
        <w:tc>
          <w:tcPr>
            <w:tcW w:w="1360" w:type="dxa"/>
            <w:vAlign w:val="bottom"/>
          </w:tcPr>
          <w:p>
            <w:pPr>
              <w:jc w:val="right"/>
              <w:ind w:right="180"/>
              <w:spacing w:after="0"/>
              <w:rPr>
                <w:sz w:val="20"/>
                <w:szCs w:val="20"/>
                <w:color w:val="auto"/>
              </w:rPr>
            </w:pPr>
            <w:r>
              <w:rPr>
                <w:rFonts w:ascii="Calibri" w:cs="Calibri" w:eastAsia="Calibri" w:hAnsi="Calibri"/>
                <w:sz w:val="16"/>
                <w:szCs w:val="16"/>
                <w:color w:val="auto"/>
              </w:rPr>
              <w:t>2.1</w:t>
            </w:r>
          </w:p>
        </w:tc>
        <w:tc>
          <w:tcPr>
            <w:tcW w:w="78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12.59</w:t>
            </w:r>
          </w:p>
        </w:tc>
        <w:tc>
          <w:tcPr>
            <w:tcW w:w="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12.18</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3.4</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1"/>
        </w:trPr>
        <w:tc>
          <w:tcPr>
            <w:tcW w:w="5120" w:type="dxa"/>
            <w:vAlign w:val="bottom"/>
          </w:tcPr>
          <w:p>
            <w:pPr>
              <w:spacing w:after="0"/>
              <w:rPr>
                <w:sz w:val="24"/>
                <w:szCs w:val="24"/>
                <w:color w:val="auto"/>
              </w:rPr>
            </w:pPr>
          </w:p>
        </w:tc>
        <w:tc>
          <w:tcPr>
            <w:tcW w:w="800" w:type="dxa"/>
            <w:vAlign w:val="bottom"/>
          </w:tcPr>
          <w:p>
            <w:pPr>
              <w:jc w:val="right"/>
              <w:ind w:right="139"/>
              <w:spacing w:after="0"/>
              <w:rPr>
                <w:sz w:val="20"/>
                <w:szCs w:val="20"/>
                <w:color w:val="auto"/>
              </w:rPr>
            </w:pPr>
            <w:r>
              <w:rPr>
                <w:rFonts w:ascii="Calibri" w:cs="Calibri" w:eastAsia="Calibri" w:hAnsi="Calibri"/>
                <w:sz w:val="16"/>
                <w:szCs w:val="16"/>
                <w:color w:val="auto"/>
              </w:rPr>
              <w:t>12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Calibri" w:cs="Calibri" w:eastAsia="Calibri" w:hAnsi="Calibri"/>
          <w:sz w:val="18"/>
          <w:szCs w:val="18"/>
          <w:color w:val="auto"/>
        </w:rPr>
        <w:t>United Airlines Reports Second-Quarter 2024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2520" w:type="dxa"/>
            <w:vAlign w:val="bottom"/>
            <w:gridSpan w:val="7"/>
          </w:tcPr>
          <w:p>
            <w:pPr>
              <w:jc w:val="right"/>
              <w:ind w:right="79"/>
              <w:spacing w:after="0"/>
              <w:rPr>
                <w:sz w:val="20"/>
                <w:szCs w:val="20"/>
                <w:color w:val="auto"/>
              </w:rPr>
            </w:pPr>
            <w:r>
              <w:rPr>
                <w:rFonts w:ascii="Calibri" w:cs="Calibri" w:eastAsia="Calibri" w:hAnsi="Calibri"/>
                <w:sz w:val="16"/>
                <w:szCs w:val="16"/>
                <w:b w:val="1"/>
                <w:bCs w:val="1"/>
                <w:color w:val="auto"/>
              </w:rPr>
              <w:t>UNITED AIRLINES HOLDINGS, INC.</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7320" w:type="dxa"/>
            <w:vAlign w:val="bottom"/>
            <w:gridSpan w:val="12"/>
          </w:tcPr>
          <w:p>
            <w:pPr>
              <w:ind w:left="3980"/>
              <w:spacing w:after="0"/>
              <w:rPr>
                <w:sz w:val="20"/>
                <w:szCs w:val="20"/>
                <w:color w:val="auto"/>
              </w:rPr>
            </w:pPr>
            <w:r>
              <w:rPr>
                <w:rFonts w:ascii="Calibri" w:cs="Calibri" w:eastAsia="Calibri" w:hAnsi="Calibri"/>
                <w:sz w:val="16"/>
                <w:szCs w:val="16"/>
                <w:color w:val="auto"/>
              </w:rPr>
              <w:t>NON-GAAP FINANCIAL INFORMATION (Contnued)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11"/>
          </w:tcPr>
          <w:p>
            <w:pPr>
              <w:spacing w:after="0"/>
              <w:rPr>
                <w:sz w:val="20"/>
                <w:szCs w:val="20"/>
                <w:color w:val="auto"/>
              </w:rPr>
            </w:pPr>
            <w:r>
              <w:rPr>
                <w:rFonts w:ascii="Calibri" w:cs="Calibri" w:eastAsia="Calibri" w:hAnsi="Calibri"/>
                <w:sz w:val="16"/>
                <w:szCs w:val="16"/>
                <w:color w:val="auto"/>
              </w:rPr>
              <w:t>Twelve Months Ended June</w:t>
            </w:r>
          </w:p>
        </w:tc>
        <w:tc>
          <w:tcPr>
            <w:tcW w:w="0" w:type="dxa"/>
            <w:vAlign w:val="bottom"/>
          </w:tcPr>
          <w:p>
            <w:pPr>
              <w:spacing w:after="0"/>
              <w:rPr>
                <w:sz w:val="1"/>
                <w:szCs w:val="1"/>
                <w:color w:val="auto"/>
              </w:rPr>
            </w:pPr>
          </w:p>
        </w:tc>
      </w:tr>
      <w:tr>
        <w:trPr>
          <w:trHeight w:val="193"/>
        </w:trPr>
        <w:tc>
          <w:tcPr>
            <w:tcW w:w="4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20" w:type="dxa"/>
            <w:vAlign w:val="bottom"/>
            <w:gridSpan w:val="6"/>
          </w:tcPr>
          <w:p>
            <w:pPr>
              <w:jc w:val="right"/>
              <w:spacing w:after="0" w:line="193" w:lineRule="exact"/>
              <w:rPr>
                <w:sz w:val="20"/>
                <w:szCs w:val="20"/>
                <w:color w:val="auto"/>
              </w:rPr>
            </w:pPr>
            <w:r>
              <w:rPr>
                <w:rFonts w:ascii="Calibri" w:cs="Calibri" w:eastAsia="Calibri" w:hAnsi="Calibri"/>
                <w:sz w:val="16"/>
                <w:szCs w:val="16"/>
                <w:color w:val="auto"/>
              </w:rPr>
              <w:t>Three Months Ended June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10"/>
          </w:tcPr>
          <w:p>
            <w:pPr>
              <w:jc w:val="right"/>
              <w:spacing w:after="0" w:line="193" w:lineRule="exact"/>
              <w:rPr>
                <w:sz w:val="20"/>
                <w:szCs w:val="20"/>
                <w:color w:val="auto"/>
              </w:rPr>
            </w:pPr>
            <w:r>
              <w:rPr>
                <w:rFonts w:ascii="Calibri" w:cs="Calibri" w:eastAsia="Calibri" w:hAnsi="Calibri"/>
                <w:sz w:val="16"/>
                <w:szCs w:val="16"/>
                <w:color w:val="auto"/>
              </w:rPr>
              <w:t>Six Months Ended June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4"/>
          </w:tcPr>
          <w:p>
            <w:pPr>
              <w:ind w:left="100"/>
              <w:spacing w:after="0" w:line="193" w:lineRule="exact"/>
              <w:rPr>
                <w:sz w:val="20"/>
                <w:szCs w:val="20"/>
                <w:color w:val="auto"/>
              </w:rPr>
            </w:pPr>
            <w:r>
              <w:rPr>
                <w:rFonts w:ascii="Calibri" w:cs="Calibri" w:eastAsia="Calibri" w:hAnsi="Calibri"/>
                <w:sz w:val="16"/>
                <w:szCs w:val="16"/>
                <w:color w:val="auto"/>
              </w:rPr>
              <w:t>30,</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400" w:type="dxa"/>
            <w:vAlign w:val="bottom"/>
            <w:vMerge w:val="restart"/>
          </w:tcPr>
          <w:p>
            <w:pPr>
              <w:ind w:left="20"/>
              <w:spacing w:after="0"/>
              <w:rPr>
                <w:sz w:val="20"/>
                <w:szCs w:val="20"/>
                <w:color w:val="auto"/>
              </w:rPr>
            </w:pPr>
            <w:r>
              <w:rPr>
                <w:rFonts w:ascii="Calibri" w:cs="Calibri" w:eastAsia="Calibri" w:hAnsi="Calibri"/>
                <w:sz w:val="16"/>
                <w:szCs w:val="16"/>
                <w:b w:val="1"/>
                <w:bCs w:val="1"/>
                <w:color w:val="auto"/>
              </w:rPr>
              <w:t xml:space="preserve">Adjusted EBITDA and EBITDAR </w:t>
            </w:r>
            <w:r>
              <w:rPr>
                <w:rFonts w:ascii="Calibri" w:cs="Calibri" w:eastAsia="Calibri" w:hAnsi="Calibri"/>
                <w:sz w:val="16"/>
                <w:szCs w:val="16"/>
                <w:color w:val="auto"/>
              </w:rPr>
              <w:t>(in millions)</w:t>
            </w:r>
          </w:p>
        </w:tc>
        <w:tc>
          <w:tcPr>
            <w:tcW w:w="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4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239"/>
              <w:spacing w:after="0" w:line="187" w:lineRule="exact"/>
              <w:rPr>
                <w:sz w:val="20"/>
                <w:szCs w:val="20"/>
                <w:color w:val="auto"/>
              </w:rPr>
            </w:pPr>
            <w:r>
              <w:rPr>
                <w:rFonts w:ascii="Calibri" w:cs="Calibri" w:eastAsia="Calibri" w:hAnsi="Calibri"/>
                <w:sz w:val="16"/>
                <w:szCs w:val="16"/>
                <w:color w:val="auto"/>
              </w:rPr>
              <w:t>2024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19"/>
              <w:spacing w:after="0" w:line="187" w:lineRule="exact"/>
              <w:rPr>
                <w:sz w:val="20"/>
                <w:szCs w:val="20"/>
                <w:color w:val="auto"/>
              </w:rPr>
            </w:pPr>
            <w:r>
              <w:rPr>
                <w:rFonts w:ascii="Calibri" w:cs="Calibri" w:eastAsia="Calibri" w:hAnsi="Calibri"/>
                <w:sz w:val="16"/>
                <w:szCs w:val="16"/>
                <w:color w:val="auto"/>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right"/>
              <w:ind w:right="219"/>
              <w:spacing w:after="0" w:line="187" w:lineRule="exact"/>
              <w:rPr>
                <w:sz w:val="20"/>
                <w:szCs w:val="20"/>
                <w:color w:val="auto"/>
              </w:rPr>
            </w:pPr>
            <w:r>
              <w:rPr>
                <w:rFonts w:ascii="Calibri" w:cs="Calibri" w:eastAsia="Calibri" w:hAnsi="Calibri"/>
                <w:sz w:val="16"/>
                <w:szCs w:val="16"/>
                <w:color w:val="auto"/>
              </w:rPr>
              <w:t>2024</w:t>
            </w:r>
          </w:p>
        </w:tc>
        <w:tc>
          <w:tcPr>
            <w:tcW w:w="1020" w:type="dxa"/>
            <w:vAlign w:val="bottom"/>
            <w:gridSpan w:val="5"/>
          </w:tcPr>
          <w:p>
            <w:pPr>
              <w:jc w:val="right"/>
              <w:ind w:right="139"/>
              <w:spacing w:after="0" w:line="187" w:lineRule="exact"/>
              <w:rPr>
                <w:sz w:val="20"/>
                <w:szCs w:val="20"/>
                <w:color w:val="auto"/>
              </w:rPr>
            </w:pPr>
            <w:r>
              <w:rPr>
                <w:rFonts w:ascii="Calibri" w:cs="Calibri" w:eastAsia="Calibri" w:hAnsi="Calibri"/>
                <w:sz w:val="16"/>
                <w:szCs w:val="16"/>
                <w:color w:val="auto"/>
              </w:rPr>
              <w:t>2023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ind w:left="200"/>
              <w:spacing w:after="0" w:line="187" w:lineRule="exact"/>
              <w:rPr>
                <w:sz w:val="20"/>
                <w:szCs w:val="20"/>
                <w:color w:val="auto"/>
              </w:rPr>
            </w:pPr>
            <w:r>
              <w:rPr>
                <w:rFonts w:ascii="Calibri" w:cs="Calibri" w:eastAsia="Calibri" w:hAnsi="Calibri"/>
                <w:sz w:val="16"/>
                <w:szCs w:val="16"/>
                <w:color w:val="auto"/>
              </w:rPr>
              <w:t>2024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00"/>
              <w:spacing w:after="0" w:line="187" w:lineRule="exact"/>
              <w:rPr>
                <w:sz w:val="20"/>
                <w:szCs w:val="20"/>
                <w:color w:val="auto"/>
              </w:rPr>
            </w:pPr>
            <w:r>
              <w:rPr>
                <w:rFonts w:ascii="Calibri" w:cs="Calibri" w:eastAsia="Calibri" w:hAnsi="Calibri"/>
                <w:sz w:val="16"/>
                <w:szCs w:val="16"/>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Net income (GAAP)</w:t>
            </w:r>
          </w:p>
        </w:tc>
        <w:tc>
          <w:tcPr>
            <w:tcW w:w="5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97"/>
              </w:rPr>
              <w:t>$</w:t>
            </w:r>
          </w:p>
        </w:tc>
        <w:tc>
          <w:tcPr>
            <w:tcW w:w="68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rPr>
              <w:t>1,323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shd w:val="clear" w:color="auto" w:fill="CCEEFF"/>
          </w:tcPr>
          <w:p>
            <w:pPr>
              <w:jc w:val="right"/>
              <w:ind w:right="59"/>
              <w:spacing w:after="0" w:line="187" w:lineRule="exact"/>
              <w:rPr>
                <w:sz w:val="20"/>
                <w:szCs w:val="20"/>
                <w:color w:val="auto"/>
              </w:rPr>
            </w:pPr>
            <w:r>
              <w:rPr>
                <w:rFonts w:ascii="Calibri" w:cs="Calibri" w:eastAsia="Calibri" w:hAnsi="Calibri"/>
                <w:sz w:val="16"/>
                <w:szCs w:val="16"/>
                <w:color w:val="auto"/>
                <w:w w:val="97"/>
              </w:rPr>
              <w:t>$</w:t>
            </w:r>
          </w:p>
        </w:tc>
        <w:tc>
          <w:tcPr>
            <w:tcW w:w="700" w:type="dxa"/>
            <w:vAlign w:val="bottom"/>
            <w:tcBorders>
              <w:bottom w:val="single" w:sz="8" w:color="CCEEFF"/>
            </w:tcBorders>
            <w:shd w:val="clear" w:color="auto" w:fill="CCEEFF"/>
          </w:tcPr>
          <w:p>
            <w:pPr>
              <w:jc w:val="right"/>
              <w:ind w:right="59"/>
              <w:spacing w:after="0" w:line="187" w:lineRule="exact"/>
              <w:rPr>
                <w:sz w:val="20"/>
                <w:szCs w:val="20"/>
                <w:color w:val="auto"/>
              </w:rPr>
            </w:pPr>
            <w:r>
              <w:rPr>
                <w:rFonts w:ascii="Calibri" w:cs="Calibri" w:eastAsia="Calibri" w:hAnsi="Calibri"/>
                <w:sz w:val="16"/>
                <w:szCs w:val="16"/>
                <w:color w:val="auto"/>
              </w:rPr>
              <w:t>1,075</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shd w:val="clear" w:color="auto" w:fill="CCEEFF"/>
          </w:tcPr>
          <w:p>
            <w:pPr>
              <w:jc w:val="right"/>
              <w:ind w:right="79"/>
              <w:spacing w:after="0" w:line="187" w:lineRule="exact"/>
              <w:rPr>
                <w:sz w:val="20"/>
                <w:szCs w:val="20"/>
                <w:color w:val="auto"/>
              </w:rPr>
            </w:pPr>
            <w:r>
              <w:rPr>
                <w:rFonts w:ascii="Calibri" w:cs="Calibri" w:eastAsia="Calibri" w:hAnsi="Calibri"/>
                <w:sz w:val="16"/>
                <w:szCs w:val="16"/>
                <w:color w:val="auto"/>
              </w:rPr>
              <w:t>1,199</w:t>
            </w:r>
          </w:p>
        </w:tc>
        <w:tc>
          <w:tcPr>
            <w:tcW w:w="1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19"/>
              <w:spacing w:after="0" w:line="187" w:lineRule="exact"/>
              <w:rPr>
                <w:sz w:val="20"/>
                <w:szCs w:val="20"/>
                <w:color w:val="auto"/>
              </w:rPr>
            </w:pPr>
            <w:r>
              <w:rPr>
                <w:rFonts w:ascii="Calibri" w:cs="Calibri" w:eastAsia="Calibri" w:hAnsi="Calibri"/>
                <w:sz w:val="16"/>
                <w:szCs w:val="16"/>
                <w:color w:val="auto"/>
                <w:w w:val="97"/>
              </w:rPr>
              <w:t>$</w:t>
            </w:r>
          </w:p>
        </w:tc>
        <w:tc>
          <w:tcPr>
            <w:tcW w:w="460" w:type="dxa"/>
            <w:vAlign w:val="bottom"/>
            <w:tcBorders>
              <w:bottom w:val="single" w:sz="8" w:color="CCEEFF"/>
            </w:tcBorders>
            <w:gridSpan w:val="3"/>
            <w:shd w:val="clear" w:color="auto" w:fill="CCEEFF"/>
          </w:tcPr>
          <w:p>
            <w:pPr>
              <w:jc w:val="right"/>
              <w:ind w:right="19"/>
              <w:spacing w:after="0" w:line="187" w:lineRule="exact"/>
              <w:rPr>
                <w:sz w:val="20"/>
                <w:szCs w:val="20"/>
                <w:color w:val="auto"/>
              </w:rPr>
            </w:pPr>
            <w:r>
              <w:rPr>
                <w:rFonts w:ascii="Calibri" w:cs="Calibri" w:eastAsia="Calibri" w:hAnsi="Calibri"/>
                <w:sz w:val="16"/>
                <w:szCs w:val="16"/>
                <w:color w:val="auto"/>
              </w:rPr>
              <w:t>881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center"/>
              <w:spacing w:after="0" w:line="187" w:lineRule="exact"/>
              <w:rPr>
                <w:sz w:val="20"/>
                <w:szCs w:val="20"/>
                <w:color w:val="auto"/>
              </w:rPr>
            </w:pPr>
            <w:r>
              <w:rPr>
                <w:rFonts w:ascii="Calibri" w:cs="Calibri" w:eastAsia="Calibri" w:hAnsi="Calibri"/>
                <w:sz w:val="16"/>
                <w:szCs w:val="16"/>
                <w:color w:val="auto"/>
                <w:w w:val="97"/>
              </w:rPr>
              <w:t>$</w:t>
            </w:r>
          </w:p>
        </w:tc>
        <w:tc>
          <w:tcPr>
            <w:tcW w:w="700" w:type="dxa"/>
            <w:vAlign w:val="bottom"/>
            <w:tcBorders>
              <w:bottom w:val="single" w:sz="8" w:color="CCEEFF"/>
            </w:tcBorders>
            <w:gridSpan w:val="4"/>
            <w:shd w:val="clear" w:color="auto" w:fill="CCEEFF"/>
          </w:tcPr>
          <w:p>
            <w:pPr>
              <w:jc w:val="right"/>
              <w:ind w:right="40"/>
              <w:spacing w:after="0" w:line="187" w:lineRule="exact"/>
              <w:rPr>
                <w:sz w:val="20"/>
                <w:szCs w:val="20"/>
                <w:color w:val="auto"/>
              </w:rPr>
            </w:pPr>
            <w:r>
              <w:rPr>
                <w:rFonts w:ascii="Calibri" w:cs="Calibri" w:eastAsia="Calibri" w:hAnsi="Calibri"/>
                <w:sz w:val="16"/>
                <w:szCs w:val="16"/>
                <w:color w:val="auto"/>
              </w:rPr>
              <w:t>2,936</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840" w:type="dxa"/>
            <w:vAlign w:val="bottom"/>
            <w:tcBorders>
              <w:bottom w:val="single" w:sz="8" w:color="CCEEFF"/>
            </w:tcBorders>
            <w:gridSpan w:val="2"/>
            <w:shd w:val="clear" w:color="auto" w:fill="CCEEFF"/>
          </w:tcPr>
          <w:p>
            <w:pPr>
              <w:jc w:val="right"/>
              <w:ind w:right="160"/>
              <w:spacing w:after="0" w:line="187" w:lineRule="exact"/>
              <w:rPr>
                <w:sz w:val="20"/>
                <w:szCs w:val="20"/>
                <w:color w:val="auto"/>
              </w:rPr>
            </w:pPr>
            <w:r>
              <w:rPr>
                <w:rFonts w:ascii="Calibri" w:cs="Calibri" w:eastAsia="Calibri" w:hAnsi="Calibri"/>
                <w:sz w:val="16"/>
                <w:szCs w:val="16"/>
                <w:color w:val="auto"/>
              </w:rPr>
              <w:t>2,666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00" w:type="dxa"/>
            <w:vAlign w:val="bottom"/>
          </w:tcPr>
          <w:p>
            <w:pPr>
              <w:ind w:left="20"/>
              <w:spacing w:after="0"/>
              <w:rPr>
                <w:sz w:val="20"/>
                <w:szCs w:val="20"/>
                <w:color w:val="auto"/>
              </w:rPr>
            </w:pPr>
            <w:r>
              <w:rPr>
                <w:rFonts w:ascii="Calibri" w:cs="Calibri" w:eastAsia="Calibri" w:hAnsi="Calibri"/>
                <w:sz w:val="16"/>
                <w:szCs w:val="16"/>
                <w:color w:val="auto"/>
              </w:rPr>
              <w:t>Adjusted for:</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Depreciaton and amortzaton</w:t>
            </w:r>
          </w:p>
        </w:tc>
        <w:tc>
          <w:tcPr>
            <w:tcW w:w="5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719</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rPr>
              <w:t>669</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3"/>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1,427</w:t>
            </w: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3"/>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3"/>
              </w:rPr>
              <w:t>1,324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4"/>
            <w:shd w:val="clear" w:color="auto" w:fill="CCEEFF"/>
          </w:tcPr>
          <w:p>
            <w:pPr>
              <w:jc w:val="right"/>
              <w:ind w:right="40"/>
              <w:spacing w:after="0" w:line="193" w:lineRule="exact"/>
              <w:rPr>
                <w:sz w:val="20"/>
                <w:szCs w:val="20"/>
                <w:color w:val="auto"/>
              </w:rPr>
            </w:pPr>
            <w:r>
              <w:rPr>
                <w:rFonts w:ascii="Calibri" w:cs="Calibri" w:eastAsia="Calibri" w:hAnsi="Calibri"/>
                <w:sz w:val="16"/>
                <w:szCs w:val="16"/>
                <w:color w:val="auto"/>
              </w:rPr>
              <w:t>2,774</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2,558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00" w:type="dxa"/>
            <w:vAlign w:val="bottom"/>
          </w:tcPr>
          <w:p>
            <w:pPr>
              <w:ind w:left="140"/>
              <w:spacing w:after="0" w:line="193" w:lineRule="exact"/>
              <w:rPr>
                <w:sz w:val="20"/>
                <w:szCs w:val="20"/>
                <w:color w:val="auto"/>
              </w:rPr>
            </w:pPr>
            <w:r>
              <w:rPr>
                <w:rFonts w:ascii="Calibri" w:cs="Calibri" w:eastAsia="Calibri" w:hAnsi="Calibri"/>
                <w:sz w:val="16"/>
                <w:szCs w:val="16"/>
                <w:color w:val="auto"/>
              </w:rPr>
              <w:t>Interest expense, net of capitalized interest and interest income</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177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235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right"/>
              <w:ind w:right="79"/>
              <w:spacing w:after="0" w:line="193" w:lineRule="exact"/>
              <w:rPr>
                <w:sz w:val="20"/>
                <w:szCs w:val="20"/>
                <w:color w:val="auto"/>
              </w:rPr>
            </w:pPr>
            <w:r>
              <w:rPr>
                <w:rFonts w:ascii="Calibri" w:cs="Calibri" w:eastAsia="Calibri" w:hAnsi="Calibri"/>
                <w:sz w:val="16"/>
                <w:szCs w:val="16"/>
                <w:color w:val="auto"/>
              </w:rPr>
              <w:t>393</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gridSpan w:val="3"/>
          </w:tcPr>
          <w:p>
            <w:pPr>
              <w:jc w:val="right"/>
              <w:ind w:right="19"/>
              <w:spacing w:after="0" w:line="193" w:lineRule="exact"/>
              <w:rPr>
                <w:sz w:val="20"/>
                <w:szCs w:val="20"/>
                <w:color w:val="auto"/>
              </w:rPr>
            </w:pPr>
            <w:r>
              <w:rPr>
                <w:rFonts w:ascii="Calibri" w:cs="Calibri" w:eastAsia="Calibri" w:hAnsi="Calibri"/>
                <w:sz w:val="16"/>
                <w:szCs w:val="16"/>
                <w:color w:val="auto"/>
              </w:rPr>
              <w:t>513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4"/>
          </w:tcPr>
          <w:p>
            <w:pPr>
              <w:jc w:val="right"/>
              <w:ind w:right="40"/>
              <w:spacing w:after="0" w:line="193" w:lineRule="exact"/>
              <w:rPr>
                <w:sz w:val="20"/>
                <w:szCs w:val="20"/>
                <w:color w:val="auto"/>
              </w:rPr>
            </w:pPr>
            <w:r>
              <w:rPr>
                <w:rFonts w:ascii="Calibri" w:cs="Calibri" w:eastAsia="Calibri" w:hAnsi="Calibri"/>
                <w:sz w:val="16"/>
                <w:szCs w:val="16"/>
                <w:color w:val="auto"/>
              </w:rPr>
              <w:t>827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1,128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Income tax expense</w:t>
            </w:r>
          </w:p>
        </w:tc>
        <w:tc>
          <w:tcPr>
            <w:tcW w:w="5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416</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rPr>
              <w:t>312</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3"/>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376</w:t>
            </w: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3"/>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rPr>
              <w:t>250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4"/>
            <w:shd w:val="clear" w:color="auto" w:fill="CCEEFF"/>
          </w:tcPr>
          <w:p>
            <w:pPr>
              <w:jc w:val="right"/>
              <w:ind w:right="40"/>
              <w:spacing w:after="0" w:line="193" w:lineRule="exact"/>
              <w:rPr>
                <w:sz w:val="20"/>
                <w:szCs w:val="20"/>
                <w:color w:val="auto"/>
              </w:rPr>
            </w:pPr>
            <w:r>
              <w:rPr>
                <w:rFonts w:ascii="Calibri" w:cs="Calibri" w:eastAsia="Calibri" w:hAnsi="Calibri"/>
                <w:sz w:val="16"/>
                <w:szCs w:val="16"/>
                <w:color w:val="auto"/>
              </w:rPr>
              <w:t>895</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748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00" w:type="dxa"/>
            <w:vAlign w:val="bottom"/>
          </w:tcPr>
          <w:p>
            <w:pPr>
              <w:ind w:left="140"/>
              <w:spacing w:after="0" w:line="193" w:lineRule="exact"/>
              <w:rPr>
                <w:sz w:val="20"/>
                <w:szCs w:val="20"/>
                <w:color w:val="auto"/>
              </w:rPr>
            </w:pPr>
            <w:r>
              <w:rPr>
                <w:rFonts w:ascii="Calibri" w:cs="Calibri" w:eastAsia="Calibri" w:hAnsi="Calibri"/>
                <w:sz w:val="16"/>
                <w:szCs w:val="16"/>
                <w:color w:val="auto"/>
              </w:rPr>
              <w:t>Special charges</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36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859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right"/>
              <w:ind w:right="79"/>
              <w:spacing w:after="0" w:line="193" w:lineRule="exact"/>
              <w:rPr>
                <w:sz w:val="20"/>
                <w:szCs w:val="20"/>
                <w:color w:val="auto"/>
              </w:rPr>
            </w:pPr>
            <w:r>
              <w:rPr>
                <w:rFonts w:ascii="Calibri" w:cs="Calibri" w:eastAsia="Calibri" w:hAnsi="Calibri"/>
                <w:sz w:val="16"/>
                <w:szCs w:val="16"/>
                <w:color w:val="auto"/>
              </w:rPr>
              <w:t>49</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gridSpan w:val="3"/>
          </w:tcPr>
          <w:p>
            <w:pPr>
              <w:jc w:val="right"/>
              <w:ind w:right="19"/>
              <w:spacing w:after="0" w:line="193" w:lineRule="exact"/>
              <w:rPr>
                <w:sz w:val="20"/>
                <w:szCs w:val="20"/>
                <w:color w:val="auto"/>
              </w:rPr>
            </w:pPr>
            <w:r>
              <w:rPr>
                <w:rFonts w:ascii="Calibri" w:cs="Calibri" w:eastAsia="Calibri" w:hAnsi="Calibri"/>
                <w:sz w:val="16"/>
                <w:szCs w:val="16"/>
                <w:color w:val="auto"/>
              </w:rPr>
              <w:t>873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4"/>
          </w:tcPr>
          <w:p>
            <w:pPr>
              <w:jc w:val="right"/>
              <w:ind w:right="40"/>
              <w:spacing w:after="0" w:line="193" w:lineRule="exact"/>
              <w:rPr>
                <w:sz w:val="20"/>
                <w:szCs w:val="20"/>
                <w:color w:val="auto"/>
              </w:rPr>
            </w:pPr>
            <w:r>
              <w:rPr>
                <w:rFonts w:ascii="Calibri" w:cs="Calibri" w:eastAsia="Calibri" w:hAnsi="Calibri"/>
                <w:sz w:val="16"/>
                <w:szCs w:val="16"/>
                <w:color w:val="auto"/>
              </w:rPr>
              <w:t>125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909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Nonoperatng unrealized (gains) losses on investments, net</w:t>
            </w:r>
          </w:p>
        </w:tc>
        <w:tc>
          <w:tcPr>
            <w:tcW w:w="5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rPr>
              <w:t>(84)</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3"/>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70</w:t>
            </w: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3"/>
            <w:shd w:val="clear" w:color="auto" w:fill="CCEEFF"/>
          </w:tcPr>
          <w:p>
            <w:pPr>
              <w:jc w:val="center"/>
              <w:spacing w:after="0" w:line="193" w:lineRule="exact"/>
              <w:rPr>
                <w:sz w:val="20"/>
                <w:szCs w:val="20"/>
                <w:color w:val="auto"/>
              </w:rPr>
            </w:pPr>
            <w:r>
              <w:rPr>
                <w:rFonts w:ascii="Calibri" w:cs="Calibri" w:eastAsia="Calibri" w:hAnsi="Calibri"/>
                <w:sz w:val="16"/>
                <w:szCs w:val="16"/>
                <w:color w:val="auto"/>
                <w:w w:val="99"/>
              </w:rPr>
              <w:t>(108)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4"/>
            <w:shd w:val="clear" w:color="auto" w:fill="CCEEFF"/>
          </w:tcPr>
          <w:p>
            <w:pPr>
              <w:jc w:val="right"/>
              <w:ind w:right="40"/>
              <w:spacing w:after="0" w:line="193" w:lineRule="exact"/>
              <w:rPr>
                <w:sz w:val="20"/>
                <w:szCs w:val="20"/>
                <w:color w:val="auto"/>
              </w:rPr>
            </w:pPr>
            <w:r>
              <w:rPr>
                <w:rFonts w:ascii="Calibri" w:cs="Calibri" w:eastAsia="Calibri" w:hAnsi="Calibri"/>
                <w:sz w:val="16"/>
                <w:szCs w:val="16"/>
                <w:color w:val="auto"/>
              </w:rPr>
              <w:t>151</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20"/>
              <w:spacing w:after="0" w:line="193" w:lineRule="exact"/>
              <w:rPr>
                <w:sz w:val="20"/>
                <w:szCs w:val="20"/>
                <w:color w:val="auto"/>
              </w:rPr>
            </w:pPr>
            <w:r>
              <w:rPr>
                <w:rFonts w:ascii="Calibri" w:cs="Calibri" w:eastAsia="Calibri" w:hAnsi="Calibri"/>
                <w:sz w:val="16"/>
                <w:szCs w:val="16"/>
                <w:color w:val="auto"/>
              </w:rPr>
              <w:t>(168)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00" w:type="dxa"/>
            <w:vAlign w:val="bottom"/>
          </w:tcPr>
          <w:p>
            <w:pPr>
              <w:ind w:left="140"/>
              <w:spacing w:after="0" w:line="193" w:lineRule="exact"/>
              <w:rPr>
                <w:sz w:val="20"/>
                <w:szCs w:val="20"/>
                <w:color w:val="auto"/>
              </w:rPr>
            </w:pPr>
            <w:r>
              <w:rPr>
                <w:rFonts w:ascii="Calibri" w:cs="Calibri" w:eastAsia="Calibri" w:hAnsi="Calibri"/>
                <w:sz w:val="16"/>
                <w:szCs w:val="16"/>
                <w:color w:val="auto"/>
              </w:rPr>
              <w:t>Nonoperatng debt extnguishment and modifcaton fees</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280"/>
              <w:spacing w:after="0" w:line="193" w:lineRule="exact"/>
              <w:rPr>
                <w:sz w:val="20"/>
                <w:szCs w:val="20"/>
                <w:color w:val="auto"/>
              </w:rPr>
            </w:pPr>
            <w:r>
              <w:rPr>
                <w:rFonts w:ascii="Calibri" w:cs="Calibri" w:eastAsia="Calibri" w:hAnsi="Calibri"/>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right"/>
              <w:ind w:right="79"/>
              <w:spacing w:after="0" w:line="193" w:lineRule="exact"/>
              <w:rPr>
                <w:sz w:val="20"/>
                <w:szCs w:val="20"/>
                <w:color w:val="auto"/>
              </w:rPr>
            </w:pPr>
            <w:r>
              <w:rPr>
                <w:rFonts w:ascii="Calibri" w:cs="Calibri" w:eastAsia="Calibri" w:hAnsi="Calibri"/>
                <w:sz w:val="16"/>
                <w:szCs w:val="16"/>
                <w:color w:val="auto"/>
              </w:rPr>
              <w:t>35</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gridSpan w:val="3"/>
          </w:tcPr>
          <w:p>
            <w:pPr>
              <w:jc w:val="right"/>
              <w:ind w:right="19"/>
              <w:spacing w:after="0" w:line="193" w:lineRule="exact"/>
              <w:rPr>
                <w:sz w:val="20"/>
                <w:szCs w:val="20"/>
                <w:color w:val="auto"/>
              </w:rPr>
            </w:pPr>
            <w:r>
              <w:rPr>
                <w:rFonts w:ascii="Calibri" w:cs="Calibri" w:eastAsia="Calibri" w:hAnsi="Calibri"/>
                <w:sz w:val="16"/>
                <w:szCs w:val="16"/>
                <w:color w:val="auto"/>
              </w:rPr>
              <w:t>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4"/>
          </w:tcPr>
          <w:p>
            <w:pPr>
              <w:jc w:val="right"/>
              <w:ind w:right="40"/>
              <w:spacing w:after="0" w:line="193" w:lineRule="exact"/>
              <w:rPr>
                <w:sz w:val="20"/>
                <w:szCs w:val="20"/>
                <w:color w:val="auto"/>
              </w:rPr>
            </w:pPr>
            <w:r>
              <w:rPr>
                <w:rFonts w:ascii="Calibri" w:cs="Calibri" w:eastAsia="Calibri" w:hAnsi="Calibri"/>
                <w:sz w:val="16"/>
                <w:szCs w:val="16"/>
                <w:color w:val="auto"/>
              </w:rPr>
              <w:t>35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6"/>
                <w:szCs w:val="16"/>
                <w:color w:val="auto"/>
              </w:rPr>
              <w:t>Adjusted EBITDA (non-GAAP)</w:t>
            </w:r>
          </w:p>
        </w:tc>
        <w:tc>
          <w:tcPr>
            <w:tcW w:w="5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680" w:type="dxa"/>
            <w:vAlign w:val="bottom"/>
            <w:tcBorders>
              <w:bottom w:val="single" w:sz="8" w:color="auto"/>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2,704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700" w:type="dxa"/>
            <w:vAlign w:val="bottom"/>
            <w:tcBorders>
              <w:bottom w:val="single" w:sz="8" w:color="auto"/>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rPr>
              <w:t>3,077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3,549</w:t>
            </w: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line="193" w:lineRule="exact"/>
              <w:rPr>
                <w:sz w:val="20"/>
                <w:szCs w:val="20"/>
                <w:color w:val="auto"/>
              </w:rPr>
            </w:pPr>
            <w:r>
              <w:rPr>
                <w:rFonts w:ascii="Calibri" w:cs="Calibri" w:eastAsia="Calibri" w:hAnsi="Calibri"/>
                <w:sz w:val="16"/>
                <w:szCs w:val="16"/>
                <w:color w:val="auto"/>
                <w:w w:val="97"/>
              </w:rPr>
              <w:t>$</w:t>
            </w:r>
          </w:p>
        </w:tc>
        <w:tc>
          <w:tcPr>
            <w:tcW w:w="460" w:type="dxa"/>
            <w:vAlign w:val="bottom"/>
            <w:tcBorders>
              <w:bottom w:val="single" w:sz="8" w:color="auto"/>
            </w:tcBorders>
            <w:gridSpan w:val="3"/>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3"/>
              </w:rPr>
              <w:t>3,744</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center"/>
              <w:spacing w:after="0" w:line="193" w:lineRule="exact"/>
              <w:rPr>
                <w:sz w:val="20"/>
                <w:szCs w:val="20"/>
                <w:color w:val="auto"/>
              </w:rPr>
            </w:pPr>
            <w:r>
              <w:rPr>
                <w:rFonts w:ascii="Calibri" w:cs="Calibri" w:eastAsia="Calibri" w:hAnsi="Calibri"/>
                <w:sz w:val="16"/>
                <w:szCs w:val="16"/>
                <w:color w:val="auto"/>
                <w:w w:val="97"/>
              </w:rPr>
              <w:t>$</w:t>
            </w:r>
          </w:p>
        </w:tc>
        <w:tc>
          <w:tcPr>
            <w:tcW w:w="700" w:type="dxa"/>
            <w:vAlign w:val="bottom"/>
            <w:tcBorders>
              <w:bottom w:val="single" w:sz="8" w:color="auto"/>
            </w:tcBorders>
            <w:gridSpan w:val="4"/>
            <w:shd w:val="clear" w:color="auto" w:fill="CCEEFF"/>
          </w:tcPr>
          <w:p>
            <w:pPr>
              <w:jc w:val="right"/>
              <w:ind w:right="40"/>
              <w:spacing w:after="0" w:line="193" w:lineRule="exact"/>
              <w:rPr>
                <w:sz w:val="20"/>
                <w:szCs w:val="20"/>
                <w:color w:val="auto"/>
              </w:rPr>
            </w:pPr>
            <w:r>
              <w:rPr>
                <w:rFonts w:ascii="Calibri" w:cs="Calibri" w:eastAsia="Calibri" w:hAnsi="Calibri"/>
                <w:sz w:val="16"/>
                <w:szCs w:val="16"/>
                <w:color w:val="auto"/>
              </w:rPr>
              <w:t>7,743</w:t>
            </w:r>
          </w:p>
        </w:tc>
        <w:tc>
          <w:tcPr>
            <w:tcW w:w="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840" w:type="dxa"/>
            <w:vAlign w:val="bottom"/>
            <w:tcBorders>
              <w:bottom w:val="single" w:sz="8" w:color="auto"/>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7,852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Calibri" w:cs="Calibri" w:eastAsia="Calibri" w:hAnsi="Calibri"/>
                <w:sz w:val="16"/>
                <w:szCs w:val="16"/>
                <w:i w:val="1"/>
                <w:iCs w:val="1"/>
                <w:color w:val="auto"/>
              </w:rPr>
              <w:t>Adjusted EBITDA margin (non-GAAP)</w:t>
            </w:r>
          </w:p>
        </w:tc>
        <w:tc>
          <w:tcPr>
            <w:tcW w:w="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4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spacing w:after="0" w:line="168" w:lineRule="exact"/>
              <w:rPr>
                <w:sz w:val="20"/>
                <w:szCs w:val="20"/>
                <w:color w:val="auto"/>
              </w:rPr>
            </w:pPr>
            <w:r>
              <w:rPr>
                <w:rFonts w:ascii="Calibri" w:cs="Calibri" w:eastAsia="Calibri" w:hAnsi="Calibri"/>
                <w:sz w:val="16"/>
                <w:szCs w:val="16"/>
                <w:i w:val="1"/>
                <w:iCs w:val="1"/>
                <w:color w:val="auto"/>
              </w:rPr>
              <w:t>18.0 %</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spacing w:after="0" w:line="168" w:lineRule="exact"/>
              <w:rPr>
                <w:sz w:val="20"/>
                <w:szCs w:val="20"/>
                <w:color w:val="auto"/>
              </w:rPr>
            </w:pPr>
            <w:r>
              <w:rPr>
                <w:rFonts w:ascii="Calibri" w:cs="Calibri" w:eastAsia="Calibri" w:hAnsi="Calibri"/>
                <w:sz w:val="16"/>
                <w:szCs w:val="16"/>
                <w:i w:val="1"/>
                <w:iCs w:val="1"/>
                <w:color w:val="auto"/>
              </w:rPr>
              <w:t>21.7 %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spacing w:after="0" w:line="168" w:lineRule="exact"/>
              <w:rPr>
                <w:sz w:val="20"/>
                <w:szCs w:val="20"/>
                <w:color w:val="auto"/>
              </w:rPr>
            </w:pPr>
            <w:r>
              <w:rPr>
                <w:rFonts w:ascii="Calibri" w:cs="Calibri" w:eastAsia="Calibri" w:hAnsi="Calibri"/>
                <w:sz w:val="16"/>
                <w:szCs w:val="16"/>
                <w:i w:val="1"/>
                <w:iCs w:val="1"/>
                <w:color w:val="auto"/>
              </w:rPr>
              <w:t>12.9 %</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gridSpan w:val="4"/>
          </w:tcPr>
          <w:p>
            <w:pPr>
              <w:jc w:val="right"/>
              <w:spacing w:after="0" w:line="168" w:lineRule="exact"/>
              <w:rPr>
                <w:sz w:val="20"/>
                <w:szCs w:val="20"/>
                <w:color w:val="auto"/>
              </w:rPr>
            </w:pPr>
            <w:r>
              <w:rPr>
                <w:rFonts w:ascii="Calibri" w:cs="Calibri" w:eastAsia="Calibri" w:hAnsi="Calibri"/>
                <w:sz w:val="16"/>
                <w:szCs w:val="16"/>
                <w:i w:val="1"/>
                <w:iCs w:val="1"/>
                <w:color w:val="auto"/>
              </w:rPr>
              <w:t>14.6 %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6"/>
          </w:tcPr>
          <w:p>
            <w:pPr>
              <w:jc w:val="right"/>
              <w:spacing w:after="0" w:line="168" w:lineRule="exact"/>
              <w:rPr>
                <w:sz w:val="20"/>
                <w:szCs w:val="20"/>
                <w:color w:val="auto"/>
              </w:rPr>
            </w:pPr>
            <w:r>
              <w:rPr>
                <w:rFonts w:ascii="Calibri" w:cs="Calibri" w:eastAsia="Calibri" w:hAnsi="Calibri"/>
                <w:sz w:val="16"/>
                <w:szCs w:val="16"/>
                <w:i w:val="1"/>
                <w:iCs w:val="1"/>
                <w:color w:val="auto"/>
              </w:rPr>
              <w:t>13.9 %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0"/>
              <w:spacing w:after="0" w:line="168" w:lineRule="exact"/>
              <w:rPr>
                <w:sz w:val="20"/>
                <w:szCs w:val="20"/>
                <w:color w:val="auto"/>
              </w:rPr>
            </w:pPr>
            <w:r>
              <w:rPr>
                <w:rFonts w:ascii="Calibri" w:cs="Calibri" w:eastAsia="Calibri" w:hAnsi="Calibri"/>
                <w:sz w:val="16"/>
                <w:szCs w:val="16"/>
                <w:i w:val="1"/>
                <w:iCs w:val="1"/>
                <w:color w:val="auto"/>
              </w:rPr>
              <w:t>15.4 %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4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Adjusted EBITDA (non-GAAP)</w:t>
            </w:r>
          </w:p>
        </w:tc>
        <w:tc>
          <w:tcPr>
            <w:tcW w:w="800" w:type="dxa"/>
            <w:vAlign w:val="bottom"/>
            <w:tcBorders>
              <w:bottom w:val="single" w:sz="8" w:color="CCEEFF"/>
            </w:tcBorders>
            <w:gridSpan w:val="2"/>
            <w:shd w:val="clear" w:color="auto" w:fill="CCEEFF"/>
          </w:tcPr>
          <w:p>
            <w:pPr>
              <w:jc w:val="right"/>
              <w:ind w:right="119"/>
              <w:spacing w:after="0" w:line="193" w:lineRule="exact"/>
              <w:rPr>
                <w:sz w:val="20"/>
                <w:szCs w:val="20"/>
                <w:color w:val="auto"/>
              </w:rPr>
            </w:pPr>
            <w:r>
              <w:rPr>
                <w:rFonts w:ascii="Calibri" w:cs="Calibri" w:eastAsia="Calibri" w:hAnsi="Calibri"/>
                <w:sz w:val="16"/>
                <w:szCs w:val="16"/>
                <w:color w:val="auto"/>
              </w:rPr>
              <w:t>$</w:t>
            </w:r>
          </w:p>
        </w:tc>
        <w:tc>
          <w:tcPr>
            <w:tcW w:w="68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2,704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700" w:type="dxa"/>
            <w:vAlign w:val="bottom"/>
            <w:tcBorders>
              <w:bottom w:val="single" w:sz="8" w:color="CCEEFF"/>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rPr>
              <w:t>3,077</w:t>
            </w:r>
          </w:p>
        </w:tc>
        <w:tc>
          <w:tcPr>
            <w:tcW w:w="320" w:type="dxa"/>
            <w:vAlign w:val="bottom"/>
            <w:tcBorders>
              <w:bottom w:val="single" w:sz="8" w:color="CCEEFF"/>
            </w:tcBorders>
            <w:gridSpan w:val="3"/>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3"/>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3,549</w:t>
            </w:r>
          </w:p>
        </w:tc>
        <w:tc>
          <w:tcPr>
            <w:tcW w:w="560" w:type="dxa"/>
            <w:vAlign w:val="bottom"/>
            <w:tcBorders>
              <w:bottom w:val="single" w:sz="8" w:color="CCEEFF"/>
            </w:tcBorders>
            <w:gridSpan w:val="2"/>
            <w:shd w:val="clear" w:color="auto" w:fill="CCEEFF"/>
          </w:tcPr>
          <w:p>
            <w:pPr>
              <w:jc w:val="right"/>
              <w:ind w:right="219"/>
              <w:spacing w:after="0" w:line="193" w:lineRule="exact"/>
              <w:rPr>
                <w:sz w:val="20"/>
                <w:szCs w:val="20"/>
                <w:color w:val="auto"/>
              </w:rPr>
            </w:pPr>
            <w:r>
              <w:rPr>
                <w:rFonts w:ascii="Calibri" w:cs="Calibri" w:eastAsia="Calibri" w:hAnsi="Calibri"/>
                <w:sz w:val="16"/>
                <w:szCs w:val="16"/>
                <w:color w:val="auto"/>
              </w:rPr>
              <w:t>$</w:t>
            </w:r>
          </w:p>
        </w:tc>
        <w:tc>
          <w:tcPr>
            <w:tcW w:w="460" w:type="dxa"/>
            <w:vAlign w:val="bottom"/>
            <w:tcBorders>
              <w:bottom w:val="single" w:sz="8" w:color="CCEEFF"/>
            </w:tcBorders>
            <w:gridSpan w:val="3"/>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3"/>
              </w:rPr>
              <w:t>3,744</w:t>
            </w:r>
          </w:p>
        </w:tc>
        <w:tc>
          <w:tcPr>
            <w:tcW w:w="280" w:type="dxa"/>
            <w:vAlign w:val="bottom"/>
            <w:tcBorders>
              <w:bottom w:val="single" w:sz="8" w:color="CCEEFF"/>
            </w:tcBorders>
            <w:gridSpan w:val="3"/>
            <w:shd w:val="clear" w:color="auto" w:fill="CCEEFF"/>
          </w:tcPr>
          <w:p>
            <w:pPr>
              <w:jc w:val="center"/>
              <w:ind w:left="119"/>
              <w:spacing w:after="0" w:line="193" w:lineRule="exact"/>
              <w:rPr>
                <w:sz w:val="20"/>
                <w:szCs w:val="20"/>
                <w:color w:val="auto"/>
              </w:rPr>
            </w:pPr>
            <w:r>
              <w:rPr>
                <w:rFonts w:ascii="Calibri" w:cs="Calibri" w:eastAsia="Calibri" w:hAnsi="Calibri"/>
                <w:sz w:val="16"/>
                <w:szCs w:val="16"/>
                <w:color w:val="auto"/>
                <w:w w:val="97"/>
              </w:rPr>
              <w:t>$</w:t>
            </w:r>
          </w:p>
        </w:tc>
        <w:tc>
          <w:tcPr>
            <w:tcW w:w="700" w:type="dxa"/>
            <w:vAlign w:val="bottom"/>
            <w:tcBorders>
              <w:bottom w:val="single" w:sz="8" w:color="CCEEFF"/>
            </w:tcBorders>
            <w:gridSpan w:val="4"/>
            <w:shd w:val="clear" w:color="auto" w:fill="CCEEFF"/>
          </w:tcPr>
          <w:p>
            <w:pPr>
              <w:jc w:val="right"/>
              <w:ind w:right="40"/>
              <w:spacing w:after="0" w:line="193" w:lineRule="exact"/>
              <w:rPr>
                <w:sz w:val="20"/>
                <w:szCs w:val="20"/>
                <w:color w:val="auto"/>
              </w:rPr>
            </w:pPr>
            <w:r>
              <w:rPr>
                <w:rFonts w:ascii="Calibri" w:cs="Calibri" w:eastAsia="Calibri" w:hAnsi="Calibri"/>
                <w:sz w:val="16"/>
                <w:szCs w:val="16"/>
                <w:color w:val="auto"/>
              </w:rPr>
              <w:t>7,743</w:t>
            </w:r>
          </w:p>
        </w:tc>
        <w:tc>
          <w:tcPr>
            <w:tcW w:w="360" w:type="dxa"/>
            <w:vAlign w:val="bottom"/>
            <w:tcBorders>
              <w:bottom w:val="single" w:sz="8" w:color="CCEEFF"/>
            </w:tcBorders>
            <w:gridSpan w:val="4"/>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c>
          <w:tcPr>
            <w:tcW w:w="840" w:type="dxa"/>
            <w:vAlign w:val="bottom"/>
            <w:tcBorders>
              <w:bottom w:val="single" w:sz="8" w:color="CCEEFF"/>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7,852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00" w:type="dxa"/>
            <w:vAlign w:val="bottom"/>
          </w:tcPr>
          <w:p>
            <w:pPr>
              <w:ind w:left="140"/>
              <w:spacing w:after="0" w:line="193" w:lineRule="exact"/>
              <w:rPr>
                <w:sz w:val="20"/>
                <w:szCs w:val="20"/>
                <w:color w:val="auto"/>
              </w:rPr>
            </w:pPr>
            <w:r>
              <w:rPr>
                <w:rFonts w:ascii="Calibri" w:cs="Calibri" w:eastAsia="Calibri" w:hAnsi="Calibri"/>
                <w:sz w:val="16"/>
                <w:szCs w:val="16"/>
                <w:color w:val="auto"/>
              </w:rPr>
              <w:t>Aircraf rent</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40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49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right"/>
              <w:ind w:right="79"/>
              <w:spacing w:after="0" w:line="193" w:lineRule="exact"/>
              <w:rPr>
                <w:sz w:val="20"/>
                <w:szCs w:val="20"/>
                <w:color w:val="auto"/>
              </w:rPr>
            </w:pPr>
            <w:r>
              <w:rPr>
                <w:rFonts w:ascii="Calibri" w:cs="Calibri" w:eastAsia="Calibri" w:hAnsi="Calibri"/>
                <w:sz w:val="16"/>
                <w:szCs w:val="16"/>
                <w:color w:val="auto"/>
              </w:rPr>
              <w:t>83</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gridSpan w:val="3"/>
          </w:tcPr>
          <w:p>
            <w:pPr>
              <w:jc w:val="right"/>
              <w:ind w:right="19"/>
              <w:spacing w:after="0" w:line="193" w:lineRule="exact"/>
              <w:rPr>
                <w:sz w:val="20"/>
                <w:szCs w:val="20"/>
                <w:color w:val="auto"/>
              </w:rPr>
            </w:pPr>
            <w:r>
              <w:rPr>
                <w:rFonts w:ascii="Calibri" w:cs="Calibri" w:eastAsia="Calibri" w:hAnsi="Calibri"/>
                <w:sz w:val="16"/>
                <w:szCs w:val="16"/>
                <w:color w:val="auto"/>
              </w:rPr>
              <w:t>105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4"/>
          </w:tcPr>
          <w:p>
            <w:pPr>
              <w:jc w:val="right"/>
              <w:ind w:right="40"/>
              <w:spacing w:after="0" w:line="193" w:lineRule="exact"/>
              <w:rPr>
                <w:sz w:val="20"/>
                <w:szCs w:val="20"/>
                <w:color w:val="auto"/>
              </w:rPr>
            </w:pPr>
            <w:r>
              <w:rPr>
                <w:rFonts w:ascii="Calibri" w:cs="Calibri" w:eastAsia="Calibri" w:hAnsi="Calibri"/>
                <w:sz w:val="16"/>
                <w:szCs w:val="16"/>
                <w:color w:val="auto"/>
              </w:rPr>
              <w:t>175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229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6"/>
                <w:szCs w:val="16"/>
                <w:color w:val="auto"/>
              </w:rPr>
              <w:t>Adjusted EBITDAR (non-GAAP)</w:t>
            </w:r>
          </w:p>
        </w:tc>
        <w:tc>
          <w:tcPr>
            <w:tcW w:w="5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680" w:type="dxa"/>
            <w:vAlign w:val="bottom"/>
            <w:tcBorders>
              <w:bottom w:val="single" w:sz="8" w:color="auto"/>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2,744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700" w:type="dxa"/>
            <w:vAlign w:val="bottom"/>
            <w:tcBorders>
              <w:bottom w:val="single" w:sz="8" w:color="auto"/>
            </w:tcBorders>
            <w:shd w:val="clear" w:color="auto" w:fill="CCEEFF"/>
          </w:tcPr>
          <w:p>
            <w:pPr>
              <w:jc w:val="right"/>
              <w:ind w:right="59"/>
              <w:spacing w:after="0" w:line="193" w:lineRule="exact"/>
              <w:rPr>
                <w:sz w:val="20"/>
                <w:szCs w:val="20"/>
                <w:color w:val="auto"/>
              </w:rPr>
            </w:pPr>
            <w:r>
              <w:rPr>
                <w:rFonts w:ascii="Calibri" w:cs="Calibri" w:eastAsia="Calibri" w:hAnsi="Calibri"/>
                <w:sz w:val="16"/>
                <w:szCs w:val="16"/>
                <w:color w:val="auto"/>
              </w:rPr>
              <w:t>3,126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3,632</w:t>
            </w: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line="193" w:lineRule="exact"/>
              <w:rPr>
                <w:sz w:val="20"/>
                <w:szCs w:val="20"/>
                <w:color w:val="auto"/>
              </w:rPr>
            </w:pPr>
            <w:r>
              <w:rPr>
                <w:rFonts w:ascii="Calibri" w:cs="Calibri" w:eastAsia="Calibri" w:hAnsi="Calibri"/>
                <w:sz w:val="16"/>
                <w:szCs w:val="16"/>
                <w:color w:val="auto"/>
                <w:w w:val="97"/>
              </w:rPr>
              <w:t>$</w:t>
            </w:r>
          </w:p>
        </w:tc>
        <w:tc>
          <w:tcPr>
            <w:tcW w:w="460" w:type="dxa"/>
            <w:vAlign w:val="bottom"/>
            <w:tcBorders>
              <w:bottom w:val="single" w:sz="8" w:color="auto"/>
            </w:tcBorders>
            <w:gridSpan w:val="3"/>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3"/>
              </w:rPr>
              <w:t>3,849</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center"/>
              <w:spacing w:after="0" w:line="193" w:lineRule="exact"/>
              <w:rPr>
                <w:sz w:val="20"/>
                <w:szCs w:val="20"/>
                <w:color w:val="auto"/>
              </w:rPr>
            </w:pPr>
            <w:r>
              <w:rPr>
                <w:rFonts w:ascii="Calibri" w:cs="Calibri" w:eastAsia="Calibri" w:hAnsi="Calibri"/>
                <w:sz w:val="16"/>
                <w:szCs w:val="16"/>
                <w:color w:val="auto"/>
                <w:w w:val="97"/>
              </w:rPr>
              <w:t>$</w:t>
            </w:r>
          </w:p>
        </w:tc>
        <w:tc>
          <w:tcPr>
            <w:tcW w:w="700" w:type="dxa"/>
            <w:vAlign w:val="bottom"/>
            <w:tcBorders>
              <w:bottom w:val="single" w:sz="8" w:color="auto"/>
            </w:tcBorders>
            <w:gridSpan w:val="4"/>
            <w:shd w:val="clear" w:color="auto" w:fill="CCEEFF"/>
          </w:tcPr>
          <w:p>
            <w:pPr>
              <w:jc w:val="right"/>
              <w:ind w:right="40"/>
              <w:spacing w:after="0" w:line="193" w:lineRule="exact"/>
              <w:rPr>
                <w:sz w:val="20"/>
                <w:szCs w:val="20"/>
                <w:color w:val="auto"/>
              </w:rPr>
            </w:pPr>
            <w:r>
              <w:rPr>
                <w:rFonts w:ascii="Calibri" w:cs="Calibri" w:eastAsia="Calibri" w:hAnsi="Calibri"/>
                <w:sz w:val="16"/>
                <w:szCs w:val="16"/>
                <w:color w:val="auto"/>
              </w:rPr>
              <w:t>7,918</w:t>
            </w:r>
          </w:p>
        </w:tc>
        <w:tc>
          <w:tcPr>
            <w:tcW w:w="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840" w:type="dxa"/>
            <w:vAlign w:val="bottom"/>
            <w:tcBorders>
              <w:bottom w:val="single" w:sz="8" w:color="auto"/>
            </w:tcBorders>
            <w:gridSpan w:val="2"/>
            <w:shd w:val="clear" w:color="auto" w:fill="CCEEFF"/>
          </w:tcPr>
          <w:p>
            <w:pPr>
              <w:jc w:val="right"/>
              <w:ind w:right="160"/>
              <w:spacing w:after="0" w:line="193" w:lineRule="exact"/>
              <w:rPr>
                <w:sz w:val="20"/>
                <w:szCs w:val="20"/>
                <w:color w:val="auto"/>
              </w:rPr>
            </w:pPr>
            <w:r>
              <w:rPr>
                <w:rFonts w:ascii="Calibri" w:cs="Calibri" w:eastAsia="Calibri" w:hAnsi="Calibri"/>
                <w:sz w:val="16"/>
                <w:szCs w:val="16"/>
                <w:color w:val="auto"/>
              </w:rPr>
              <w:t>8,081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10"/>
          </w:tcPr>
          <w:p>
            <w:pPr>
              <w:jc w:val="right"/>
              <w:ind w:right="179"/>
              <w:spacing w:after="0"/>
              <w:rPr>
                <w:sz w:val="20"/>
                <w:szCs w:val="20"/>
                <w:color w:val="auto"/>
              </w:rPr>
            </w:pPr>
            <w:r>
              <w:rPr>
                <w:rFonts w:ascii="Calibri" w:cs="Calibri" w:eastAsia="Calibri" w:hAnsi="Calibri"/>
                <w:sz w:val="16"/>
                <w:szCs w:val="16"/>
                <w:color w:val="auto"/>
              </w:rPr>
              <w:t>Three Months Ended June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13"/>
          </w:tcPr>
          <w:p>
            <w:pPr>
              <w:ind w:left="20"/>
              <w:spacing w:after="0"/>
              <w:rPr>
                <w:sz w:val="20"/>
                <w:szCs w:val="20"/>
                <w:color w:val="auto"/>
              </w:rPr>
            </w:pPr>
            <w:r>
              <w:rPr>
                <w:rFonts w:ascii="Calibri" w:cs="Calibri" w:eastAsia="Calibri" w:hAnsi="Calibri"/>
                <w:sz w:val="16"/>
                <w:szCs w:val="16"/>
                <w:color w:val="auto"/>
              </w:rPr>
              <w:t>Six Months Ended June 30,</w:t>
            </w:r>
          </w:p>
        </w:tc>
        <w:tc>
          <w:tcPr>
            <w:tcW w:w="0" w:type="dxa"/>
            <w:vAlign w:val="bottom"/>
          </w:tcPr>
          <w:p>
            <w:pPr>
              <w:spacing w:after="0"/>
              <w:rPr>
                <w:sz w:val="1"/>
                <w:szCs w:val="1"/>
                <w:color w:val="auto"/>
              </w:rPr>
            </w:pPr>
          </w:p>
        </w:tc>
      </w:tr>
      <w:tr>
        <w:trPr>
          <w:trHeight w:val="28"/>
        </w:trPr>
        <w:tc>
          <w:tcPr>
            <w:tcW w:w="4400" w:type="dxa"/>
            <w:vAlign w:val="bottom"/>
            <w:vMerge w:val="restart"/>
          </w:tcPr>
          <w:p>
            <w:pPr>
              <w:ind w:left="20"/>
              <w:spacing w:after="0"/>
              <w:rPr>
                <w:sz w:val="20"/>
                <w:szCs w:val="20"/>
                <w:color w:val="auto"/>
              </w:rPr>
            </w:pPr>
            <w:r>
              <w:rPr>
                <w:rFonts w:ascii="Calibri" w:cs="Calibri" w:eastAsia="Calibri" w:hAnsi="Calibri"/>
                <w:sz w:val="16"/>
                <w:szCs w:val="16"/>
                <w:b w:val="1"/>
                <w:bCs w:val="1"/>
                <w:color w:val="auto"/>
              </w:rPr>
              <w:t xml:space="preserve">Adjusted Capital Expenditures </w:t>
            </w:r>
            <w:r>
              <w:rPr>
                <w:rFonts w:ascii="Calibri" w:cs="Calibri" w:eastAsia="Calibri" w:hAnsi="Calibri"/>
                <w:sz w:val="16"/>
                <w:szCs w:val="16"/>
                <w:color w:val="auto"/>
              </w:rPr>
              <w:t>(in millions)</w:t>
            </w: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4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39"/>
              <w:spacing w:after="0" w:line="187" w:lineRule="exact"/>
              <w:rPr>
                <w:sz w:val="20"/>
                <w:szCs w:val="20"/>
                <w:color w:val="auto"/>
              </w:rPr>
            </w:pPr>
            <w:r>
              <w:rPr>
                <w:rFonts w:ascii="Calibri" w:cs="Calibri" w:eastAsia="Calibri" w:hAnsi="Calibri"/>
                <w:sz w:val="16"/>
                <w:szCs w:val="16"/>
                <w:color w:val="auto"/>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jc w:val="right"/>
              <w:ind w:right="319"/>
              <w:spacing w:after="0" w:line="187" w:lineRule="exact"/>
              <w:rPr>
                <w:sz w:val="20"/>
                <w:szCs w:val="20"/>
                <w:color w:val="auto"/>
              </w:rPr>
            </w:pPr>
            <w:r>
              <w:rPr>
                <w:rFonts w:ascii="Calibri" w:cs="Calibri" w:eastAsia="Calibri" w:hAnsi="Calibri"/>
                <w:sz w:val="16"/>
                <w:szCs w:val="16"/>
                <w:color w:val="auto"/>
              </w:rPr>
              <w:t>2023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4"/>
          </w:tcPr>
          <w:p>
            <w:pPr>
              <w:jc w:val="right"/>
              <w:ind w:right="159"/>
              <w:spacing w:after="0" w:line="187" w:lineRule="exact"/>
              <w:rPr>
                <w:sz w:val="20"/>
                <w:szCs w:val="20"/>
                <w:color w:val="auto"/>
              </w:rPr>
            </w:pPr>
            <w:r>
              <w:rPr>
                <w:rFonts w:ascii="Calibri" w:cs="Calibri" w:eastAsia="Calibri" w:hAnsi="Calibri"/>
                <w:sz w:val="16"/>
                <w:szCs w:val="16"/>
                <w:color w:val="auto"/>
              </w:rPr>
              <w:t>2024</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line="187" w:lineRule="exact"/>
              <w:rPr>
                <w:sz w:val="20"/>
                <w:szCs w:val="20"/>
                <w:color w:val="auto"/>
              </w:rPr>
            </w:pPr>
            <w:r>
              <w:rPr>
                <w:rFonts w:ascii="Calibri" w:cs="Calibri" w:eastAsia="Calibri" w:hAnsi="Calibri"/>
                <w:sz w:val="16"/>
                <w:szCs w:val="16"/>
                <w:color w:val="auto"/>
              </w:rPr>
              <w:t>2023</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Borders>
              <w:bottom w:val="single" w:sz="8" w:color="CCEEFF"/>
            </w:tcBorders>
            <w:gridSpan w:val="3"/>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gridSpan w:val="3"/>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Capital expenditures, net of fight equipment purchase deposit returns (GAAP)</w:t>
            </w: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20" w:type="dxa"/>
            <w:vAlign w:val="bottom"/>
            <w:tcBorders>
              <w:bottom w:val="single" w:sz="8" w:color="CCEEFF"/>
            </w:tcBorders>
            <w:gridSpan w:val="4"/>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1,164</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4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1,420</w:t>
            </w:r>
          </w:p>
        </w:tc>
        <w:tc>
          <w:tcPr>
            <w:tcW w:w="6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center"/>
              <w:ind w:right="79"/>
              <w:spacing w:after="0" w:line="187" w:lineRule="exact"/>
              <w:rPr>
                <w:sz w:val="20"/>
                <w:szCs w:val="20"/>
                <w:color w:val="auto"/>
              </w:rPr>
            </w:pPr>
            <w:r>
              <w:rPr>
                <w:rFonts w:ascii="Calibri" w:cs="Calibri" w:eastAsia="Calibri" w:hAnsi="Calibri"/>
                <w:sz w:val="16"/>
                <w:szCs w:val="16"/>
                <w:color w:val="auto"/>
                <w:w w:val="97"/>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ind w:left="200"/>
              <w:spacing w:after="0" w:line="187" w:lineRule="exact"/>
              <w:rPr>
                <w:sz w:val="20"/>
                <w:szCs w:val="20"/>
                <w:color w:val="auto"/>
              </w:rPr>
            </w:pPr>
            <w:r>
              <w:rPr>
                <w:rFonts w:ascii="Calibri" w:cs="Calibri" w:eastAsia="Calibri" w:hAnsi="Calibri"/>
                <w:sz w:val="16"/>
                <w:szCs w:val="16"/>
                <w:color w:val="auto"/>
                <w:w w:val="93"/>
              </w:rPr>
              <w:t>2,530</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gridSpan w:val="2"/>
            <w:shd w:val="clear" w:color="auto" w:fill="CCEEFF"/>
          </w:tcPr>
          <w:p>
            <w:pPr>
              <w:ind w:left="20"/>
              <w:spacing w:after="0" w:line="187"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3,263</w:t>
            </w: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980" w:type="dxa"/>
            <w:vAlign w:val="bottom"/>
            <w:gridSpan w:val="5"/>
          </w:tcPr>
          <w:p>
            <w:pPr>
              <w:ind w:left="240"/>
              <w:spacing w:after="0" w:line="157" w:lineRule="exact"/>
              <w:rPr>
                <w:sz w:val="20"/>
                <w:szCs w:val="20"/>
                <w:color w:val="auto"/>
              </w:rPr>
            </w:pPr>
            <w:r>
              <w:rPr>
                <w:rFonts w:ascii="Calibri" w:cs="Calibri" w:eastAsia="Calibri" w:hAnsi="Calibri"/>
                <w:sz w:val="16"/>
                <w:szCs w:val="16"/>
                <w:color w:val="auto"/>
              </w:rPr>
              <w:t>Property and equipment acquired through the issuance of debt, fnance leases, and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400" w:type="dxa"/>
            <w:vAlign w:val="bottom"/>
          </w:tcPr>
          <w:p>
            <w:pPr>
              <w:ind w:left="240"/>
              <w:spacing w:after="0" w:line="193" w:lineRule="exact"/>
              <w:rPr>
                <w:sz w:val="20"/>
                <w:szCs w:val="20"/>
                <w:color w:val="auto"/>
              </w:rPr>
            </w:pPr>
            <w:r>
              <w:rPr>
                <w:rFonts w:ascii="Calibri" w:cs="Calibri" w:eastAsia="Calibri" w:hAnsi="Calibri"/>
                <w:sz w:val="16"/>
                <w:szCs w:val="16"/>
                <w:color w:val="auto"/>
              </w:rPr>
              <w:t>other fnancial liabilites</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4"/>
          </w:tcPr>
          <w:p>
            <w:pPr>
              <w:jc w:val="right"/>
              <w:spacing w:after="0" w:line="193" w:lineRule="exact"/>
              <w:rPr>
                <w:sz w:val="20"/>
                <w:szCs w:val="20"/>
                <w:color w:val="auto"/>
              </w:rPr>
            </w:pPr>
            <w:r>
              <w:rPr>
                <w:rFonts w:ascii="Calibri" w:cs="Calibri" w:eastAsia="Calibri" w:hAnsi="Calibri"/>
                <w:sz w:val="16"/>
                <w:szCs w:val="16"/>
                <w:color w:val="auto"/>
              </w:rPr>
              <w:t>(206)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359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260"/>
              <w:spacing w:after="0" w:line="193" w:lineRule="exact"/>
              <w:rPr>
                <w:sz w:val="20"/>
                <w:szCs w:val="20"/>
                <w:color w:val="auto"/>
              </w:rPr>
            </w:pPr>
            <w:r>
              <w:rPr>
                <w:rFonts w:ascii="Calibri" w:cs="Calibri" w:eastAsia="Calibri" w:hAnsi="Calibri"/>
                <w:sz w:val="16"/>
                <w:szCs w:val="16"/>
                <w:color w:val="auto"/>
                <w:w w:val="99"/>
              </w:rPr>
              <w:t>(206)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559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4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4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6"/>
                <w:szCs w:val="16"/>
                <w:color w:val="auto"/>
              </w:rPr>
              <w:t>Adjusted capital expenditures (Non-GAAP)</w:t>
            </w:r>
          </w:p>
        </w:tc>
        <w:tc>
          <w:tcPr>
            <w:tcW w:w="5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7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3"/>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0"/>
              </w:rPr>
              <w:t>958</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4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1,779</w:t>
            </w:r>
          </w:p>
        </w:tc>
        <w:tc>
          <w:tcPr>
            <w:tcW w:w="60" w:type="dxa"/>
            <w:vAlign w:val="bottom"/>
            <w:tcBorders>
              <w:bottom w:val="single" w:sz="8" w:color="auto"/>
              <w:right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center"/>
              <w:ind w:right="79"/>
              <w:spacing w:after="0" w:line="193" w:lineRule="exact"/>
              <w:rPr>
                <w:sz w:val="20"/>
                <w:szCs w:val="20"/>
                <w:color w:val="auto"/>
              </w:rPr>
            </w:pPr>
            <w:r>
              <w:rPr>
                <w:rFonts w:ascii="Calibri" w:cs="Calibri" w:eastAsia="Calibri" w:hAnsi="Calibri"/>
                <w:sz w:val="16"/>
                <w:szCs w:val="16"/>
                <w:color w:val="auto"/>
                <w:w w:val="97"/>
              </w:rPr>
              <w:t>$</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ind w:left="200"/>
              <w:spacing w:after="0" w:line="193" w:lineRule="exact"/>
              <w:rPr>
                <w:sz w:val="20"/>
                <w:szCs w:val="20"/>
                <w:color w:val="auto"/>
              </w:rPr>
            </w:pPr>
            <w:r>
              <w:rPr>
                <w:rFonts w:ascii="Calibri" w:cs="Calibri" w:eastAsia="Calibri" w:hAnsi="Calibri"/>
                <w:sz w:val="16"/>
                <w:szCs w:val="16"/>
                <w:color w:val="auto"/>
                <w:w w:val="93"/>
              </w:rPr>
              <w:t>2,324</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3,822</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Calibri" w:cs="Calibri" w:eastAsia="Calibri" w:hAnsi="Calibri"/>
                <w:sz w:val="16"/>
                <w:szCs w:val="16"/>
                <w:b w:val="1"/>
                <w:bCs w:val="1"/>
                <w:color w:val="auto"/>
              </w:rPr>
              <w:t xml:space="preserve">Free Cash Flow </w:t>
            </w:r>
            <w:r>
              <w:rPr>
                <w:rFonts w:ascii="Calibri" w:cs="Calibri" w:eastAsia="Calibri" w:hAnsi="Calibri"/>
                <w:sz w:val="16"/>
                <w:szCs w:val="16"/>
                <w:color w:val="auto"/>
              </w:rPr>
              <w:t>(in millions)</w:t>
            </w:r>
          </w:p>
        </w:tc>
        <w:tc>
          <w:tcPr>
            <w:tcW w:w="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Net cash provided by operatng actvites (GAAP)</w:t>
            </w:r>
          </w:p>
        </w:tc>
        <w:tc>
          <w:tcPr>
            <w:tcW w:w="5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c>
          <w:tcPr>
            <w:tcW w:w="1020" w:type="dxa"/>
            <w:vAlign w:val="bottom"/>
            <w:tcBorders>
              <w:bottom w:val="single" w:sz="8" w:color="CCEEFF"/>
            </w:tcBorders>
            <w:gridSpan w:val="4"/>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2,876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c>
          <w:tcPr>
            <w:tcW w:w="4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3,799</w:t>
            </w:r>
          </w:p>
        </w:tc>
        <w:tc>
          <w:tcPr>
            <w:tcW w:w="460" w:type="dxa"/>
            <w:vAlign w:val="bottom"/>
            <w:tcBorders>
              <w:bottom w:val="single" w:sz="8" w:color="CCEEFF"/>
            </w:tcBorders>
            <w:gridSpan w:val="3"/>
            <w:shd w:val="clear" w:color="auto" w:fill="CCEEFF"/>
          </w:tcPr>
          <w:p>
            <w:pPr>
              <w:jc w:val="center"/>
              <w:spacing w:after="0" w:line="193" w:lineRule="exact"/>
              <w:rPr>
                <w:sz w:val="20"/>
                <w:szCs w:val="20"/>
                <w:color w:val="auto"/>
              </w:rPr>
            </w:pPr>
            <w:r>
              <w:rPr>
                <w:rFonts w:ascii="Calibri" w:cs="Calibri" w:eastAsia="Calibri" w:hAnsi="Calibri"/>
                <w:sz w:val="16"/>
                <w:szCs w:val="16"/>
                <w:color w:val="auto"/>
                <w:w w:val="97"/>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ind w:left="200"/>
              <w:spacing w:after="0" w:line="193" w:lineRule="exact"/>
              <w:rPr>
                <w:sz w:val="20"/>
                <w:szCs w:val="20"/>
                <w:color w:val="auto"/>
              </w:rPr>
            </w:pPr>
            <w:r>
              <w:rPr>
                <w:rFonts w:ascii="Calibri" w:cs="Calibri" w:eastAsia="Calibri" w:hAnsi="Calibri"/>
                <w:sz w:val="16"/>
                <w:szCs w:val="16"/>
                <w:color w:val="auto"/>
                <w:w w:val="93"/>
              </w:rPr>
              <w:t>5,723</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3"/>
            <w:shd w:val="clear" w:color="auto" w:fill="CCEEFF"/>
          </w:tcPr>
          <w:p>
            <w:pPr>
              <w:ind w:left="10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6,941</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200" w:type="dxa"/>
            <w:vAlign w:val="bottom"/>
            <w:gridSpan w:val="3"/>
          </w:tcPr>
          <w:p>
            <w:pPr>
              <w:ind w:left="240"/>
              <w:spacing w:after="0" w:line="193" w:lineRule="exact"/>
              <w:rPr>
                <w:sz w:val="20"/>
                <w:szCs w:val="20"/>
                <w:color w:val="auto"/>
              </w:rPr>
            </w:pPr>
            <w:r>
              <w:rPr>
                <w:rFonts w:ascii="Calibri" w:cs="Calibri" w:eastAsia="Calibri" w:hAnsi="Calibri"/>
                <w:sz w:val="16"/>
                <w:szCs w:val="16"/>
                <w:color w:val="auto"/>
              </w:rPr>
              <w:t>Less capital expenditures, net of fight equipment purchase deposit returns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4"/>
          </w:tcPr>
          <w:p>
            <w:pPr>
              <w:jc w:val="right"/>
              <w:spacing w:after="0" w:line="193" w:lineRule="exact"/>
              <w:rPr>
                <w:sz w:val="20"/>
                <w:szCs w:val="20"/>
                <w:color w:val="auto"/>
              </w:rPr>
            </w:pPr>
            <w:r>
              <w:rPr>
                <w:rFonts w:ascii="Calibri" w:cs="Calibri" w:eastAsia="Calibri" w:hAnsi="Calibri"/>
                <w:sz w:val="16"/>
                <w:szCs w:val="16"/>
                <w:color w:val="auto"/>
              </w:rPr>
              <w:t>1,164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1,420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ind w:left="200"/>
              <w:spacing w:after="0" w:line="193" w:lineRule="exact"/>
              <w:rPr>
                <w:sz w:val="20"/>
                <w:szCs w:val="20"/>
                <w:color w:val="auto"/>
              </w:rPr>
            </w:pPr>
            <w:r>
              <w:rPr>
                <w:rFonts w:ascii="Calibri" w:cs="Calibri" w:eastAsia="Calibri" w:hAnsi="Calibri"/>
                <w:sz w:val="16"/>
                <w:szCs w:val="16"/>
                <w:color w:val="auto"/>
                <w:w w:val="93"/>
              </w:rPr>
              <w:t>2,530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3,263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0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6"/>
                <w:szCs w:val="16"/>
                <w:color w:val="auto"/>
              </w:rPr>
              <w:t>Free cash fow, net of fnancings (Non-GAAP)</w:t>
            </w:r>
          </w:p>
        </w:tc>
        <w:tc>
          <w:tcPr>
            <w:tcW w:w="5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020" w:type="dxa"/>
            <w:vAlign w:val="bottom"/>
            <w:tcBorders>
              <w:bottom w:val="single" w:sz="8" w:color="auto"/>
            </w:tcBorders>
            <w:gridSpan w:val="4"/>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1,712</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4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2,379</w:t>
            </w:r>
          </w:p>
        </w:tc>
        <w:tc>
          <w:tcPr>
            <w:tcW w:w="60" w:type="dxa"/>
            <w:vAlign w:val="bottom"/>
            <w:tcBorders>
              <w:bottom w:val="single" w:sz="8" w:color="auto"/>
              <w:right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center"/>
              <w:ind w:right="79"/>
              <w:spacing w:after="0" w:line="193" w:lineRule="exact"/>
              <w:rPr>
                <w:sz w:val="20"/>
                <w:szCs w:val="20"/>
                <w:color w:val="auto"/>
              </w:rPr>
            </w:pPr>
            <w:r>
              <w:rPr>
                <w:rFonts w:ascii="Calibri" w:cs="Calibri" w:eastAsia="Calibri" w:hAnsi="Calibri"/>
                <w:sz w:val="16"/>
                <w:szCs w:val="16"/>
                <w:color w:val="auto"/>
                <w:w w:val="97"/>
              </w:rPr>
              <w:t>$</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ind w:left="200"/>
              <w:spacing w:after="0" w:line="193" w:lineRule="exact"/>
              <w:rPr>
                <w:sz w:val="20"/>
                <w:szCs w:val="20"/>
                <w:color w:val="auto"/>
              </w:rPr>
            </w:pPr>
            <w:r>
              <w:rPr>
                <w:rFonts w:ascii="Calibri" w:cs="Calibri" w:eastAsia="Calibri" w:hAnsi="Calibri"/>
                <w:sz w:val="16"/>
                <w:szCs w:val="16"/>
                <w:color w:val="auto"/>
                <w:w w:val="93"/>
              </w:rPr>
              <w:t>3,193</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3,678</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400" w:type="dxa"/>
            <w:vAlign w:val="bottom"/>
            <w:tcBorders>
              <w:top w:val="single" w:sz="8" w:color="CCEEFF"/>
            </w:tcBorders>
          </w:tcPr>
          <w:p>
            <w:pPr>
              <w:spacing w:after="0"/>
              <w:rPr>
                <w:sz w:val="3"/>
                <w:szCs w:val="3"/>
                <w:color w:val="auto"/>
              </w:rPr>
            </w:pPr>
          </w:p>
        </w:tc>
        <w:tc>
          <w:tcPr>
            <w:tcW w:w="500" w:type="dxa"/>
            <w:vAlign w:val="bottom"/>
            <w:tcBorders>
              <w:top w:val="single" w:sz="8" w:color="CCEEFF"/>
            </w:tcBorders>
          </w:tcPr>
          <w:p>
            <w:pPr>
              <w:spacing w:after="0"/>
              <w:rPr>
                <w:sz w:val="3"/>
                <w:szCs w:val="3"/>
                <w:color w:val="auto"/>
              </w:rPr>
            </w:pPr>
          </w:p>
        </w:tc>
        <w:tc>
          <w:tcPr>
            <w:tcW w:w="300" w:type="dxa"/>
            <w:vAlign w:val="bottom"/>
            <w:tcBorders>
              <w:top w:val="single" w:sz="8" w:color="CCEEFF"/>
            </w:tcBorders>
          </w:tcPr>
          <w:p>
            <w:pPr>
              <w:spacing w:after="0"/>
              <w:rPr>
                <w:sz w:val="3"/>
                <w:szCs w:val="3"/>
                <w:color w:val="auto"/>
              </w:rPr>
            </w:pPr>
          </w:p>
        </w:tc>
        <w:tc>
          <w:tcPr>
            <w:tcW w:w="680" w:type="dxa"/>
            <w:vAlign w:val="bottom"/>
            <w:tcBorders>
              <w:top w:val="single" w:sz="8" w:color="CCEEFF"/>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60" w:type="dxa"/>
            <w:vAlign w:val="bottom"/>
            <w:tcBorders>
              <w:top w:val="single" w:sz="8" w:color="CCEEFF"/>
            </w:tcBorders>
          </w:tcPr>
          <w:p>
            <w:pPr>
              <w:spacing w:after="0"/>
              <w:rPr>
                <w:sz w:val="3"/>
                <w:szCs w:val="3"/>
                <w:color w:val="auto"/>
              </w:rPr>
            </w:pPr>
          </w:p>
        </w:tc>
        <w:tc>
          <w:tcPr>
            <w:tcW w:w="180" w:type="dxa"/>
            <w:vAlign w:val="bottom"/>
            <w:tcBorders>
              <w:top w:val="single" w:sz="8" w:color="CCEEFF"/>
              <w:bottom w:val="single" w:sz="8" w:color="auto"/>
            </w:tcBorders>
          </w:tcPr>
          <w:p>
            <w:pPr>
              <w:spacing w:after="0"/>
              <w:rPr>
                <w:sz w:val="3"/>
                <w:szCs w:val="3"/>
                <w:color w:val="auto"/>
              </w:rPr>
            </w:pPr>
          </w:p>
        </w:tc>
        <w:tc>
          <w:tcPr>
            <w:tcW w:w="1020" w:type="dxa"/>
            <w:vAlign w:val="bottom"/>
            <w:tcBorders>
              <w:top w:val="single" w:sz="8" w:color="CCEEFF"/>
              <w:bottom w:val="single" w:sz="8" w:color="auto"/>
            </w:tcBorders>
            <w:gridSpan w:val="4"/>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60" w:type="dxa"/>
            <w:vAlign w:val="bottom"/>
            <w:tcBorders>
              <w:top w:val="single" w:sz="8" w:color="CCEEFF"/>
            </w:tcBorders>
          </w:tcPr>
          <w:p>
            <w:pPr>
              <w:spacing w:after="0"/>
              <w:rPr>
                <w:sz w:val="3"/>
                <w:szCs w:val="3"/>
                <w:color w:val="auto"/>
              </w:rPr>
            </w:pPr>
          </w:p>
        </w:tc>
        <w:tc>
          <w:tcPr>
            <w:tcW w:w="180" w:type="dxa"/>
            <w:vAlign w:val="bottom"/>
            <w:tcBorders>
              <w:top w:val="single" w:sz="8" w:color="CCEEFF"/>
              <w:bottom w:val="single" w:sz="8" w:color="auto"/>
            </w:tcBorders>
          </w:tcPr>
          <w:p>
            <w:pPr>
              <w:spacing w:after="0"/>
              <w:rPr>
                <w:sz w:val="3"/>
                <w:szCs w:val="3"/>
                <w:color w:val="auto"/>
              </w:rPr>
            </w:pPr>
          </w:p>
        </w:tc>
        <w:tc>
          <w:tcPr>
            <w:tcW w:w="420" w:type="dxa"/>
            <w:vAlign w:val="bottom"/>
            <w:tcBorders>
              <w:top w:val="single" w:sz="8" w:color="CCEEFF"/>
              <w:bottom w:val="single" w:sz="8" w:color="auto"/>
            </w:tcBorders>
          </w:tcPr>
          <w:p>
            <w:pPr>
              <w:spacing w:after="0"/>
              <w:rPr>
                <w:sz w:val="3"/>
                <w:szCs w:val="3"/>
                <w:color w:val="auto"/>
              </w:rPr>
            </w:pPr>
          </w:p>
        </w:tc>
        <w:tc>
          <w:tcPr>
            <w:tcW w:w="560" w:type="dxa"/>
            <w:vAlign w:val="bottom"/>
            <w:tcBorders>
              <w:top w:val="single" w:sz="8" w:color="CCEEFF"/>
              <w:bottom w:val="single" w:sz="8" w:color="auto"/>
            </w:tcBorders>
            <w:gridSpan w:val="2"/>
          </w:tcPr>
          <w:p>
            <w:pPr>
              <w:spacing w:after="0"/>
              <w:rPr>
                <w:sz w:val="3"/>
                <w:szCs w:val="3"/>
                <w:color w:val="auto"/>
              </w:rPr>
            </w:pPr>
          </w:p>
        </w:tc>
        <w:tc>
          <w:tcPr>
            <w:tcW w:w="60" w:type="dxa"/>
            <w:vAlign w:val="bottom"/>
            <w:tcBorders>
              <w:top w:val="single" w:sz="8" w:color="CCEEFF"/>
              <w:bottom w:val="single" w:sz="8" w:color="auto"/>
              <w:right w:val="single" w:sz="8" w:color="CCEEFF"/>
            </w:tcBorders>
          </w:tcPr>
          <w:p>
            <w:pPr>
              <w:spacing w:after="0"/>
              <w:rPr>
                <w:sz w:val="3"/>
                <w:szCs w:val="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3"/>
                <w:szCs w:val="3"/>
                <w:color w:val="auto"/>
              </w:rPr>
            </w:pPr>
          </w:p>
        </w:tc>
        <w:tc>
          <w:tcPr>
            <w:tcW w:w="280" w:type="dxa"/>
            <w:vAlign w:val="bottom"/>
            <w:tcBorders>
              <w:top w:val="single" w:sz="8" w:color="CCEEFF"/>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100" w:type="dxa"/>
            <w:vAlign w:val="bottom"/>
            <w:tcBorders>
              <w:top w:val="single" w:sz="8" w:color="CCEEFF"/>
              <w:bottom w:val="single" w:sz="8" w:color="auto"/>
            </w:tcBorders>
          </w:tcPr>
          <w:p>
            <w:pPr>
              <w:spacing w:after="0"/>
              <w:rPr>
                <w:sz w:val="3"/>
                <w:szCs w:val="3"/>
                <w:color w:val="auto"/>
              </w:rPr>
            </w:pPr>
          </w:p>
        </w:tc>
        <w:tc>
          <w:tcPr>
            <w:tcW w:w="100" w:type="dxa"/>
            <w:vAlign w:val="bottom"/>
            <w:tcBorders>
              <w:top w:val="single" w:sz="8" w:color="CCEEFF"/>
              <w:bottom w:val="single" w:sz="8" w:color="auto"/>
            </w:tcBorders>
          </w:tcPr>
          <w:p>
            <w:pPr>
              <w:spacing w:after="0"/>
              <w:rPr>
                <w:sz w:val="3"/>
                <w:szCs w:val="3"/>
                <w:color w:val="auto"/>
              </w:rPr>
            </w:pPr>
          </w:p>
        </w:tc>
        <w:tc>
          <w:tcPr>
            <w:tcW w:w="440" w:type="dxa"/>
            <w:vAlign w:val="bottom"/>
            <w:tcBorders>
              <w:top w:val="single" w:sz="8" w:color="CCEEFF"/>
              <w:bottom w:val="single" w:sz="8" w:color="auto"/>
            </w:tcBorders>
          </w:tcPr>
          <w:p>
            <w:pPr>
              <w:spacing w:after="0"/>
              <w:rPr>
                <w:sz w:val="3"/>
                <w:szCs w:val="3"/>
                <w:color w:val="auto"/>
              </w:rPr>
            </w:pPr>
          </w:p>
        </w:tc>
        <w:tc>
          <w:tcPr>
            <w:tcW w:w="120" w:type="dxa"/>
            <w:vAlign w:val="bottom"/>
            <w:tcBorders>
              <w:top w:val="single" w:sz="8" w:color="CCEEFF"/>
              <w:bottom w:val="single" w:sz="8" w:color="auto"/>
            </w:tcBorders>
          </w:tcPr>
          <w:p>
            <w:pPr>
              <w:spacing w:after="0"/>
              <w:rPr>
                <w:sz w:val="3"/>
                <w:szCs w:val="3"/>
                <w:color w:val="auto"/>
              </w:rPr>
            </w:pPr>
          </w:p>
        </w:tc>
        <w:tc>
          <w:tcPr>
            <w:tcW w:w="60" w:type="dxa"/>
            <w:vAlign w:val="bottom"/>
            <w:tcBorders>
              <w:top w:val="single" w:sz="8" w:color="CCEEFF"/>
              <w:bottom w:val="single" w:sz="8" w:color="auto"/>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160" w:type="dxa"/>
            <w:vAlign w:val="bottom"/>
            <w:tcBorders>
              <w:top w:val="single" w:sz="8" w:color="CCEEFF"/>
              <w:bottom w:val="single" w:sz="8" w:color="auto"/>
            </w:tcBorders>
            <w:gridSpan w:val="2"/>
          </w:tcPr>
          <w:p>
            <w:pPr>
              <w:spacing w:after="0"/>
              <w:rPr>
                <w:sz w:val="3"/>
                <w:szCs w:val="3"/>
                <w:color w:val="auto"/>
              </w:rPr>
            </w:pPr>
          </w:p>
        </w:tc>
        <w:tc>
          <w:tcPr>
            <w:tcW w:w="120" w:type="dxa"/>
            <w:vAlign w:val="bottom"/>
            <w:tcBorders>
              <w:top w:val="single" w:sz="8" w:color="CCEEFF"/>
              <w:bottom w:val="single" w:sz="8" w:color="auto"/>
            </w:tcBorders>
          </w:tcPr>
          <w:p>
            <w:pPr>
              <w:spacing w:after="0"/>
              <w:rPr>
                <w:sz w:val="3"/>
                <w:szCs w:val="3"/>
                <w:color w:val="auto"/>
              </w:rPr>
            </w:pPr>
          </w:p>
        </w:tc>
        <w:tc>
          <w:tcPr>
            <w:tcW w:w="520" w:type="dxa"/>
            <w:vAlign w:val="bottom"/>
            <w:tcBorders>
              <w:top w:val="single" w:sz="8" w:color="CCEEFF"/>
              <w:bottom w:val="single" w:sz="8" w:color="auto"/>
            </w:tcBorders>
          </w:tcPr>
          <w:p>
            <w:pPr>
              <w:spacing w:after="0"/>
              <w:rPr>
                <w:sz w:val="3"/>
                <w:szCs w:val="3"/>
                <w:color w:val="auto"/>
              </w:rPr>
            </w:pPr>
          </w:p>
        </w:tc>
        <w:tc>
          <w:tcPr>
            <w:tcW w:w="320" w:type="dxa"/>
            <w:vAlign w:val="bottom"/>
            <w:tcBorders>
              <w:top w:val="single" w:sz="8" w:color="CCEEFF"/>
              <w:bottom w:val="single" w:sz="8" w:color="auto"/>
            </w:tcBorders>
          </w:tcPr>
          <w:p>
            <w:pPr>
              <w:spacing w:after="0"/>
              <w:rPr>
                <w:sz w:val="3"/>
                <w:szCs w:val="3"/>
                <w:color w:val="auto"/>
              </w:rPr>
            </w:pPr>
          </w:p>
        </w:tc>
        <w:tc>
          <w:tcPr>
            <w:tcW w:w="60" w:type="dxa"/>
            <w:vAlign w:val="bottom"/>
            <w:tcBorders>
              <w:top w:val="single" w:sz="8" w:color="CCEEFF"/>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400" w:type="dxa"/>
            <w:vAlign w:val="bottom"/>
          </w:tcPr>
          <w:p>
            <w:pPr>
              <w:ind w:left="20"/>
              <w:spacing w:after="0" w:line="170" w:lineRule="exact"/>
              <w:rPr>
                <w:sz w:val="20"/>
                <w:szCs w:val="20"/>
                <w:color w:val="auto"/>
              </w:rPr>
            </w:pPr>
            <w:r>
              <w:rPr>
                <w:rFonts w:ascii="Calibri" w:cs="Calibri" w:eastAsia="Calibri" w:hAnsi="Calibri"/>
                <w:sz w:val="16"/>
                <w:szCs w:val="16"/>
                <w:color w:val="auto"/>
              </w:rPr>
              <w:t>Net cash provided by operatng actvites (GAAP)</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tcPr>
          <w:p>
            <w:pPr>
              <w:jc w:val="right"/>
              <w:spacing w:after="0" w:line="170" w:lineRule="exact"/>
              <w:rPr>
                <w:sz w:val="20"/>
                <w:szCs w:val="20"/>
                <w:color w:val="auto"/>
              </w:rPr>
            </w:pPr>
            <w:r>
              <w:rPr>
                <w:rFonts w:ascii="Calibri" w:cs="Calibri" w:eastAsia="Calibri" w:hAnsi="Calibri"/>
                <w:sz w:val="16"/>
                <w:szCs w:val="16"/>
                <w:color w:val="auto"/>
              </w:rPr>
              <w:t>$</w:t>
            </w:r>
          </w:p>
        </w:tc>
        <w:tc>
          <w:tcPr>
            <w:tcW w:w="1020" w:type="dxa"/>
            <w:vAlign w:val="bottom"/>
            <w:gridSpan w:val="4"/>
          </w:tcPr>
          <w:p>
            <w:pPr>
              <w:jc w:val="right"/>
              <w:spacing w:after="0" w:line="170" w:lineRule="exact"/>
              <w:rPr>
                <w:sz w:val="20"/>
                <w:szCs w:val="20"/>
                <w:color w:val="auto"/>
              </w:rPr>
            </w:pPr>
            <w:r>
              <w:rPr>
                <w:rFonts w:ascii="Calibri" w:cs="Calibri" w:eastAsia="Calibri" w:hAnsi="Calibri"/>
                <w:sz w:val="16"/>
                <w:szCs w:val="16"/>
                <w:color w:val="auto"/>
              </w:rPr>
              <w:t>2,876</w:t>
            </w:r>
          </w:p>
        </w:tc>
        <w:tc>
          <w:tcPr>
            <w:tcW w:w="80" w:type="dxa"/>
            <w:vAlign w:val="bottom"/>
          </w:tcPr>
          <w:p>
            <w:pPr>
              <w:spacing w:after="0"/>
              <w:rPr>
                <w:sz w:val="14"/>
                <w:szCs w:val="14"/>
                <w:color w:val="auto"/>
              </w:rPr>
            </w:pPr>
          </w:p>
        </w:tc>
        <w:tc>
          <w:tcPr>
            <w:tcW w:w="240" w:type="dxa"/>
            <w:vAlign w:val="bottom"/>
            <w:gridSpan w:val="2"/>
          </w:tcPr>
          <w:p>
            <w:pPr>
              <w:jc w:val="right"/>
              <w:spacing w:after="0" w:line="170" w:lineRule="exact"/>
              <w:rPr>
                <w:sz w:val="20"/>
                <w:szCs w:val="20"/>
                <w:color w:val="auto"/>
              </w:rPr>
            </w:pPr>
            <w:r>
              <w:rPr>
                <w:rFonts w:ascii="Calibri" w:cs="Calibri" w:eastAsia="Calibri" w:hAnsi="Calibri"/>
                <w:sz w:val="16"/>
                <w:szCs w:val="16"/>
                <w:color w:val="auto"/>
              </w:rPr>
              <w:t>$</w:t>
            </w:r>
          </w:p>
        </w:tc>
        <w:tc>
          <w:tcPr>
            <w:tcW w:w="420" w:type="dxa"/>
            <w:vAlign w:val="bottom"/>
          </w:tcPr>
          <w:p>
            <w:pPr>
              <w:spacing w:after="0"/>
              <w:rPr>
                <w:sz w:val="14"/>
                <w:szCs w:val="14"/>
                <w:color w:val="auto"/>
              </w:rPr>
            </w:pPr>
          </w:p>
        </w:tc>
        <w:tc>
          <w:tcPr>
            <w:tcW w:w="560" w:type="dxa"/>
            <w:vAlign w:val="bottom"/>
            <w:gridSpan w:val="2"/>
          </w:tcPr>
          <w:p>
            <w:pPr>
              <w:jc w:val="right"/>
              <w:spacing w:after="0" w:line="170" w:lineRule="exact"/>
              <w:rPr>
                <w:sz w:val="20"/>
                <w:szCs w:val="20"/>
                <w:color w:val="auto"/>
              </w:rPr>
            </w:pPr>
            <w:r>
              <w:rPr>
                <w:rFonts w:ascii="Calibri" w:cs="Calibri" w:eastAsia="Calibri" w:hAnsi="Calibri"/>
                <w:sz w:val="16"/>
                <w:szCs w:val="16"/>
                <w:color w:val="auto"/>
              </w:rPr>
              <w:t>3,799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jc w:val="center"/>
              <w:ind w:right="79"/>
              <w:spacing w:after="0" w:line="170" w:lineRule="exact"/>
              <w:rPr>
                <w:sz w:val="20"/>
                <w:szCs w:val="20"/>
                <w:color w:val="auto"/>
              </w:rPr>
            </w:pPr>
            <w:r>
              <w:rPr>
                <w:rFonts w:ascii="Calibri" w:cs="Calibri" w:eastAsia="Calibri" w:hAnsi="Calibri"/>
                <w:sz w:val="16"/>
                <w:szCs w:val="16"/>
                <w:color w:val="auto"/>
                <w:w w:val="97"/>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ind w:left="200"/>
              <w:spacing w:after="0" w:line="170" w:lineRule="exact"/>
              <w:rPr>
                <w:sz w:val="20"/>
                <w:szCs w:val="20"/>
                <w:color w:val="auto"/>
              </w:rPr>
            </w:pPr>
            <w:r>
              <w:rPr>
                <w:rFonts w:ascii="Calibri" w:cs="Calibri" w:eastAsia="Calibri" w:hAnsi="Calibri"/>
                <w:sz w:val="16"/>
                <w:szCs w:val="16"/>
                <w:color w:val="auto"/>
                <w:w w:val="93"/>
              </w:rPr>
              <w:t>5,723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3"/>
          </w:tcPr>
          <w:p>
            <w:pPr>
              <w:ind w:left="100"/>
              <w:spacing w:after="0" w:line="170"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4"/>
                <w:szCs w:val="14"/>
                <w:color w:val="auto"/>
              </w:rPr>
            </w:pPr>
          </w:p>
        </w:tc>
        <w:tc>
          <w:tcPr>
            <w:tcW w:w="840" w:type="dxa"/>
            <w:vAlign w:val="bottom"/>
            <w:gridSpan w:val="2"/>
          </w:tcPr>
          <w:p>
            <w:pPr>
              <w:jc w:val="right"/>
              <w:spacing w:after="0" w:line="170" w:lineRule="exact"/>
              <w:rPr>
                <w:sz w:val="20"/>
                <w:szCs w:val="20"/>
                <w:color w:val="auto"/>
              </w:rPr>
            </w:pPr>
            <w:r>
              <w:rPr>
                <w:rFonts w:ascii="Calibri" w:cs="Calibri" w:eastAsia="Calibri" w:hAnsi="Calibri"/>
                <w:sz w:val="16"/>
                <w:szCs w:val="16"/>
                <w:color w:val="auto"/>
              </w:rPr>
              <w:t>6,941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4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tcBorders>
              <w:bottom w:val="single" w:sz="8" w:color="CCEEFF"/>
            </w:tcBorders>
            <w:shd w:val="clear" w:color="auto" w:fill="CCEEFF"/>
          </w:tcPr>
          <w:p>
            <w:pPr>
              <w:ind w:left="240"/>
              <w:spacing w:after="0" w:line="193" w:lineRule="exact"/>
              <w:rPr>
                <w:sz w:val="20"/>
                <w:szCs w:val="20"/>
                <w:color w:val="auto"/>
              </w:rPr>
            </w:pPr>
            <w:r>
              <w:rPr>
                <w:rFonts w:ascii="Calibri" w:cs="Calibri" w:eastAsia="Calibri" w:hAnsi="Calibri"/>
                <w:sz w:val="16"/>
                <w:szCs w:val="16"/>
                <w:color w:val="auto"/>
              </w:rPr>
              <w:t>Less adjusted capital expenditures (Non-GAAP)</w:t>
            </w:r>
          </w:p>
        </w:tc>
        <w:tc>
          <w:tcPr>
            <w:tcW w:w="5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3"/>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0"/>
              </w:rPr>
              <w:t>958</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1,779</w:t>
            </w: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ind w:left="200"/>
              <w:spacing w:after="0" w:line="193" w:lineRule="exact"/>
              <w:rPr>
                <w:sz w:val="20"/>
                <w:szCs w:val="20"/>
                <w:color w:val="auto"/>
              </w:rPr>
            </w:pPr>
            <w:r>
              <w:rPr>
                <w:rFonts w:ascii="Calibri" w:cs="Calibri" w:eastAsia="Calibri" w:hAnsi="Calibri"/>
                <w:sz w:val="16"/>
                <w:szCs w:val="16"/>
                <w:color w:val="auto"/>
                <w:w w:val="93"/>
              </w:rPr>
              <w:t>2,324</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3,822</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20"/>
              <w:spacing w:after="0"/>
              <w:rPr>
                <w:sz w:val="20"/>
                <w:szCs w:val="20"/>
                <w:color w:val="auto"/>
              </w:rPr>
            </w:pPr>
            <w:r>
              <w:rPr>
                <w:rFonts w:ascii="Calibri" w:cs="Calibri" w:eastAsia="Calibri" w:hAnsi="Calibri"/>
                <w:sz w:val="16"/>
                <w:szCs w:val="16"/>
                <w:color w:val="auto"/>
              </w:rPr>
              <w:t>Free cash fow (Non-GAAP)</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020" w:type="dxa"/>
            <w:vAlign w:val="bottom"/>
            <w:tcBorders>
              <w:top w:val="single" w:sz="8" w:color="auto"/>
              <w:bottom w:val="single" w:sz="8" w:color="auto"/>
            </w:tcBorders>
            <w:gridSpan w:val="4"/>
          </w:tcPr>
          <w:p>
            <w:pPr>
              <w:jc w:val="right"/>
              <w:spacing w:after="0" w:line="193" w:lineRule="exact"/>
              <w:rPr>
                <w:sz w:val="20"/>
                <w:szCs w:val="20"/>
                <w:color w:val="auto"/>
              </w:rPr>
            </w:pPr>
            <w:r>
              <w:rPr>
                <w:rFonts w:ascii="Calibri" w:cs="Calibri" w:eastAsia="Calibri" w:hAnsi="Calibri"/>
                <w:sz w:val="16"/>
                <w:szCs w:val="16"/>
                <w:color w:val="auto"/>
              </w:rPr>
              <w:t>1,918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4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line="193" w:lineRule="exact"/>
              <w:rPr>
                <w:sz w:val="20"/>
                <w:szCs w:val="20"/>
                <w:color w:val="auto"/>
              </w:rPr>
            </w:pPr>
            <w:r>
              <w:rPr>
                <w:rFonts w:ascii="Calibri" w:cs="Calibri" w:eastAsia="Calibri" w:hAnsi="Calibri"/>
                <w:sz w:val="16"/>
                <w:szCs w:val="16"/>
                <w:color w:val="auto"/>
              </w:rPr>
              <w:t>2,020</w:t>
            </w: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center"/>
              <w:ind w:right="79"/>
              <w:spacing w:after="0" w:line="193" w:lineRule="exact"/>
              <w:rPr>
                <w:sz w:val="20"/>
                <w:szCs w:val="20"/>
                <w:color w:val="auto"/>
              </w:rPr>
            </w:pPr>
            <w:r>
              <w:rPr>
                <w:rFonts w:ascii="Calibri" w:cs="Calibri" w:eastAsia="Calibri" w:hAnsi="Calibri"/>
                <w:sz w:val="16"/>
                <w:szCs w:val="16"/>
                <w:color w:val="auto"/>
                <w:w w:val="97"/>
              </w:rPr>
              <w:t>$</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ind w:left="200"/>
              <w:spacing w:after="0" w:line="193" w:lineRule="exact"/>
              <w:rPr>
                <w:sz w:val="20"/>
                <w:szCs w:val="20"/>
                <w:color w:val="auto"/>
              </w:rPr>
            </w:pPr>
            <w:r>
              <w:rPr>
                <w:rFonts w:ascii="Calibri" w:cs="Calibri" w:eastAsia="Calibri" w:hAnsi="Calibri"/>
                <w:sz w:val="16"/>
                <w:szCs w:val="16"/>
                <w:color w:val="auto"/>
                <w:w w:val="93"/>
              </w:rPr>
              <w:t>3,399</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ind w:left="2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line="193" w:lineRule="exact"/>
              <w:rPr>
                <w:sz w:val="20"/>
                <w:szCs w:val="20"/>
                <w:color w:val="auto"/>
              </w:rPr>
            </w:pPr>
            <w:r>
              <w:rPr>
                <w:rFonts w:ascii="Calibri" w:cs="Calibri" w:eastAsia="Calibri" w:hAnsi="Calibri"/>
                <w:sz w:val="16"/>
                <w:szCs w:val="16"/>
                <w:color w:val="auto"/>
              </w:rPr>
              <w:t>3,119</w:t>
            </w:r>
          </w:p>
        </w:tc>
        <w:tc>
          <w:tcPr>
            <w:tcW w:w="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4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4"/>
          </w:tcPr>
          <w:p>
            <w:pPr>
              <w:ind w:left="240"/>
              <w:spacing w:after="0"/>
              <w:rPr>
                <w:sz w:val="20"/>
                <w:szCs w:val="20"/>
                <w:color w:val="auto"/>
              </w:rPr>
            </w:pPr>
            <w:r>
              <w:rPr>
                <w:rFonts w:ascii="Calibri" w:cs="Calibri" w:eastAsia="Calibri" w:hAnsi="Calibri"/>
                <w:sz w:val="16"/>
                <w:szCs w:val="16"/>
                <w:color w:val="auto"/>
              </w:rPr>
              <w:t>June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7"/>
            <w:vMerge w:val="restart"/>
          </w:tcPr>
          <w:p>
            <w:pPr>
              <w:jc w:val="center"/>
              <w:ind w:right="520"/>
              <w:spacing w:after="0"/>
              <w:rPr>
                <w:sz w:val="20"/>
                <w:szCs w:val="20"/>
                <w:color w:val="auto"/>
              </w:rPr>
            </w:pPr>
            <w:r>
              <w:rPr>
                <w:rFonts w:ascii="Calibri" w:cs="Calibri" w:eastAsia="Calibri" w:hAnsi="Calibri"/>
                <w:sz w:val="16"/>
                <w:szCs w:val="16"/>
                <w:color w:val="auto"/>
              </w:rPr>
              <w:t>Increase/</w:t>
            </w: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40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 xml:space="preserve">Adjusted total debt and Adjusted net debt </w:t>
            </w:r>
            <w:r>
              <w:rPr>
                <w:rFonts w:ascii="Calibri" w:cs="Calibri" w:eastAsia="Calibri" w:hAnsi="Calibri"/>
                <w:sz w:val="16"/>
                <w:szCs w:val="16"/>
                <w:color w:val="auto"/>
              </w:rPr>
              <w:t>(in millions)</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jc w:val="right"/>
              <w:ind w:right="219"/>
              <w:spacing w:after="0" w:line="193" w:lineRule="exact"/>
              <w:rPr>
                <w:sz w:val="20"/>
                <w:szCs w:val="20"/>
                <w:color w:val="auto"/>
              </w:rPr>
            </w:pPr>
            <w:r>
              <w:rPr>
                <w:rFonts w:ascii="Calibri" w:cs="Calibri" w:eastAsia="Calibri" w:hAnsi="Calibri"/>
                <w:sz w:val="16"/>
                <w:szCs w:val="16"/>
                <w:color w:val="auto"/>
              </w:rPr>
              <w:t>2024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4"/>
          </w:tcPr>
          <w:p>
            <w:pPr>
              <w:jc w:val="center"/>
              <w:ind w:right="199"/>
              <w:spacing w:after="0" w:line="193" w:lineRule="exact"/>
              <w:rPr>
                <w:sz w:val="20"/>
                <w:szCs w:val="20"/>
                <w:color w:val="auto"/>
              </w:rPr>
            </w:pPr>
            <w:r>
              <w:rPr>
                <w:rFonts w:ascii="Calibri" w:cs="Calibri" w:eastAsia="Calibri" w:hAnsi="Calibri"/>
                <w:sz w:val="16"/>
                <w:szCs w:val="16"/>
                <w:color w:val="auto"/>
                <w:w w:val="98"/>
              </w:rPr>
              <w:t>2023</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7"/>
          </w:tcPr>
          <w:p>
            <w:pPr>
              <w:jc w:val="center"/>
              <w:ind w:right="520"/>
              <w:spacing w:after="0" w:line="193" w:lineRule="exact"/>
              <w:rPr>
                <w:sz w:val="20"/>
                <w:szCs w:val="20"/>
                <w:color w:val="auto"/>
              </w:rPr>
            </w:pPr>
            <w:r>
              <w:rPr>
                <w:rFonts w:ascii="Calibri" w:cs="Calibri" w:eastAsia="Calibri" w:hAnsi="Calibri"/>
                <w:sz w:val="16"/>
                <w:szCs w:val="16"/>
                <w:color w:val="auto"/>
              </w:rPr>
              <w:t>(Decrease)</w:t>
            </w:r>
          </w:p>
        </w:tc>
        <w:tc>
          <w:tcPr>
            <w:tcW w:w="0" w:type="dxa"/>
            <w:vAlign w:val="bottom"/>
          </w:tcPr>
          <w:p>
            <w:pPr>
              <w:spacing w:after="0"/>
              <w:rPr>
                <w:sz w:val="1"/>
                <w:szCs w:val="1"/>
                <w:color w:val="auto"/>
              </w:rPr>
            </w:pPr>
          </w:p>
        </w:tc>
      </w:tr>
      <w:tr>
        <w:trPr>
          <w:trHeight w:val="28"/>
        </w:trPr>
        <w:tc>
          <w:tcPr>
            <w:tcW w:w="44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Debt - current and noncurrent (GAAP)</w:t>
            </w:r>
          </w:p>
        </w:tc>
        <w:tc>
          <w:tcPr>
            <w:tcW w:w="5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560" w:type="dxa"/>
            <w:vAlign w:val="bottom"/>
            <w:tcBorders>
              <w:bottom w:val="single" w:sz="8" w:color="CCEEFF"/>
            </w:tcBorders>
            <w:gridSpan w:val="2"/>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26,444</w:t>
            </w:r>
          </w:p>
        </w:tc>
        <w:tc>
          <w:tcPr>
            <w:tcW w:w="6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73"/>
              </w:rPr>
              <w:t>$</w:t>
            </w:r>
          </w:p>
        </w:tc>
        <w:tc>
          <w:tcPr>
            <w:tcW w:w="720" w:type="dxa"/>
            <w:vAlign w:val="bottom"/>
            <w:tcBorders>
              <w:bottom w:val="single" w:sz="8" w:color="CCEEFF"/>
            </w:tcBorders>
            <w:gridSpan w:val="4"/>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30,293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gridSpan w:val="2"/>
            <w:shd w:val="clear" w:color="auto" w:fill="CCEEFF"/>
          </w:tcPr>
          <w:p>
            <w:pPr>
              <w:jc w:val="right"/>
              <w:ind w:right="40"/>
              <w:spacing w:after="0" w:line="187" w:lineRule="exact"/>
              <w:rPr>
                <w:sz w:val="20"/>
                <w:szCs w:val="20"/>
                <w:color w:val="auto"/>
              </w:rPr>
            </w:pPr>
            <w:r>
              <w:rPr>
                <w:rFonts w:ascii="Calibri" w:cs="Calibri" w:eastAsia="Calibri" w:hAnsi="Calibri"/>
                <w:sz w:val="16"/>
                <w:szCs w:val="16"/>
                <w:color w:val="auto"/>
                <w:w w:val="97"/>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(3,849)</w:t>
            </w:r>
          </w:p>
        </w:tc>
        <w:tc>
          <w:tcPr>
            <w:tcW w:w="3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00" w:type="dxa"/>
            <w:vAlign w:val="bottom"/>
          </w:tcPr>
          <w:p>
            <w:pPr>
              <w:ind w:left="140"/>
              <w:spacing w:after="0" w:line="193" w:lineRule="exact"/>
              <w:rPr>
                <w:sz w:val="20"/>
                <w:szCs w:val="20"/>
                <w:color w:val="auto"/>
              </w:rPr>
            </w:pPr>
            <w:r>
              <w:rPr>
                <w:rFonts w:ascii="Calibri" w:cs="Calibri" w:eastAsia="Calibri" w:hAnsi="Calibri"/>
                <w:sz w:val="16"/>
                <w:szCs w:val="16"/>
                <w:color w:val="auto"/>
              </w:rPr>
              <w:t>Operatng lease obligatons - current and noncurrent</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4,991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line="193" w:lineRule="exact"/>
              <w:rPr>
                <w:sz w:val="20"/>
                <w:szCs w:val="20"/>
                <w:color w:val="auto"/>
              </w:rPr>
            </w:pPr>
            <w:r>
              <w:rPr>
                <w:rFonts w:ascii="Calibri" w:cs="Calibri" w:eastAsia="Calibri" w:hAnsi="Calibri"/>
                <w:sz w:val="16"/>
                <w:szCs w:val="16"/>
                <w:color w:val="auto"/>
                <w:w w:val="98"/>
              </w:rPr>
              <w:t>5,178</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line="193" w:lineRule="exact"/>
              <w:rPr>
                <w:sz w:val="20"/>
                <w:szCs w:val="20"/>
                <w:color w:val="auto"/>
              </w:rPr>
            </w:pPr>
            <w:r>
              <w:rPr>
                <w:rFonts w:ascii="Calibri" w:cs="Calibri" w:eastAsia="Calibri" w:hAnsi="Calibri"/>
                <w:sz w:val="16"/>
                <w:szCs w:val="16"/>
                <w:color w:val="auto"/>
              </w:rPr>
              <w:t>(187)</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Finance lease obligatons - current and noncurrent</w:t>
            </w:r>
          </w:p>
        </w:tc>
        <w:tc>
          <w:tcPr>
            <w:tcW w:w="5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175</w:t>
            </w:r>
          </w:p>
        </w:tc>
        <w:tc>
          <w:tcPr>
            <w:tcW w:w="6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370</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(195)</w:t>
            </w:r>
          </w:p>
        </w:tc>
        <w:tc>
          <w:tcPr>
            <w:tcW w:w="3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00" w:type="dxa"/>
            <w:vAlign w:val="bottom"/>
          </w:tcPr>
          <w:p>
            <w:pPr>
              <w:ind w:left="140"/>
              <w:spacing w:after="0" w:line="193" w:lineRule="exact"/>
              <w:rPr>
                <w:sz w:val="20"/>
                <w:szCs w:val="20"/>
                <w:color w:val="auto"/>
              </w:rPr>
            </w:pPr>
            <w:r>
              <w:rPr>
                <w:rFonts w:ascii="Calibri" w:cs="Calibri" w:eastAsia="Calibri" w:hAnsi="Calibri"/>
                <w:sz w:val="16"/>
                <w:szCs w:val="16"/>
                <w:color w:val="auto"/>
              </w:rPr>
              <w:t>Pension and postretrement liabilites - noncurrent</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1,610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line="193" w:lineRule="exact"/>
              <w:rPr>
                <w:sz w:val="20"/>
                <w:szCs w:val="20"/>
                <w:color w:val="auto"/>
              </w:rPr>
            </w:pPr>
            <w:r>
              <w:rPr>
                <w:rFonts w:ascii="Calibri" w:cs="Calibri" w:eastAsia="Calibri" w:hAnsi="Calibri"/>
                <w:sz w:val="16"/>
                <w:szCs w:val="16"/>
                <w:color w:val="auto"/>
                <w:w w:val="98"/>
              </w:rPr>
              <w:t>1,445</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line="193" w:lineRule="exact"/>
              <w:rPr>
                <w:sz w:val="20"/>
                <w:szCs w:val="20"/>
                <w:color w:val="auto"/>
              </w:rPr>
            </w:pPr>
            <w:r>
              <w:rPr>
                <w:rFonts w:ascii="Calibri" w:cs="Calibri" w:eastAsia="Calibri" w:hAnsi="Calibri"/>
                <w:sz w:val="16"/>
                <w:szCs w:val="16"/>
                <w:color w:val="auto"/>
              </w:rPr>
              <w:t>165</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Other fnancial liabilites - current and noncurrent</w:t>
            </w:r>
          </w:p>
        </w:tc>
        <w:tc>
          <w:tcPr>
            <w:tcW w:w="5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2,644</w:t>
            </w: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8"/>
              </w:rPr>
              <w:t>1,503</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1,141</w:t>
            </w:r>
          </w:p>
        </w:tc>
        <w:tc>
          <w:tcPr>
            <w:tcW w:w="3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20"/>
              <w:spacing w:after="0" w:line="174" w:lineRule="exact"/>
              <w:rPr>
                <w:sz w:val="20"/>
                <w:szCs w:val="20"/>
                <w:color w:val="auto"/>
              </w:rPr>
            </w:pPr>
            <w:r>
              <w:rPr>
                <w:rFonts w:ascii="Calibri" w:cs="Calibri" w:eastAsia="Calibri" w:hAnsi="Calibri"/>
                <w:sz w:val="16"/>
                <w:szCs w:val="16"/>
                <w:color w:val="auto"/>
              </w:rPr>
              <w:t>Adjusted total debt (Non-GAAP)</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line="193" w:lineRule="exact"/>
              <w:rPr>
                <w:sz w:val="20"/>
                <w:szCs w:val="20"/>
                <w:color w:val="auto"/>
              </w:rPr>
            </w:pPr>
            <w:r>
              <w:rPr>
                <w:rFonts w:ascii="Calibri" w:cs="Calibri" w:eastAsia="Calibri" w:hAnsi="Calibri"/>
                <w:sz w:val="16"/>
                <w:szCs w:val="16"/>
                <w:color w:val="auto"/>
                <w:w w:val="97"/>
              </w:rPr>
              <w:t>$</w:t>
            </w:r>
          </w:p>
        </w:tc>
        <w:tc>
          <w:tcPr>
            <w:tcW w:w="560" w:type="dxa"/>
            <w:vAlign w:val="bottom"/>
            <w:tcBorders>
              <w:top w:val="single" w:sz="8" w:color="auto"/>
              <w:bottom w:val="single" w:sz="8" w:color="auto"/>
            </w:tcBorders>
            <w:gridSpan w:val="2"/>
          </w:tcPr>
          <w:p>
            <w:pPr>
              <w:jc w:val="right"/>
              <w:spacing w:after="0" w:line="193" w:lineRule="exact"/>
              <w:rPr>
                <w:sz w:val="20"/>
                <w:szCs w:val="20"/>
                <w:color w:val="auto"/>
              </w:rPr>
            </w:pPr>
            <w:r>
              <w:rPr>
                <w:rFonts w:ascii="Calibri" w:cs="Calibri" w:eastAsia="Calibri" w:hAnsi="Calibri"/>
                <w:sz w:val="16"/>
                <w:szCs w:val="16"/>
                <w:color w:val="auto"/>
              </w:rPr>
              <w:t>35,864</w:t>
            </w: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9"/>
              <w:spacing w:after="0" w:line="193" w:lineRule="exact"/>
              <w:rPr>
                <w:sz w:val="20"/>
                <w:szCs w:val="20"/>
                <w:color w:val="auto"/>
              </w:rPr>
            </w:pPr>
            <w:r>
              <w:rPr>
                <w:rFonts w:ascii="Calibri" w:cs="Calibri" w:eastAsia="Calibri" w:hAnsi="Calibri"/>
                <w:sz w:val="16"/>
                <w:szCs w:val="16"/>
                <w:color w:val="auto"/>
                <w:w w:val="73"/>
              </w:rPr>
              <w:t>$</w:t>
            </w:r>
          </w:p>
        </w:tc>
        <w:tc>
          <w:tcPr>
            <w:tcW w:w="720" w:type="dxa"/>
            <w:vAlign w:val="bottom"/>
            <w:tcBorders>
              <w:top w:val="single" w:sz="8" w:color="auto"/>
              <w:bottom w:val="single" w:sz="8" w:color="auto"/>
            </w:tcBorders>
            <w:gridSpan w:val="4"/>
          </w:tcPr>
          <w:p>
            <w:pPr>
              <w:jc w:val="right"/>
              <w:spacing w:after="0" w:line="193" w:lineRule="exact"/>
              <w:rPr>
                <w:sz w:val="20"/>
                <w:szCs w:val="20"/>
                <w:color w:val="auto"/>
              </w:rPr>
            </w:pPr>
            <w:r>
              <w:rPr>
                <w:rFonts w:ascii="Calibri" w:cs="Calibri" w:eastAsia="Calibri" w:hAnsi="Calibri"/>
                <w:sz w:val="16"/>
                <w:szCs w:val="16"/>
                <w:color w:val="auto"/>
              </w:rPr>
              <w:t>38,789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Calibri" w:cs="Calibri" w:eastAsia="Calibri" w:hAnsi="Calibri"/>
                <w:sz w:val="16"/>
                <w:szCs w:val="16"/>
                <w:color w:val="auto"/>
              </w:rPr>
              <w:t>(2,925)</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0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Less: Cash and cash equivalents</w:t>
            </w:r>
          </w:p>
        </w:tc>
        <w:tc>
          <w:tcPr>
            <w:tcW w:w="5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39"/>
              <w:spacing w:after="0" w:line="188" w:lineRule="exact"/>
              <w:rPr>
                <w:sz w:val="20"/>
                <w:szCs w:val="20"/>
                <w:color w:val="auto"/>
              </w:rPr>
            </w:pPr>
            <w:r>
              <w:rPr>
                <w:rFonts w:ascii="Calibri" w:cs="Calibri" w:eastAsia="Calibri" w:hAnsi="Calibri"/>
                <w:sz w:val="16"/>
                <w:szCs w:val="16"/>
                <w:color w:val="auto"/>
                <w:w w:val="97"/>
              </w:rPr>
              <w:t>$</w:t>
            </w:r>
          </w:p>
        </w:tc>
        <w:tc>
          <w:tcPr>
            <w:tcW w:w="560" w:type="dxa"/>
            <w:vAlign w:val="bottom"/>
            <w:tcBorders>
              <w:bottom w:val="single" w:sz="8" w:color="CCEEFF"/>
            </w:tcBorders>
            <w:gridSpan w:val="2"/>
            <w:shd w:val="clear" w:color="auto" w:fill="CCEEFF"/>
          </w:tcPr>
          <w:p>
            <w:pPr>
              <w:jc w:val="right"/>
              <w:spacing w:after="0" w:line="188" w:lineRule="exact"/>
              <w:rPr>
                <w:sz w:val="20"/>
                <w:szCs w:val="20"/>
                <w:color w:val="auto"/>
              </w:rPr>
            </w:pPr>
            <w:r>
              <w:rPr>
                <w:rFonts w:ascii="Calibri" w:cs="Calibri" w:eastAsia="Calibri" w:hAnsi="Calibri"/>
                <w:sz w:val="16"/>
                <w:szCs w:val="16"/>
                <w:color w:val="auto"/>
              </w:rPr>
              <w:t>10,864</w:t>
            </w:r>
          </w:p>
        </w:tc>
        <w:tc>
          <w:tcPr>
            <w:tcW w:w="6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19"/>
              <w:spacing w:after="0" w:line="188" w:lineRule="exact"/>
              <w:rPr>
                <w:sz w:val="20"/>
                <w:szCs w:val="20"/>
                <w:color w:val="auto"/>
              </w:rPr>
            </w:pPr>
            <w:r>
              <w:rPr>
                <w:rFonts w:ascii="Calibri" w:cs="Calibri" w:eastAsia="Calibri" w:hAnsi="Calibri"/>
                <w:sz w:val="16"/>
                <w:szCs w:val="16"/>
                <w:color w:val="auto"/>
                <w:w w:val="73"/>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line="188" w:lineRule="exact"/>
              <w:rPr>
                <w:sz w:val="20"/>
                <w:szCs w:val="20"/>
                <w:color w:val="auto"/>
              </w:rPr>
            </w:pPr>
            <w:r>
              <w:rPr>
                <w:rFonts w:ascii="Calibri" w:cs="Calibri" w:eastAsia="Calibri" w:hAnsi="Calibri"/>
                <w:sz w:val="16"/>
                <w:szCs w:val="16"/>
                <w:color w:val="auto"/>
                <w:w w:val="98"/>
              </w:rPr>
              <w:t>9,605</w:t>
            </w: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line="183" w:lineRule="exact"/>
              <w:rPr>
                <w:sz w:val="20"/>
                <w:szCs w:val="20"/>
                <w:color w:val="auto"/>
              </w:rPr>
            </w:pPr>
            <w:r>
              <w:rPr>
                <w:rFonts w:ascii="Calibri" w:cs="Calibri" w:eastAsia="Calibri" w:hAnsi="Calibri"/>
                <w:sz w:val="16"/>
                <w:szCs w:val="16"/>
                <w:color w:val="auto"/>
              </w:rPr>
              <w:t>1,259</w:t>
            </w:r>
          </w:p>
        </w:tc>
        <w:tc>
          <w:tcPr>
            <w:tcW w:w="3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400" w:type="dxa"/>
            <w:vAlign w:val="bottom"/>
          </w:tcPr>
          <w:p>
            <w:pPr>
              <w:ind w:left="360"/>
              <w:spacing w:after="0" w:line="193" w:lineRule="exact"/>
              <w:rPr>
                <w:sz w:val="20"/>
                <w:szCs w:val="20"/>
                <w:color w:val="auto"/>
              </w:rPr>
            </w:pPr>
            <w:r>
              <w:rPr>
                <w:rFonts w:ascii="Calibri" w:cs="Calibri" w:eastAsia="Calibri" w:hAnsi="Calibri"/>
                <w:sz w:val="16"/>
                <w:szCs w:val="16"/>
                <w:color w:val="auto"/>
              </w:rPr>
              <w:t>Short-term investments</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4,384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line="193" w:lineRule="exact"/>
              <w:rPr>
                <w:sz w:val="20"/>
                <w:szCs w:val="20"/>
                <w:color w:val="auto"/>
              </w:rPr>
            </w:pPr>
            <w:r>
              <w:rPr>
                <w:rFonts w:ascii="Calibri" w:cs="Calibri" w:eastAsia="Calibri" w:hAnsi="Calibri"/>
                <w:sz w:val="16"/>
                <w:szCs w:val="16"/>
                <w:color w:val="auto"/>
                <w:w w:val="98"/>
              </w:rPr>
              <w:t>9,533</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line="193" w:lineRule="exact"/>
              <w:rPr>
                <w:sz w:val="20"/>
                <w:szCs w:val="20"/>
                <w:color w:val="auto"/>
              </w:rPr>
            </w:pPr>
            <w:r>
              <w:rPr>
                <w:rFonts w:ascii="Calibri" w:cs="Calibri" w:eastAsia="Calibri" w:hAnsi="Calibri"/>
                <w:sz w:val="16"/>
                <w:szCs w:val="16"/>
                <w:color w:val="auto"/>
              </w:rPr>
              <w:t>(5,149)</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Adjusted net debt (non-GAAP)</w:t>
            </w:r>
          </w:p>
        </w:tc>
        <w:tc>
          <w:tcPr>
            <w:tcW w:w="5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560" w:type="dxa"/>
            <w:vAlign w:val="bottom"/>
            <w:tcBorders>
              <w:bottom w:val="single" w:sz="8" w:color="CCEEFF"/>
            </w:tcBorders>
            <w:gridSpan w:val="2"/>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20,616</w:t>
            </w:r>
          </w:p>
        </w:tc>
        <w:tc>
          <w:tcPr>
            <w:tcW w:w="6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19"/>
              <w:spacing w:after="0" w:line="187" w:lineRule="exact"/>
              <w:rPr>
                <w:sz w:val="20"/>
                <w:szCs w:val="20"/>
                <w:color w:val="auto"/>
              </w:rPr>
            </w:pPr>
            <w:r>
              <w:rPr>
                <w:rFonts w:ascii="Calibri" w:cs="Calibri" w:eastAsia="Calibri" w:hAnsi="Calibri"/>
                <w:sz w:val="16"/>
                <w:szCs w:val="16"/>
                <w:color w:val="auto"/>
                <w:w w:val="73"/>
              </w:rPr>
              <w:t>$</w:t>
            </w:r>
          </w:p>
        </w:tc>
        <w:tc>
          <w:tcPr>
            <w:tcW w:w="720" w:type="dxa"/>
            <w:vAlign w:val="bottom"/>
            <w:tcBorders>
              <w:bottom w:val="single" w:sz="8" w:color="CCEEFF"/>
            </w:tcBorders>
            <w:gridSpan w:val="4"/>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19,651</w:t>
            </w: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line="182" w:lineRule="exact"/>
              <w:rPr>
                <w:sz w:val="20"/>
                <w:szCs w:val="20"/>
                <w:color w:val="auto"/>
              </w:rPr>
            </w:pPr>
            <w:r>
              <w:rPr>
                <w:rFonts w:ascii="Calibri" w:cs="Calibri" w:eastAsia="Calibri" w:hAnsi="Calibri"/>
                <w:sz w:val="16"/>
                <w:szCs w:val="16"/>
                <w:color w:val="auto"/>
              </w:rPr>
              <w:t>965</w:t>
            </w:r>
          </w:p>
        </w:tc>
        <w:tc>
          <w:tcPr>
            <w:tcW w:w="3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80" w:type="dxa"/>
            <w:vAlign w:val="bottom"/>
            <w:gridSpan w:val="5"/>
          </w:tcPr>
          <w:p>
            <w:pPr>
              <w:ind w:left="20"/>
              <w:spacing w:after="0" w:line="193" w:lineRule="exact"/>
              <w:rPr>
                <w:sz w:val="20"/>
                <w:szCs w:val="20"/>
                <w:color w:val="auto"/>
              </w:rPr>
            </w:pPr>
            <w:r>
              <w:rPr>
                <w:rFonts w:ascii="Calibri" w:cs="Calibri" w:eastAsia="Calibri" w:hAnsi="Calibri"/>
                <w:sz w:val="16"/>
                <w:szCs w:val="16"/>
                <w:color w:val="auto"/>
              </w:rPr>
              <w:t>Adjusted net debt divided by twelve months ended June 30 adjusted EBITDAR (non-GAAP)</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gridSpan w:val="3"/>
          </w:tcPr>
          <w:p>
            <w:pPr>
              <w:ind w:left="400"/>
              <w:spacing w:after="0" w:line="193" w:lineRule="exact"/>
              <w:rPr>
                <w:sz w:val="20"/>
                <w:szCs w:val="20"/>
                <w:color w:val="auto"/>
              </w:rPr>
            </w:pPr>
            <w:r>
              <w:rPr>
                <w:rFonts w:ascii="Calibri" w:cs="Calibri" w:eastAsia="Calibri" w:hAnsi="Calibri"/>
                <w:sz w:val="16"/>
                <w:szCs w:val="16"/>
                <w:color w:val="auto"/>
                <w:w w:val="88"/>
              </w:rPr>
              <w:t>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line="193" w:lineRule="exact"/>
              <w:rPr>
                <w:sz w:val="20"/>
                <w:szCs w:val="20"/>
                <w:color w:val="auto"/>
              </w:rPr>
            </w:pPr>
            <w:r>
              <w:rPr>
                <w:rFonts w:ascii="Calibri" w:cs="Calibri" w:eastAsia="Calibri" w:hAnsi="Calibri"/>
                <w:sz w:val="16"/>
                <w:szCs w:val="16"/>
                <w:color w:val="auto"/>
              </w:rPr>
              <w:t>2.4</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ind w:left="260"/>
              <w:spacing w:after="0" w:line="193" w:lineRule="exact"/>
              <w:rPr>
                <w:sz w:val="20"/>
                <w:szCs w:val="20"/>
                <w:color w:val="auto"/>
              </w:rPr>
            </w:pPr>
            <w:r>
              <w:rPr>
                <w:rFonts w:ascii="Calibri" w:cs="Calibri" w:eastAsia="Calibri" w:hAnsi="Calibri"/>
                <w:sz w:val="16"/>
                <w:szCs w:val="16"/>
                <w:color w:val="auto"/>
              </w:rPr>
              <w:t>0.2   pts.</w:t>
            </w:r>
          </w:p>
        </w:tc>
        <w:tc>
          <w:tcPr>
            <w:tcW w:w="0" w:type="dxa"/>
            <w:vAlign w:val="bottom"/>
          </w:tcPr>
          <w:p>
            <w:pPr>
              <w:spacing w:after="0"/>
              <w:rPr>
                <w:sz w:val="1"/>
                <w:szCs w:val="1"/>
                <w:color w:val="auto"/>
              </w:rPr>
            </w:pPr>
          </w:p>
        </w:tc>
      </w:tr>
      <w:tr>
        <w:trPr>
          <w:trHeight w:val="859"/>
        </w:trPr>
        <w:tc>
          <w:tcPr>
            <w:tcW w:w="4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ind w:right="99"/>
              <w:spacing w:after="0"/>
              <w:rPr>
                <w:sz w:val="20"/>
                <w:szCs w:val="20"/>
                <w:color w:val="auto"/>
              </w:rPr>
            </w:pPr>
            <w:r>
              <w:rPr>
                <w:rFonts w:ascii="Calibri" w:cs="Calibri" w:eastAsia="Calibri" w:hAnsi="Calibri"/>
                <w:sz w:val="16"/>
                <w:szCs w:val="16"/>
                <w:color w:val="auto"/>
              </w:rPr>
              <w:t>13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Calibri" w:cs="Calibri" w:eastAsia="Calibri" w:hAnsi="Calibri"/>
          <w:sz w:val="18"/>
          <w:szCs w:val="18"/>
          <w:color w:val="auto"/>
        </w:rPr>
        <w:t>United Airlines Reports Second-Quarter 2024 Results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UNITED AIRLINES HOLDINGS, INC.</w:t>
      </w:r>
    </w:p>
    <w:p>
      <w:pPr>
        <w:jc w:val="center"/>
        <w:spacing w:after="0" w:line="232" w:lineRule="auto"/>
        <w:rPr>
          <w:sz w:val="20"/>
          <w:szCs w:val="20"/>
          <w:color w:val="auto"/>
        </w:rPr>
      </w:pPr>
      <w:r>
        <w:rPr>
          <w:rFonts w:ascii="Calibri" w:cs="Calibri" w:eastAsia="Calibri" w:hAnsi="Calibri"/>
          <w:sz w:val="16"/>
          <w:szCs w:val="16"/>
          <w:color w:val="auto"/>
        </w:rPr>
        <w:t>NON-GAAP FINANCIAL INFORMATION (Contnued)</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jc w:val="right"/>
              <w:ind w:right="79"/>
              <w:spacing w:after="0"/>
              <w:rPr>
                <w:sz w:val="20"/>
                <w:szCs w:val="20"/>
                <w:color w:val="auto"/>
              </w:rPr>
            </w:pPr>
            <w:r>
              <w:rPr>
                <w:rFonts w:ascii="Calibri" w:cs="Calibri" w:eastAsia="Calibri" w:hAnsi="Calibri"/>
                <w:sz w:val="16"/>
                <w:szCs w:val="16"/>
                <w:color w:val="auto"/>
              </w:rPr>
              <w:t>Three Months Ended June 30,</w:t>
            </w:r>
          </w:p>
        </w:tc>
        <w:tc>
          <w:tcPr>
            <w:tcW w:w="1120" w:type="dxa"/>
            <w:vAlign w:val="bottom"/>
            <w:gridSpan w:val="2"/>
          </w:tcPr>
          <w:p>
            <w:pPr>
              <w:jc w:val="center"/>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119"/>
              <w:spacing w:after="0"/>
              <w:rPr>
                <w:sz w:val="20"/>
                <w:szCs w:val="20"/>
                <w:color w:val="auto"/>
              </w:rPr>
            </w:pPr>
            <w:r>
              <w:rPr>
                <w:rFonts w:ascii="Calibri" w:cs="Calibri" w:eastAsia="Calibri" w:hAnsi="Calibri"/>
                <w:sz w:val="16"/>
                <w:szCs w:val="16"/>
                <w:color w:val="auto"/>
              </w:rPr>
              <w:t>Six Months Ended June 30,</w:t>
            </w:r>
          </w:p>
        </w:tc>
        <w:tc>
          <w:tcPr>
            <w:tcW w:w="1120" w:type="dxa"/>
            <w:vAlign w:val="bottom"/>
            <w:gridSpan w:val="2"/>
          </w:tcPr>
          <w:p>
            <w:pPr>
              <w:jc w:val="center"/>
              <w:ind w:left="39"/>
              <w:spacing w:after="0"/>
              <w:rPr>
                <w:sz w:val="20"/>
                <w:szCs w:val="20"/>
                <w:color w:val="auto"/>
              </w:rPr>
            </w:pPr>
            <w:r>
              <w:rPr>
                <w:rFonts w:ascii="Calibri" w:cs="Calibri" w:eastAsia="Calibri" w:hAnsi="Calibri"/>
                <w:sz w:val="16"/>
                <w:szCs w:val="16"/>
                <w:color w:val="auto"/>
              </w:rPr>
              <w:t>%</w:t>
            </w:r>
          </w:p>
        </w:tc>
      </w:tr>
      <w:tr>
        <w:trPr>
          <w:trHeight w:val="137"/>
        </w:trPr>
        <w:tc>
          <w:tcPr>
            <w:tcW w:w="4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80"/>
              <w:spacing w:after="0" w:line="137" w:lineRule="exact"/>
              <w:rPr>
                <w:sz w:val="20"/>
                <w:szCs w:val="20"/>
                <w:color w:val="auto"/>
              </w:rPr>
            </w:pPr>
            <w:r>
              <w:rPr>
                <w:rFonts w:ascii="Calibri" w:cs="Calibri" w:eastAsia="Calibri" w:hAnsi="Calibri"/>
                <w:sz w:val="14"/>
                <w:szCs w:val="14"/>
                <w:color w:val="auto"/>
              </w:rPr>
              <w:t>Increase/</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7" w:lineRule="exact"/>
              <w:rPr>
                <w:sz w:val="20"/>
                <w:szCs w:val="20"/>
                <w:color w:val="auto"/>
              </w:rPr>
            </w:pPr>
            <w:r>
              <w:rPr>
                <w:rFonts w:ascii="Calibri" w:cs="Calibri" w:eastAsia="Calibri" w:hAnsi="Calibri"/>
                <w:sz w:val="14"/>
                <w:szCs w:val="14"/>
                <w:color w:val="auto"/>
              </w:rPr>
              <w:t>Increase/</w:t>
            </w:r>
          </w:p>
        </w:tc>
      </w:tr>
      <w:tr>
        <w:trPr>
          <w:trHeight w:val="193"/>
        </w:trPr>
        <w:tc>
          <w:tcPr>
            <w:tcW w:w="4460" w:type="dxa"/>
            <w:vAlign w:val="bottom"/>
          </w:tcPr>
          <w:p>
            <w:pPr>
              <w:ind w:left="20"/>
              <w:spacing w:after="0" w:line="193" w:lineRule="exact"/>
              <w:rPr>
                <w:sz w:val="20"/>
                <w:szCs w:val="20"/>
                <w:color w:val="auto"/>
              </w:rPr>
            </w:pPr>
            <w:r>
              <w:rPr>
                <w:rFonts w:ascii="Calibri" w:cs="Calibri" w:eastAsia="Calibri" w:hAnsi="Calibri"/>
                <w:sz w:val="16"/>
                <w:szCs w:val="16"/>
                <w:color w:val="auto"/>
              </w:rPr>
              <w:t>(in millions, except for percentage changes and per share data)</w:t>
            </w:r>
          </w:p>
        </w:tc>
        <w:tc>
          <w:tcPr>
            <w:tcW w:w="140" w:type="dxa"/>
            <w:vAlign w:val="bottom"/>
          </w:tcPr>
          <w:p>
            <w:pPr>
              <w:spacing w:after="0"/>
              <w:rPr>
                <w:sz w:val="16"/>
                <w:szCs w:val="16"/>
                <w:color w:val="auto"/>
              </w:rPr>
            </w:pPr>
          </w:p>
        </w:tc>
        <w:tc>
          <w:tcPr>
            <w:tcW w:w="900" w:type="dxa"/>
            <w:vAlign w:val="bottom"/>
          </w:tcPr>
          <w:p>
            <w:pPr>
              <w:jc w:val="right"/>
              <w:ind w:right="279"/>
              <w:spacing w:after="0" w:line="193" w:lineRule="exact"/>
              <w:rPr>
                <w:sz w:val="20"/>
                <w:szCs w:val="20"/>
                <w:color w:val="auto"/>
              </w:rPr>
            </w:pPr>
            <w:r>
              <w:rPr>
                <w:rFonts w:ascii="Calibri" w:cs="Calibri" w:eastAsia="Calibri" w:hAnsi="Calibri"/>
                <w:sz w:val="16"/>
                <w:szCs w:val="16"/>
                <w:color w:val="auto"/>
              </w:rPr>
              <w:t>2024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9"/>
              <w:spacing w:after="0" w:line="193" w:lineRule="exact"/>
              <w:rPr>
                <w:sz w:val="20"/>
                <w:szCs w:val="20"/>
                <w:color w:val="auto"/>
              </w:rPr>
            </w:pPr>
            <w:r>
              <w:rPr>
                <w:rFonts w:ascii="Calibri" w:cs="Calibri" w:eastAsia="Calibri" w:hAnsi="Calibri"/>
                <w:sz w:val="16"/>
                <w:szCs w:val="16"/>
                <w:color w:val="auto"/>
              </w:rPr>
              <w:t>2023</w:t>
            </w:r>
          </w:p>
        </w:tc>
        <w:tc>
          <w:tcPr>
            <w:tcW w:w="100" w:type="dxa"/>
            <w:vAlign w:val="bottom"/>
          </w:tcPr>
          <w:p>
            <w:pPr>
              <w:spacing w:after="0"/>
              <w:rPr>
                <w:sz w:val="16"/>
                <w:szCs w:val="16"/>
                <w:color w:val="auto"/>
              </w:rPr>
            </w:pPr>
          </w:p>
        </w:tc>
        <w:tc>
          <w:tcPr>
            <w:tcW w:w="1100" w:type="dxa"/>
            <w:vAlign w:val="bottom"/>
            <w:gridSpan w:val="2"/>
          </w:tcPr>
          <w:p>
            <w:pPr>
              <w:jc w:val="center"/>
              <w:ind w:right="80"/>
              <w:spacing w:after="0" w:line="193" w:lineRule="exact"/>
              <w:rPr>
                <w:sz w:val="20"/>
                <w:szCs w:val="20"/>
                <w:color w:val="auto"/>
              </w:rPr>
            </w:pPr>
            <w:r>
              <w:rPr>
                <w:rFonts w:ascii="Calibri" w:cs="Calibri" w:eastAsia="Calibri" w:hAnsi="Calibri"/>
                <w:sz w:val="16"/>
                <w:szCs w:val="16"/>
                <w:color w:val="auto"/>
              </w:rPr>
              <w:t>(Decrease)</w:t>
            </w:r>
          </w:p>
        </w:tc>
        <w:tc>
          <w:tcPr>
            <w:tcW w:w="160" w:type="dxa"/>
            <w:vAlign w:val="bottom"/>
          </w:tcPr>
          <w:p>
            <w:pPr>
              <w:spacing w:after="0"/>
              <w:rPr>
                <w:sz w:val="16"/>
                <w:szCs w:val="16"/>
                <w:color w:val="auto"/>
              </w:rPr>
            </w:pPr>
          </w:p>
        </w:tc>
        <w:tc>
          <w:tcPr>
            <w:tcW w:w="880" w:type="dxa"/>
            <w:vAlign w:val="bottom"/>
          </w:tcPr>
          <w:p>
            <w:pPr>
              <w:jc w:val="right"/>
              <w:ind w:right="259"/>
              <w:spacing w:after="0" w:line="193" w:lineRule="exact"/>
              <w:rPr>
                <w:sz w:val="20"/>
                <w:szCs w:val="20"/>
                <w:color w:val="auto"/>
              </w:rPr>
            </w:pPr>
            <w:r>
              <w:rPr>
                <w:rFonts w:ascii="Calibri" w:cs="Calibri" w:eastAsia="Calibri" w:hAnsi="Calibri"/>
                <w:sz w:val="16"/>
                <w:szCs w:val="16"/>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9"/>
              <w:spacing w:after="0" w:line="193" w:lineRule="exact"/>
              <w:rPr>
                <w:sz w:val="20"/>
                <w:szCs w:val="20"/>
                <w:color w:val="auto"/>
              </w:rPr>
            </w:pPr>
            <w:r>
              <w:rPr>
                <w:rFonts w:ascii="Calibri" w:cs="Calibri" w:eastAsia="Calibri" w:hAnsi="Calibri"/>
                <w:sz w:val="16"/>
                <w:szCs w:val="16"/>
                <w:color w:val="auto"/>
              </w:rPr>
              <w:t>2023</w:t>
            </w:r>
          </w:p>
        </w:tc>
        <w:tc>
          <w:tcPr>
            <w:tcW w:w="100" w:type="dxa"/>
            <w:vAlign w:val="bottom"/>
          </w:tcPr>
          <w:p>
            <w:pPr>
              <w:spacing w:after="0"/>
              <w:rPr>
                <w:sz w:val="16"/>
                <w:szCs w:val="16"/>
                <w:color w:val="auto"/>
              </w:rPr>
            </w:pPr>
          </w:p>
        </w:tc>
        <w:tc>
          <w:tcPr>
            <w:tcW w:w="1020" w:type="dxa"/>
            <w:vAlign w:val="bottom"/>
          </w:tcPr>
          <w:p>
            <w:pPr>
              <w:jc w:val="center"/>
              <w:spacing w:after="0" w:line="193" w:lineRule="exact"/>
              <w:rPr>
                <w:sz w:val="20"/>
                <w:szCs w:val="20"/>
                <w:color w:val="auto"/>
              </w:rPr>
            </w:pPr>
            <w:r>
              <w:rPr>
                <w:rFonts w:ascii="Calibri" w:cs="Calibri" w:eastAsia="Calibri" w:hAnsi="Calibri"/>
                <w:sz w:val="16"/>
                <w:szCs w:val="16"/>
                <w:color w:val="auto"/>
              </w:rPr>
              <w:t>(Decrease)</w:t>
            </w:r>
          </w:p>
        </w:tc>
      </w:tr>
      <w:tr>
        <w:trPr>
          <w:trHeight w:val="28"/>
        </w:trPr>
        <w:tc>
          <w:tcPr>
            <w:tcW w:w="4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4460" w:type="dxa"/>
            <w:vAlign w:val="bottom"/>
            <w:tcBorders>
              <w:bottom w:val="single" w:sz="8" w:color="CCEEFF"/>
            </w:tcBorders>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Operatng expenses (GAAP)</w:t>
            </w:r>
          </w:p>
        </w:tc>
        <w:tc>
          <w:tcPr>
            <w:tcW w:w="1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00" w:type="dxa"/>
            <w:vAlign w:val="bottom"/>
            <w:tcBorders>
              <w:bottom w:val="single" w:sz="8" w:color="CCEEFF"/>
            </w:tcBorders>
            <w:shd w:val="clear" w:color="auto" w:fill="CCEEFF"/>
          </w:tcPr>
          <w:p>
            <w:pPr>
              <w:jc w:val="right"/>
              <w:ind w:right="79"/>
              <w:spacing w:after="0" w:line="187" w:lineRule="exact"/>
              <w:rPr>
                <w:sz w:val="20"/>
                <w:szCs w:val="20"/>
                <w:color w:val="auto"/>
              </w:rPr>
            </w:pPr>
            <w:r>
              <w:rPr>
                <w:rFonts w:ascii="Calibri" w:cs="Calibri" w:eastAsia="Calibri" w:hAnsi="Calibri"/>
                <w:sz w:val="16"/>
                <w:szCs w:val="16"/>
                <w:color w:val="auto"/>
              </w:rPr>
              <w:t>13,057</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39"/>
              <w:spacing w:after="0" w:line="187" w:lineRule="exact"/>
              <w:rPr>
                <w:sz w:val="20"/>
                <w:szCs w:val="20"/>
                <w:color w:val="auto"/>
              </w:rPr>
            </w:pPr>
            <w:r>
              <w:rPr>
                <w:rFonts w:ascii="Calibri" w:cs="Calibri" w:eastAsia="Calibri" w:hAnsi="Calibri"/>
                <w:sz w:val="16"/>
                <w:szCs w:val="16"/>
                <w:color w:val="auto"/>
                <w:w w:val="97"/>
              </w:rPr>
              <w:t>$</w:t>
            </w:r>
          </w:p>
        </w:tc>
        <w:tc>
          <w:tcPr>
            <w:tcW w:w="82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rPr>
              <w:t>12,661</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880" w:type="dxa"/>
            <w:vAlign w:val="bottom"/>
            <w:tcBorders>
              <w:bottom w:val="single" w:sz="8" w:color="CCEEFF"/>
            </w:tcBorders>
            <w:shd w:val="clear" w:color="auto" w:fill="CCEEFF"/>
          </w:tcPr>
          <w:p>
            <w:pPr>
              <w:jc w:val="right"/>
              <w:ind w:right="79"/>
              <w:spacing w:after="0" w:line="187" w:lineRule="exact"/>
              <w:rPr>
                <w:sz w:val="20"/>
                <w:szCs w:val="20"/>
                <w:color w:val="auto"/>
              </w:rPr>
            </w:pPr>
            <w:r>
              <w:rPr>
                <w:rFonts w:ascii="Calibri" w:cs="Calibri" w:eastAsia="Calibri" w:hAnsi="Calibri"/>
                <w:sz w:val="16"/>
                <w:szCs w:val="16"/>
                <w:color w:val="auto"/>
              </w:rPr>
              <w:t>25,497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39"/>
              <w:spacing w:after="0" w:line="187" w:lineRule="exact"/>
              <w:rPr>
                <w:sz w:val="20"/>
                <w:szCs w:val="20"/>
                <w:color w:val="auto"/>
              </w:rPr>
            </w:pPr>
            <w:r>
              <w:rPr>
                <w:rFonts w:ascii="Calibri" w:cs="Calibri" w:eastAsia="Calibri" w:hAnsi="Calibri"/>
                <w:sz w:val="16"/>
                <w:szCs w:val="16"/>
                <w:color w:val="auto"/>
                <w:w w:val="97"/>
              </w:rPr>
              <w:t>$</w:t>
            </w:r>
          </w:p>
        </w:tc>
        <w:tc>
          <w:tcPr>
            <w:tcW w:w="82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rPr>
              <w:t>24,133</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5.7</w:t>
            </w:r>
          </w:p>
        </w:tc>
      </w:tr>
      <w:tr>
        <w:trPr>
          <w:trHeight w:val="193"/>
        </w:trPr>
        <w:tc>
          <w:tcPr>
            <w:tcW w:w="4460" w:type="dxa"/>
            <w:vAlign w:val="bottom"/>
          </w:tcPr>
          <w:p>
            <w:pPr>
              <w:ind w:left="140"/>
              <w:spacing w:after="0" w:line="193" w:lineRule="exact"/>
              <w:rPr>
                <w:sz w:val="20"/>
                <w:szCs w:val="20"/>
                <w:color w:val="auto"/>
              </w:rPr>
            </w:pPr>
            <w:r>
              <w:rPr>
                <w:rFonts w:ascii="Calibri" w:cs="Calibri" w:eastAsia="Calibri" w:hAnsi="Calibri"/>
                <w:sz w:val="16"/>
                <w:szCs w:val="16"/>
                <w:color w:val="auto"/>
              </w:rPr>
              <w:t>Special charges</w:t>
            </w:r>
          </w:p>
        </w:tc>
        <w:tc>
          <w:tcPr>
            <w:tcW w:w="140" w:type="dxa"/>
            <w:vAlign w:val="bottom"/>
          </w:tcPr>
          <w:p>
            <w:pPr>
              <w:spacing w:after="0"/>
              <w:rPr>
                <w:sz w:val="16"/>
                <w:szCs w:val="16"/>
                <w:color w:val="auto"/>
              </w:rPr>
            </w:pPr>
          </w:p>
        </w:tc>
        <w:tc>
          <w:tcPr>
            <w:tcW w:w="90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36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859</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NM</w:t>
            </w:r>
          </w:p>
        </w:tc>
        <w:tc>
          <w:tcPr>
            <w:tcW w:w="160" w:type="dxa"/>
            <w:vAlign w:val="bottom"/>
          </w:tcPr>
          <w:p>
            <w:pPr>
              <w:spacing w:after="0"/>
              <w:rPr>
                <w:sz w:val="16"/>
                <w:szCs w:val="16"/>
                <w:color w:val="auto"/>
              </w:rPr>
            </w:pPr>
          </w:p>
        </w:tc>
        <w:tc>
          <w:tcPr>
            <w:tcW w:w="88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873</w:t>
            </w:r>
          </w:p>
        </w:tc>
        <w:tc>
          <w:tcPr>
            <w:tcW w:w="100" w:type="dxa"/>
            <w:vAlign w:val="bottom"/>
          </w:tcPr>
          <w:p>
            <w:pPr>
              <w:spacing w:after="0"/>
              <w:rPr>
                <w:sz w:val="16"/>
                <w:szCs w:val="16"/>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NM</w:t>
            </w:r>
          </w:p>
        </w:tc>
      </w:tr>
      <w:tr>
        <w:trPr>
          <w:trHeight w:val="23"/>
        </w:trPr>
        <w:tc>
          <w:tcPr>
            <w:tcW w:w="4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189"/>
        </w:trPr>
        <w:tc>
          <w:tcPr>
            <w:tcW w:w="4460" w:type="dxa"/>
            <w:vAlign w:val="bottom"/>
            <w:tcBorders>
              <w:bottom w:val="single" w:sz="8" w:color="CCEEFF"/>
            </w:tcBorders>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Operatng expenses, excluding special charges</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79"/>
              <w:spacing w:after="0" w:line="187" w:lineRule="exact"/>
              <w:rPr>
                <w:sz w:val="20"/>
                <w:szCs w:val="20"/>
                <w:color w:val="auto"/>
              </w:rPr>
            </w:pPr>
            <w:r>
              <w:rPr>
                <w:rFonts w:ascii="Calibri" w:cs="Calibri" w:eastAsia="Calibri" w:hAnsi="Calibri"/>
                <w:sz w:val="16"/>
                <w:szCs w:val="16"/>
                <w:color w:val="auto"/>
              </w:rPr>
              <w:t>13,021</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rPr>
              <w:t>11,802</w:t>
            </w:r>
          </w:p>
        </w:tc>
        <w:tc>
          <w:tcPr>
            <w:tcW w:w="1120" w:type="dxa"/>
            <w:vAlign w:val="bottom"/>
            <w:tcBorders>
              <w:bottom w:val="single" w:sz="8" w:color="CCEEFF"/>
            </w:tcBorders>
            <w:gridSpan w:val="2"/>
            <w:shd w:val="clear" w:color="auto" w:fill="CCEEFF"/>
          </w:tcPr>
          <w:p>
            <w:pPr>
              <w:jc w:val="right"/>
              <w:spacing w:after="0" w:line="182" w:lineRule="exact"/>
              <w:rPr>
                <w:sz w:val="20"/>
                <w:szCs w:val="20"/>
                <w:color w:val="auto"/>
              </w:rPr>
            </w:pPr>
            <w:r>
              <w:rPr>
                <w:rFonts w:ascii="Calibri" w:cs="Calibri" w:eastAsia="Calibri" w:hAnsi="Calibri"/>
                <w:sz w:val="16"/>
                <w:szCs w:val="16"/>
                <w:color w:val="auto"/>
              </w:rPr>
              <w:t>10.3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9"/>
              <w:spacing w:after="0" w:line="187" w:lineRule="exact"/>
              <w:rPr>
                <w:sz w:val="20"/>
                <w:szCs w:val="20"/>
                <w:color w:val="auto"/>
              </w:rPr>
            </w:pPr>
            <w:r>
              <w:rPr>
                <w:rFonts w:ascii="Calibri" w:cs="Calibri" w:eastAsia="Calibri" w:hAnsi="Calibri"/>
                <w:sz w:val="16"/>
                <w:szCs w:val="16"/>
                <w:color w:val="auto"/>
              </w:rPr>
              <w:t>25,448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99"/>
              <w:spacing w:after="0" w:line="187" w:lineRule="exact"/>
              <w:rPr>
                <w:sz w:val="20"/>
                <w:szCs w:val="20"/>
                <w:color w:val="auto"/>
              </w:rPr>
            </w:pPr>
            <w:r>
              <w:rPr>
                <w:rFonts w:ascii="Calibri" w:cs="Calibri" w:eastAsia="Calibri" w:hAnsi="Calibri"/>
                <w:sz w:val="16"/>
                <w:szCs w:val="16"/>
                <w:color w:val="auto"/>
              </w:rPr>
              <w:t>23,260</w:t>
            </w:r>
          </w:p>
        </w:tc>
        <w:tc>
          <w:tcPr>
            <w:tcW w:w="1120" w:type="dxa"/>
            <w:vAlign w:val="bottom"/>
            <w:tcBorders>
              <w:bottom w:val="single" w:sz="8" w:color="CCEEFF"/>
            </w:tcBorders>
            <w:gridSpan w:val="2"/>
            <w:shd w:val="clear" w:color="auto" w:fill="CCEEFF"/>
          </w:tcPr>
          <w:p>
            <w:pPr>
              <w:jc w:val="right"/>
              <w:spacing w:after="0" w:line="182" w:lineRule="exact"/>
              <w:rPr>
                <w:sz w:val="20"/>
                <w:szCs w:val="20"/>
                <w:color w:val="auto"/>
              </w:rPr>
            </w:pPr>
            <w:r>
              <w:rPr>
                <w:rFonts w:ascii="Calibri" w:cs="Calibri" w:eastAsia="Calibri" w:hAnsi="Calibri"/>
                <w:sz w:val="16"/>
                <w:szCs w:val="16"/>
                <w:color w:val="auto"/>
              </w:rPr>
              <w:t>9.4</w:t>
            </w:r>
          </w:p>
        </w:tc>
      </w:tr>
      <w:tr>
        <w:trPr>
          <w:trHeight w:val="193"/>
        </w:trPr>
        <w:tc>
          <w:tcPr>
            <w:tcW w:w="4460" w:type="dxa"/>
            <w:vAlign w:val="bottom"/>
          </w:tcPr>
          <w:p>
            <w:pPr>
              <w:ind w:left="120"/>
              <w:spacing w:after="0" w:line="193" w:lineRule="exact"/>
              <w:rPr>
                <w:sz w:val="20"/>
                <w:szCs w:val="20"/>
                <w:color w:val="auto"/>
              </w:rPr>
            </w:pPr>
            <w:r>
              <w:rPr>
                <w:rFonts w:ascii="Calibri" w:cs="Calibri" w:eastAsia="Calibri" w:hAnsi="Calibri"/>
                <w:sz w:val="16"/>
                <w:szCs w:val="16"/>
                <w:color w:val="auto"/>
              </w:rPr>
              <w:t>Adjusted to exclude: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4460" w:type="dxa"/>
            <w:vAlign w:val="bottom"/>
            <w:tcBorders>
              <w:bottom w:val="single" w:sz="8" w:color="CCEEFF"/>
            </w:tcBorders>
            <w:shd w:val="clear" w:color="auto" w:fill="CCEEFF"/>
          </w:tcPr>
          <w:p>
            <w:pPr>
              <w:ind w:left="260"/>
              <w:spacing w:after="0" w:line="193" w:lineRule="exact"/>
              <w:rPr>
                <w:sz w:val="20"/>
                <w:szCs w:val="20"/>
                <w:color w:val="auto"/>
              </w:rPr>
            </w:pPr>
            <w:r>
              <w:rPr>
                <w:rFonts w:ascii="Calibri" w:cs="Calibri" w:eastAsia="Calibri" w:hAnsi="Calibri"/>
                <w:sz w:val="16"/>
                <w:szCs w:val="16"/>
                <w:color w:val="auto"/>
              </w:rPr>
              <w:t>Fuel expense</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3,133</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2,820</w:t>
            </w:r>
          </w:p>
        </w:tc>
        <w:tc>
          <w:tcPr>
            <w:tcW w:w="11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11.1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6,087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5,994</w:t>
            </w:r>
          </w:p>
        </w:tc>
        <w:tc>
          <w:tcPr>
            <w:tcW w:w="11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1.6</w:t>
            </w:r>
          </w:p>
        </w:tc>
      </w:tr>
      <w:tr>
        <w:trPr>
          <w:trHeight w:val="193"/>
        </w:trPr>
        <w:tc>
          <w:tcPr>
            <w:tcW w:w="4460" w:type="dxa"/>
            <w:vAlign w:val="bottom"/>
          </w:tcPr>
          <w:p>
            <w:pPr>
              <w:ind w:left="260"/>
              <w:spacing w:after="0" w:line="193" w:lineRule="exact"/>
              <w:rPr>
                <w:sz w:val="20"/>
                <w:szCs w:val="20"/>
                <w:color w:val="auto"/>
              </w:rPr>
            </w:pPr>
            <w:r>
              <w:rPr>
                <w:rFonts w:ascii="Calibri" w:cs="Calibri" w:eastAsia="Calibri" w:hAnsi="Calibri"/>
                <w:sz w:val="16"/>
                <w:szCs w:val="16"/>
                <w:color w:val="auto"/>
              </w:rPr>
              <w:t>Proft sharing</w:t>
            </w:r>
          </w:p>
        </w:tc>
        <w:tc>
          <w:tcPr>
            <w:tcW w:w="140" w:type="dxa"/>
            <w:vAlign w:val="bottom"/>
          </w:tcPr>
          <w:p>
            <w:pPr>
              <w:spacing w:after="0"/>
              <w:rPr>
                <w:sz w:val="16"/>
                <w:szCs w:val="16"/>
                <w:color w:val="auto"/>
              </w:rPr>
            </w:pPr>
          </w:p>
        </w:tc>
        <w:tc>
          <w:tcPr>
            <w:tcW w:w="90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185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220</w:t>
            </w:r>
          </w:p>
        </w:tc>
        <w:tc>
          <w:tcPr>
            <w:tcW w:w="11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188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220</w:t>
            </w:r>
          </w:p>
        </w:tc>
        <w:tc>
          <w:tcPr>
            <w:tcW w:w="11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(14.5)</w:t>
            </w:r>
          </w:p>
        </w:tc>
      </w:tr>
      <w:tr>
        <w:trPr>
          <w:trHeight w:val="23"/>
        </w:trPr>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4460" w:type="dxa"/>
            <w:vAlign w:val="bottom"/>
            <w:tcBorders>
              <w:bottom w:val="single" w:sz="8" w:color="CCEEFF"/>
            </w:tcBorders>
            <w:shd w:val="clear" w:color="auto" w:fill="CCEEFF"/>
          </w:tcPr>
          <w:p>
            <w:pPr>
              <w:ind w:left="260"/>
              <w:spacing w:after="0" w:line="193" w:lineRule="exact"/>
              <w:rPr>
                <w:sz w:val="20"/>
                <w:szCs w:val="20"/>
                <w:color w:val="auto"/>
              </w:rPr>
            </w:pPr>
            <w:r>
              <w:rPr>
                <w:rFonts w:ascii="Calibri" w:cs="Calibri" w:eastAsia="Calibri" w:hAnsi="Calibri"/>
                <w:sz w:val="16"/>
                <w:szCs w:val="16"/>
                <w:color w:val="auto"/>
              </w:rPr>
              <w:t>Third-party business expenses</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64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46</w:t>
            </w:r>
          </w:p>
        </w:tc>
        <w:tc>
          <w:tcPr>
            <w:tcW w:w="11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39.1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122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87</w:t>
            </w:r>
          </w:p>
        </w:tc>
        <w:tc>
          <w:tcPr>
            <w:tcW w:w="11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40.2</w:t>
            </w:r>
          </w:p>
        </w:tc>
      </w:tr>
      <w:tr>
        <w:trPr>
          <w:trHeight w:val="209"/>
        </w:trPr>
        <w:tc>
          <w:tcPr>
            <w:tcW w:w="4460" w:type="dxa"/>
            <w:vAlign w:val="bottom"/>
          </w:tcPr>
          <w:p>
            <w:pPr>
              <w:ind w:left="20"/>
              <w:spacing w:after="0"/>
              <w:rPr>
                <w:sz w:val="20"/>
                <w:szCs w:val="20"/>
                <w:color w:val="auto"/>
              </w:rPr>
            </w:pPr>
            <w:r>
              <w:rPr>
                <w:rFonts w:ascii="Calibri" w:cs="Calibri" w:eastAsia="Calibri" w:hAnsi="Calibri"/>
                <w:sz w:val="16"/>
                <w:szCs w:val="16"/>
                <w:color w:val="auto"/>
              </w:rPr>
              <w:t>Adjusted operatng expenses (Non-GAAP)</w:t>
            </w:r>
          </w:p>
        </w:tc>
        <w:tc>
          <w:tcPr>
            <w:tcW w:w="14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900" w:type="dxa"/>
            <w:vAlign w:val="bottom"/>
            <w:tcBorders>
              <w:top w:val="single" w:sz="8" w:color="auto"/>
              <w:bottom w:val="single" w:sz="8" w:color="auto"/>
            </w:tcBorders>
          </w:tcPr>
          <w:p>
            <w:pPr>
              <w:jc w:val="right"/>
              <w:ind w:right="79"/>
              <w:spacing w:after="0" w:line="193" w:lineRule="exact"/>
              <w:rPr>
                <w:sz w:val="20"/>
                <w:szCs w:val="20"/>
                <w:color w:val="auto"/>
              </w:rPr>
            </w:pPr>
            <w:r>
              <w:rPr>
                <w:rFonts w:ascii="Calibri" w:cs="Calibri" w:eastAsia="Calibri" w:hAnsi="Calibri"/>
                <w:sz w:val="16"/>
                <w:szCs w:val="16"/>
                <w:color w:val="auto"/>
              </w:rPr>
              <w:t>9,639</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820" w:type="dxa"/>
            <w:vAlign w:val="bottom"/>
            <w:tcBorders>
              <w:top w:val="single" w:sz="8" w:color="auto"/>
              <w:bottom w:val="single" w:sz="8" w:color="auto"/>
            </w:tcBorders>
          </w:tcPr>
          <w:p>
            <w:pPr>
              <w:jc w:val="right"/>
              <w:ind w:right="99"/>
              <w:spacing w:after="0" w:line="193" w:lineRule="exact"/>
              <w:rPr>
                <w:sz w:val="20"/>
                <w:szCs w:val="20"/>
                <w:color w:val="auto"/>
              </w:rPr>
            </w:pPr>
            <w:r>
              <w:rPr>
                <w:rFonts w:ascii="Calibri" w:cs="Calibri" w:eastAsia="Calibri" w:hAnsi="Calibri"/>
                <w:sz w:val="16"/>
                <w:szCs w:val="16"/>
                <w:color w:val="auto"/>
              </w:rPr>
              <w:t>8,716</w:t>
            </w:r>
          </w:p>
        </w:tc>
        <w:tc>
          <w:tcPr>
            <w:tcW w:w="1120" w:type="dxa"/>
            <w:vAlign w:val="bottom"/>
            <w:gridSpan w:val="2"/>
          </w:tcPr>
          <w:p>
            <w:pPr>
              <w:jc w:val="right"/>
              <w:spacing w:after="0"/>
              <w:rPr>
                <w:sz w:val="20"/>
                <w:szCs w:val="20"/>
                <w:color w:val="auto"/>
              </w:rPr>
            </w:pPr>
            <w:r>
              <w:rPr>
                <w:rFonts w:ascii="Calibri" w:cs="Calibri" w:eastAsia="Calibri" w:hAnsi="Calibri"/>
                <w:sz w:val="16"/>
                <w:szCs w:val="16"/>
                <w:color w:val="auto"/>
              </w:rPr>
              <w:t>10.6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880" w:type="dxa"/>
            <w:vAlign w:val="bottom"/>
            <w:tcBorders>
              <w:top w:val="single" w:sz="8" w:color="auto"/>
              <w:bottom w:val="single" w:sz="8" w:color="auto"/>
            </w:tcBorders>
          </w:tcPr>
          <w:p>
            <w:pPr>
              <w:jc w:val="right"/>
              <w:ind w:right="79"/>
              <w:spacing w:after="0" w:line="193" w:lineRule="exact"/>
              <w:rPr>
                <w:sz w:val="20"/>
                <w:szCs w:val="20"/>
                <w:color w:val="auto"/>
              </w:rPr>
            </w:pPr>
            <w:r>
              <w:rPr>
                <w:rFonts w:ascii="Calibri" w:cs="Calibri" w:eastAsia="Calibri" w:hAnsi="Calibri"/>
                <w:sz w:val="16"/>
                <w:szCs w:val="16"/>
                <w:color w:val="auto"/>
              </w:rPr>
              <w:t>19,051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820" w:type="dxa"/>
            <w:vAlign w:val="bottom"/>
            <w:tcBorders>
              <w:top w:val="single" w:sz="8" w:color="auto"/>
              <w:bottom w:val="single" w:sz="8" w:color="auto"/>
            </w:tcBorders>
          </w:tcPr>
          <w:p>
            <w:pPr>
              <w:jc w:val="right"/>
              <w:ind w:right="99"/>
              <w:spacing w:after="0" w:line="193" w:lineRule="exact"/>
              <w:rPr>
                <w:sz w:val="20"/>
                <w:szCs w:val="20"/>
                <w:color w:val="auto"/>
              </w:rPr>
            </w:pPr>
            <w:r>
              <w:rPr>
                <w:rFonts w:ascii="Calibri" w:cs="Calibri" w:eastAsia="Calibri" w:hAnsi="Calibri"/>
                <w:sz w:val="16"/>
                <w:szCs w:val="16"/>
                <w:color w:val="auto"/>
              </w:rPr>
              <w:t>16,959</w:t>
            </w:r>
          </w:p>
        </w:tc>
        <w:tc>
          <w:tcPr>
            <w:tcW w:w="1120" w:type="dxa"/>
            <w:vAlign w:val="bottom"/>
            <w:gridSpan w:val="2"/>
          </w:tcPr>
          <w:p>
            <w:pPr>
              <w:jc w:val="right"/>
              <w:spacing w:after="0"/>
              <w:rPr>
                <w:sz w:val="20"/>
                <w:szCs w:val="20"/>
                <w:color w:val="auto"/>
              </w:rPr>
            </w:pPr>
            <w:r>
              <w:rPr>
                <w:rFonts w:ascii="Calibri" w:cs="Calibri" w:eastAsia="Calibri" w:hAnsi="Calibri"/>
                <w:sz w:val="16"/>
                <w:szCs w:val="16"/>
                <w:color w:val="auto"/>
              </w:rPr>
              <w:t>12.3</w:t>
            </w:r>
          </w:p>
        </w:tc>
      </w:tr>
      <w:tr>
        <w:trPr>
          <w:trHeight w:val="21"/>
        </w:trPr>
        <w:tc>
          <w:tcPr>
            <w:tcW w:w="4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6"/>
        </w:trPr>
        <w:tc>
          <w:tcPr>
            <w:tcW w:w="446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Operatng income (GAAP)</w:t>
            </w:r>
          </w:p>
        </w:tc>
        <w:tc>
          <w:tcPr>
            <w:tcW w:w="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90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1,929</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1,517</w:t>
            </w:r>
          </w:p>
        </w:tc>
        <w:tc>
          <w:tcPr>
            <w:tcW w:w="11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27.2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88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2,028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1,474</w:t>
            </w:r>
          </w:p>
        </w:tc>
        <w:tc>
          <w:tcPr>
            <w:tcW w:w="11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37.6</w:t>
            </w:r>
          </w:p>
        </w:tc>
      </w:tr>
      <w:tr>
        <w:trPr>
          <w:trHeight w:val="193"/>
        </w:trPr>
        <w:tc>
          <w:tcPr>
            <w:tcW w:w="4460" w:type="dxa"/>
            <w:vAlign w:val="bottom"/>
          </w:tcPr>
          <w:p>
            <w:pPr>
              <w:ind w:left="140"/>
              <w:spacing w:after="0" w:line="193" w:lineRule="exact"/>
              <w:rPr>
                <w:sz w:val="20"/>
                <w:szCs w:val="20"/>
                <w:color w:val="auto"/>
              </w:rPr>
            </w:pPr>
            <w:r>
              <w:rPr>
                <w:rFonts w:ascii="Calibri" w:cs="Calibri" w:eastAsia="Calibri" w:hAnsi="Calibri"/>
                <w:sz w:val="16"/>
                <w:szCs w:val="16"/>
                <w:color w:val="auto"/>
              </w:rPr>
              <w:t>Special charges</w:t>
            </w:r>
          </w:p>
        </w:tc>
        <w:tc>
          <w:tcPr>
            <w:tcW w:w="140" w:type="dxa"/>
            <w:vAlign w:val="bottom"/>
          </w:tcPr>
          <w:p>
            <w:pPr>
              <w:spacing w:after="0"/>
              <w:rPr>
                <w:sz w:val="16"/>
                <w:szCs w:val="16"/>
                <w:color w:val="auto"/>
              </w:rPr>
            </w:pPr>
          </w:p>
        </w:tc>
        <w:tc>
          <w:tcPr>
            <w:tcW w:w="90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36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859</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NM</w:t>
            </w:r>
          </w:p>
        </w:tc>
        <w:tc>
          <w:tcPr>
            <w:tcW w:w="160" w:type="dxa"/>
            <w:vAlign w:val="bottom"/>
          </w:tcPr>
          <w:p>
            <w:pPr>
              <w:spacing w:after="0"/>
              <w:rPr>
                <w:sz w:val="16"/>
                <w:szCs w:val="16"/>
                <w:color w:val="auto"/>
              </w:rPr>
            </w:pPr>
          </w:p>
        </w:tc>
        <w:tc>
          <w:tcPr>
            <w:tcW w:w="88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873</w:t>
            </w:r>
          </w:p>
        </w:tc>
        <w:tc>
          <w:tcPr>
            <w:tcW w:w="100" w:type="dxa"/>
            <w:vAlign w:val="bottom"/>
          </w:tcPr>
          <w:p>
            <w:pPr>
              <w:spacing w:after="0"/>
              <w:rPr>
                <w:sz w:val="16"/>
                <w:szCs w:val="16"/>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NM</w:t>
            </w:r>
          </w:p>
        </w:tc>
      </w:tr>
      <w:tr>
        <w:trPr>
          <w:trHeight w:val="23"/>
        </w:trPr>
        <w:tc>
          <w:tcPr>
            <w:tcW w:w="4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234"/>
        </w:trPr>
        <w:tc>
          <w:tcPr>
            <w:tcW w:w="44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6"/>
                <w:szCs w:val="16"/>
                <w:color w:val="auto"/>
              </w:rPr>
              <w:t>Adjusted operatng income (Non-GAAP)</w:t>
            </w:r>
          </w:p>
        </w:tc>
        <w:tc>
          <w:tcPr>
            <w:tcW w:w="1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900" w:type="dxa"/>
            <w:vAlign w:val="bottom"/>
            <w:tcBorders>
              <w:bottom w:val="single" w:sz="8" w:color="auto"/>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1,965</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820" w:type="dxa"/>
            <w:vAlign w:val="bottom"/>
            <w:tcBorders>
              <w:bottom w:val="single" w:sz="8" w:color="auto"/>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2,376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6"/>
                <w:szCs w:val="16"/>
                <w:color w:val="auto"/>
              </w:rPr>
              <w:t>(17.3)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880" w:type="dxa"/>
            <w:vAlign w:val="bottom"/>
            <w:tcBorders>
              <w:bottom w:val="single" w:sz="8" w:color="auto"/>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2,077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820" w:type="dxa"/>
            <w:vAlign w:val="bottom"/>
            <w:tcBorders>
              <w:bottom w:val="single" w:sz="8" w:color="auto"/>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2,347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6"/>
                <w:szCs w:val="16"/>
                <w:color w:val="auto"/>
              </w:rPr>
              <w:t>(11.5)</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r>
        <w:trPr>
          <w:trHeight w:val="190"/>
        </w:trPr>
        <w:tc>
          <w:tcPr>
            <w:tcW w:w="4460" w:type="dxa"/>
            <w:vAlign w:val="bottom"/>
          </w:tcPr>
          <w:p>
            <w:pPr>
              <w:ind w:left="20"/>
              <w:spacing w:after="0" w:line="190" w:lineRule="exact"/>
              <w:rPr>
                <w:sz w:val="20"/>
                <w:szCs w:val="20"/>
                <w:color w:val="auto"/>
              </w:rPr>
            </w:pPr>
            <w:r>
              <w:rPr>
                <w:rFonts w:ascii="Calibri" w:cs="Calibri" w:eastAsia="Calibri" w:hAnsi="Calibri"/>
                <w:sz w:val="16"/>
                <w:szCs w:val="16"/>
                <w:i w:val="1"/>
                <w:iCs w:val="1"/>
                <w:color w:val="auto"/>
              </w:rPr>
              <w:t>Operatng margin</w:t>
            </w:r>
          </w:p>
        </w:tc>
        <w:tc>
          <w:tcPr>
            <w:tcW w:w="140" w:type="dxa"/>
            <w:vAlign w:val="bottom"/>
          </w:tcPr>
          <w:p>
            <w:pPr>
              <w:spacing w:after="0"/>
              <w:rPr>
                <w:sz w:val="16"/>
                <w:szCs w:val="16"/>
                <w:color w:val="auto"/>
              </w:rPr>
            </w:pPr>
          </w:p>
        </w:tc>
        <w:tc>
          <w:tcPr>
            <w:tcW w:w="900" w:type="dxa"/>
            <w:vAlign w:val="bottom"/>
          </w:tcPr>
          <w:p>
            <w:pPr>
              <w:jc w:val="right"/>
              <w:spacing w:after="0" w:line="190" w:lineRule="exact"/>
              <w:rPr>
                <w:sz w:val="20"/>
                <w:szCs w:val="20"/>
                <w:color w:val="auto"/>
              </w:rPr>
            </w:pPr>
            <w:r>
              <w:rPr>
                <w:rFonts w:ascii="Calibri" w:cs="Calibri" w:eastAsia="Calibri" w:hAnsi="Calibri"/>
                <w:sz w:val="16"/>
                <w:szCs w:val="16"/>
                <w:i w:val="1"/>
                <w:iCs w:val="1"/>
                <w:color w:val="auto"/>
              </w:rPr>
              <w:t>12.9 %</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Calibri" w:cs="Calibri" w:eastAsia="Calibri" w:hAnsi="Calibri"/>
                <w:sz w:val="16"/>
                <w:szCs w:val="16"/>
                <w:i w:val="1"/>
                <w:iCs w:val="1"/>
                <w:color w:val="auto"/>
              </w:rPr>
              <w:t>10.7 %</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line="190" w:lineRule="exact"/>
              <w:rPr>
                <w:sz w:val="20"/>
                <w:szCs w:val="20"/>
                <w:color w:val="auto"/>
              </w:rPr>
            </w:pPr>
            <w:r>
              <w:rPr>
                <w:rFonts w:ascii="Calibri" w:cs="Calibri" w:eastAsia="Calibri" w:hAnsi="Calibri"/>
                <w:sz w:val="16"/>
                <w:szCs w:val="16"/>
                <w:i w:val="1"/>
                <w:iCs w:val="1"/>
                <w:color w:val="auto"/>
              </w:rPr>
              <w:t>2.2 pts.</w:t>
            </w:r>
          </w:p>
        </w:tc>
        <w:tc>
          <w:tcPr>
            <w:tcW w:w="160" w:type="dxa"/>
            <w:vAlign w:val="bottom"/>
          </w:tcPr>
          <w:p>
            <w:pPr>
              <w:spacing w:after="0"/>
              <w:rPr>
                <w:sz w:val="16"/>
                <w:szCs w:val="16"/>
                <w:color w:val="auto"/>
              </w:rPr>
            </w:pPr>
          </w:p>
        </w:tc>
        <w:tc>
          <w:tcPr>
            <w:tcW w:w="880" w:type="dxa"/>
            <w:vAlign w:val="bottom"/>
          </w:tcPr>
          <w:p>
            <w:pPr>
              <w:jc w:val="right"/>
              <w:spacing w:after="0" w:line="190" w:lineRule="exact"/>
              <w:rPr>
                <w:sz w:val="20"/>
                <w:szCs w:val="20"/>
                <w:color w:val="auto"/>
              </w:rPr>
            </w:pPr>
            <w:r>
              <w:rPr>
                <w:rFonts w:ascii="Calibri" w:cs="Calibri" w:eastAsia="Calibri" w:hAnsi="Calibri"/>
                <w:sz w:val="16"/>
                <w:szCs w:val="16"/>
                <w:i w:val="1"/>
                <w:iCs w:val="1"/>
                <w:color w:val="auto"/>
              </w:rPr>
              <w:t>7.4 %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90" w:lineRule="exact"/>
              <w:rPr>
                <w:sz w:val="20"/>
                <w:szCs w:val="20"/>
                <w:color w:val="auto"/>
              </w:rPr>
            </w:pPr>
            <w:r>
              <w:rPr>
                <w:rFonts w:ascii="Calibri" w:cs="Calibri" w:eastAsia="Calibri" w:hAnsi="Calibri"/>
                <w:sz w:val="16"/>
                <w:szCs w:val="16"/>
                <w:i w:val="1"/>
                <w:iCs w:val="1"/>
                <w:color w:val="auto"/>
              </w:rPr>
              <w:t>5.8 %</w:t>
            </w:r>
          </w:p>
        </w:tc>
        <w:tc>
          <w:tcPr>
            <w:tcW w:w="100" w:type="dxa"/>
            <w:vAlign w:val="bottom"/>
          </w:tcPr>
          <w:p>
            <w:pPr>
              <w:spacing w:after="0"/>
              <w:rPr>
                <w:sz w:val="16"/>
                <w:szCs w:val="16"/>
                <w:color w:val="auto"/>
              </w:rPr>
            </w:pPr>
          </w:p>
        </w:tc>
        <w:tc>
          <w:tcPr>
            <w:tcW w:w="1020" w:type="dxa"/>
            <w:vAlign w:val="bottom"/>
          </w:tcPr>
          <w:p>
            <w:pPr>
              <w:jc w:val="right"/>
              <w:spacing w:after="0" w:line="190" w:lineRule="exact"/>
              <w:rPr>
                <w:sz w:val="20"/>
                <w:szCs w:val="20"/>
                <w:color w:val="auto"/>
              </w:rPr>
            </w:pPr>
            <w:r>
              <w:rPr>
                <w:rFonts w:ascii="Calibri" w:cs="Calibri" w:eastAsia="Calibri" w:hAnsi="Calibri"/>
                <w:sz w:val="16"/>
                <w:szCs w:val="16"/>
                <w:i w:val="1"/>
                <w:iCs w:val="1"/>
                <w:color w:val="auto"/>
              </w:rPr>
              <w:t>1.6 pts.</w:t>
            </w:r>
          </w:p>
        </w:tc>
      </w:tr>
      <w:tr>
        <w:trPr>
          <w:trHeight w:val="28"/>
        </w:trPr>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6"/>
        </w:trPr>
        <w:tc>
          <w:tcPr>
            <w:tcW w:w="446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i w:val="1"/>
                <w:iCs w:val="1"/>
                <w:color w:val="auto"/>
              </w:rPr>
              <w:t>Adjusted operatng margin (Non-GAAP)</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i w:val="1"/>
                <w:iCs w:val="1"/>
                <w:color w:val="auto"/>
              </w:rPr>
              <w:t>13.1 %</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i w:val="1"/>
                <w:iCs w:val="1"/>
                <w:color w:val="auto"/>
              </w:rPr>
              <w:t>16.8 %</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line="193" w:lineRule="exact"/>
              <w:rPr>
                <w:sz w:val="20"/>
                <w:szCs w:val="20"/>
                <w:color w:val="auto"/>
              </w:rPr>
            </w:pPr>
            <w:r>
              <w:rPr>
                <w:rFonts w:ascii="Calibri" w:cs="Calibri" w:eastAsia="Calibri" w:hAnsi="Calibri"/>
                <w:sz w:val="16"/>
                <w:szCs w:val="16"/>
                <w:i w:val="1"/>
                <w:iCs w:val="1"/>
                <w:color w:val="auto"/>
              </w:rPr>
              <w:t>(3.7) pts.</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i w:val="1"/>
                <w:iCs w:val="1"/>
                <w:color w:val="auto"/>
              </w:rPr>
              <w:t>7.5 %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i w:val="1"/>
                <w:iCs w:val="1"/>
                <w:color w:val="auto"/>
              </w:rPr>
              <w:t>9.2 %</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i w:val="1"/>
                <w:iCs w:val="1"/>
                <w:color w:val="auto"/>
              </w:rPr>
              <w:t>(1.7) pts.</w:t>
            </w:r>
          </w:p>
        </w:tc>
      </w:tr>
      <w:tr>
        <w:trPr>
          <w:trHeight w:val="270"/>
        </w:trPr>
        <w:tc>
          <w:tcPr>
            <w:tcW w:w="4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96"/>
        </w:trPr>
        <w:tc>
          <w:tcPr>
            <w:tcW w:w="446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Pre-tax income (GAAP)</w:t>
            </w:r>
          </w:p>
        </w:tc>
        <w:tc>
          <w:tcPr>
            <w:tcW w:w="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90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1,739</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1,387</w:t>
            </w:r>
          </w:p>
        </w:tc>
        <w:tc>
          <w:tcPr>
            <w:tcW w:w="11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88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1,575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1,131</w:t>
            </w:r>
          </w:p>
        </w:tc>
        <w:tc>
          <w:tcPr>
            <w:tcW w:w="11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39.3</w:t>
            </w:r>
          </w:p>
        </w:tc>
      </w:tr>
      <w:tr>
        <w:trPr>
          <w:trHeight w:val="193"/>
        </w:trPr>
        <w:tc>
          <w:tcPr>
            <w:tcW w:w="4460" w:type="dxa"/>
            <w:vAlign w:val="bottom"/>
          </w:tcPr>
          <w:p>
            <w:pPr>
              <w:ind w:left="120"/>
              <w:spacing w:after="0" w:line="193" w:lineRule="exact"/>
              <w:rPr>
                <w:sz w:val="20"/>
                <w:szCs w:val="20"/>
                <w:color w:val="auto"/>
              </w:rPr>
            </w:pPr>
            <w:r>
              <w:rPr>
                <w:rFonts w:ascii="Calibri" w:cs="Calibri" w:eastAsia="Calibri" w:hAnsi="Calibri"/>
                <w:sz w:val="16"/>
                <w:szCs w:val="16"/>
                <w:color w:val="auto"/>
              </w:rPr>
              <w:t>Adjusted to exclude: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4460" w:type="dxa"/>
            <w:vAlign w:val="bottom"/>
            <w:tcBorders>
              <w:bottom w:val="single" w:sz="8" w:color="CCEEFF"/>
            </w:tcBorders>
            <w:shd w:val="clear" w:color="auto" w:fill="CCEEFF"/>
          </w:tcPr>
          <w:p>
            <w:pPr>
              <w:ind w:left="260"/>
              <w:spacing w:after="0" w:line="193" w:lineRule="exact"/>
              <w:rPr>
                <w:sz w:val="20"/>
                <w:szCs w:val="20"/>
                <w:color w:val="auto"/>
              </w:rPr>
            </w:pPr>
            <w:r>
              <w:rPr>
                <w:rFonts w:ascii="Calibri" w:cs="Calibri" w:eastAsia="Calibri" w:hAnsi="Calibri"/>
                <w:sz w:val="16"/>
                <w:szCs w:val="16"/>
                <w:color w:val="auto"/>
              </w:rPr>
              <w:t>Special charges</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36</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859</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line="193" w:lineRule="exact"/>
              <w:rPr>
                <w:sz w:val="20"/>
                <w:szCs w:val="20"/>
                <w:color w:val="auto"/>
              </w:rPr>
            </w:pPr>
            <w:r>
              <w:rPr>
                <w:rFonts w:ascii="Calibri" w:cs="Calibri" w:eastAsia="Calibri" w:hAnsi="Calibri"/>
                <w:sz w:val="16"/>
                <w:szCs w:val="16"/>
                <w:color w:val="auto"/>
              </w:rPr>
              <w:t>NM</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873</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NM</w:t>
            </w:r>
          </w:p>
        </w:tc>
      </w:tr>
      <w:tr>
        <w:trPr>
          <w:trHeight w:val="194"/>
        </w:trPr>
        <w:tc>
          <w:tcPr>
            <w:tcW w:w="4460" w:type="dxa"/>
            <w:vAlign w:val="bottom"/>
          </w:tcPr>
          <w:p>
            <w:pPr>
              <w:ind w:left="260"/>
              <w:spacing w:after="0" w:line="193" w:lineRule="exact"/>
              <w:rPr>
                <w:sz w:val="20"/>
                <w:szCs w:val="20"/>
                <w:color w:val="auto"/>
              </w:rPr>
            </w:pPr>
            <w:r>
              <w:rPr>
                <w:rFonts w:ascii="Calibri" w:cs="Calibri" w:eastAsia="Calibri" w:hAnsi="Calibri"/>
                <w:sz w:val="16"/>
                <w:szCs w:val="16"/>
                <w:color w:val="auto"/>
              </w:rPr>
              <w:t>Unrealized (gains) losses on investments, net</w:t>
            </w:r>
          </w:p>
        </w:tc>
        <w:tc>
          <w:tcPr>
            <w:tcW w:w="140" w:type="dxa"/>
            <w:vAlign w:val="bottom"/>
          </w:tcPr>
          <w:p>
            <w:pPr>
              <w:spacing w:after="0"/>
              <w:rPr>
                <w:sz w:val="16"/>
                <w:szCs w:val="16"/>
                <w:color w:val="auto"/>
              </w:rPr>
            </w:pPr>
          </w:p>
        </w:tc>
        <w:tc>
          <w:tcPr>
            <w:tcW w:w="90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33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(84)</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NM</w:t>
            </w:r>
          </w:p>
        </w:tc>
        <w:tc>
          <w:tcPr>
            <w:tcW w:w="160" w:type="dxa"/>
            <w:vAlign w:val="bottom"/>
          </w:tcPr>
          <w:p>
            <w:pPr>
              <w:spacing w:after="0"/>
              <w:rPr>
                <w:sz w:val="16"/>
                <w:szCs w:val="16"/>
                <w:color w:val="auto"/>
              </w:rPr>
            </w:pPr>
          </w:p>
        </w:tc>
        <w:tc>
          <w:tcPr>
            <w:tcW w:w="88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(108)</w:t>
            </w:r>
          </w:p>
        </w:tc>
        <w:tc>
          <w:tcPr>
            <w:tcW w:w="100" w:type="dxa"/>
            <w:vAlign w:val="bottom"/>
          </w:tcPr>
          <w:p>
            <w:pPr>
              <w:spacing w:after="0"/>
              <w:rPr>
                <w:sz w:val="16"/>
                <w:szCs w:val="16"/>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NM</w:t>
            </w:r>
          </w:p>
        </w:tc>
      </w:tr>
      <w:tr>
        <w:trPr>
          <w:trHeight w:val="22"/>
        </w:trPr>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4460" w:type="dxa"/>
            <w:vAlign w:val="bottom"/>
            <w:tcBorders>
              <w:bottom w:val="single" w:sz="8" w:color="CCEEFF"/>
            </w:tcBorders>
            <w:shd w:val="clear" w:color="auto" w:fill="CCEEFF"/>
          </w:tcPr>
          <w:p>
            <w:pPr>
              <w:ind w:left="260"/>
              <w:spacing w:after="0" w:line="193" w:lineRule="exact"/>
              <w:rPr>
                <w:sz w:val="20"/>
                <w:szCs w:val="20"/>
                <w:color w:val="auto"/>
              </w:rPr>
            </w:pPr>
            <w:r>
              <w:rPr>
                <w:rFonts w:ascii="Calibri" w:cs="Calibri" w:eastAsia="Calibri" w:hAnsi="Calibri"/>
                <w:sz w:val="16"/>
                <w:szCs w:val="16"/>
                <w:color w:val="auto"/>
              </w:rPr>
              <w:t>Debt extnguishment and modifcaton fees</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36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00"/>
              <w:spacing w:after="0" w:line="193" w:lineRule="exact"/>
              <w:rPr>
                <w:sz w:val="20"/>
                <w:szCs w:val="20"/>
                <w:color w:val="auto"/>
              </w:rPr>
            </w:pPr>
            <w:r>
              <w:rPr>
                <w:rFonts w:ascii="Calibri" w:cs="Calibri" w:eastAsia="Calibri" w:hAnsi="Calibri"/>
                <w:sz w:val="16"/>
                <w:szCs w:val="16"/>
                <w:color w:val="auto"/>
              </w:rPr>
              <w:t>NM</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NM</w:t>
            </w:r>
          </w:p>
        </w:tc>
      </w:tr>
      <w:tr>
        <w:trPr>
          <w:trHeight w:val="209"/>
        </w:trPr>
        <w:tc>
          <w:tcPr>
            <w:tcW w:w="4460" w:type="dxa"/>
            <w:vAlign w:val="bottom"/>
          </w:tcPr>
          <w:p>
            <w:pPr>
              <w:ind w:left="20"/>
              <w:spacing w:after="0"/>
              <w:rPr>
                <w:sz w:val="20"/>
                <w:szCs w:val="20"/>
                <w:color w:val="auto"/>
              </w:rPr>
            </w:pPr>
            <w:r>
              <w:rPr>
                <w:rFonts w:ascii="Calibri" w:cs="Calibri" w:eastAsia="Calibri" w:hAnsi="Calibri"/>
                <w:sz w:val="16"/>
                <w:szCs w:val="16"/>
                <w:color w:val="auto"/>
              </w:rPr>
              <w:t>Adjusted pre-tax income (Non-GAAP)</w:t>
            </w:r>
          </w:p>
        </w:tc>
        <w:tc>
          <w:tcPr>
            <w:tcW w:w="14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900" w:type="dxa"/>
            <w:vAlign w:val="bottom"/>
            <w:tcBorders>
              <w:top w:val="single" w:sz="8" w:color="auto"/>
              <w:bottom w:val="single" w:sz="8" w:color="auto"/>
            </w:tcBorders>
          </w:tcPr>
          <w:p>
            <w:pPr>
              <w:jc w:val="right"/>
              <w:ind w:right="79"/>
              <w:spacing w:after="0" w:line="193" w:lineRule="exact"/>
              <w:rPr>
                <w:sz w:val="20"/>
                <w:szCs w:val="20"/>
                <w:color w:val="auto"/>
              </w:rPr>
            </w:pPr>
            <w:r>
              <w:rPr>
                <w:rFonts w:ascii="Calibri" w:cs="Calibri" w:eastAsia="Calibri" w:hAnsi="Calibri"/>
                <w:sz w:val="16"/>
                <w:szCs w:val="16"/>
                <w:color w:val="auto"/>
              </w:rPr>
              <w:t>1,808</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820" w:type="dxa"/>
            <w:vAlign w:val="bottom"/>
            <w:tcBorders>
              <w:top w:val="single" w:sz="8" w:color="auto"/>
              <w:bottom w:val="single" w:sz="8" w:color="auto"/>
            </w:tcBorders>
          </w:tcPr>
          <w:p>
            <w:pPr>
              <w:jc w:val="right"/>
              <w:ind w:right="99"/>
              <w:spacing w:after="0" w:line="193" w:lineRule="exact"/>
              <w:rPr>
                <w:sz w:val="20"/>
                <w:szCs w:val="20"/>
                <w:color w:val="auto"/>
              </w:rPr>
            </w:pPr>
            <w:r>
              <w:rPr>
                <w:rFonts w:ascii="Calibri" w:cs="Calibri" w:eastAsia="Calibri" w:hAnsi="Calibri"/>
                <w:sz w:val="16"/>
                <w:szCs w:val="16"/>
                <w:color w:val="auto"/>
              </w:rPr>
              <w:t>2,173</w:t>
            </w:r>
          </w:p>
        </w:tc>
        <w:tc>
          <w:tcPr>
            <w:tcW w:w="1120" w:type="dxa"/>
            <w:vAlign w:val="bottom"/>
            <w:gridSpan w:val="2"/>
          </w:tcPr>
          <w:p>
            <w:pPr>
              <w:jc w:val="right"/>
              <w:spacing w:after="0"/>
              <w:rPr>
                <w:sz w:val="20"/>
                <w:szCs w:val="20"/>
                <w:color w:val="auto"/>
              </w:rPr>
            </w:pPr>
            <w:r>
              <w:rPr>
                <w:rFonts w:ascii="Calibri" w:cs="Calibri" w:eastAsia="Calibri" w:hAnsi="Calibri"/>
                <w:sz w:val="16"/>
                <w:szCs w:val="16"/>
                <w:color w:val="auto"/>
              </w:rPr>
              <w:t>(16.8)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880" w:type="dxa"/>
            <w:vAlign w:val="bottom"/>
            <w:tcBorders>
              <w:top w:val="single" w:sz="8" w:color="auto"/>
              <w:bottom w:val="single" w:sz="8" w:color="auto"/>
            </w:tcBorders>
          </w:tcPr>
          <w:p>
            <w:pPr>
              <w:jc w:val="right"/>
              <w:ind w:right="79"/>
              <w:spacing w:after="0" w:line="193" w:lineRule="exact"/>
              <w:rPr>
                <w:sz w:val="20"/>
                <w:szCs w:val="20"/>
                <w:color w:val="auto"/>
              </w:rPr>
            </w:pPr>
            <w:r>
              <w:rPr>
                <w:rFonts w:ascii="Calibri" w:cs="Calibri" w:eastAsia="Calibri" w:hAnsi="Calibri"/>
                <w:sz w:val="16"/>
                <w:szCs w:val="16"/>
                <w:color w:val="auto"/>
              </w:rPr>
              <w:t>1,729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820" w:type="dxa"/>
            <w:vAlign w:val="bottom"/>
            <w:tcBorders>
              <w:top w:val="single" w:sz="8" w:color="auto"/>
              <w:bottom w:val="single" w:sz="8" w:color="auto"/>
            </w:tcBorders>
          </w:tcPr>
          <w:p>
            <w:pPr>
              <w:jc w:val="right"/>
              <w:ind w:right="99"/>
              <w:spacing w:after="0" w:line="193" w:lineRule="exact"/>
              <w:rPr>
                <w:sz w:val="20"/>
                <w:szCs w:val="20"/>
                <w:color w:val="auto"/>
              </w:rPr>
            </w:pPr>
            <w:r>
              <w:rPr>
                <w:rFonts w:ascii="Calibri" w:cs="Calibri" w:eastAsia="Calibri" w:hAnsi="Calibri"/>
                <w:sz w:val="16"/>
                <w:szCs w:val="16"/>
                <w:color w:val="auto"/>
              </w:rPr>
              <w:t>1,907</w:t>
            </w:r>
          </w:p>
        </w:tc>
        <w:tc>
          <w:tcPr>
            <w:tcW w:w="1120" w:type="dxa"/>
            <w:vAlign w:val="bottom"/>
            <w:gridSpan w:val="2"/>
          </w:tcPr>
          <w:p>
            <w:pPr>
              <w:jc w:val="right"/>
              <w:spacing w:after="0"/>
              <w:rPr>
                <w:sz w:val="20"/>
                <w:szCs w:val="20"/>
                <w:color w:val="auto"/>
              </w:rPr>
            </w:pPr>
            <w:r>
              <w:rPr>
                <w:rFonts w:ascii="Calibri" w:cs="Calibri" w:eastAsia="Calibri" w:hAnsi="Calibri"/>
                <w:sz w:val="16"/>
                <w:szCs w:val="16"/>
                <w:color w:val="auto"/>
              </w:rPr>
              <w:t>(9.3)</w:t>
            </w:r>
          </w:p>
        </w:tc>
      </w:tr>
      <w:tr>
        <w:trPr>
          <w:trHeight w:val="21"/>
        </w:trPr>
        <w:tc>
          <w:tcPr>
            <w:tcW w:w="4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446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i w:val="1"/>
                <w:iCs w:val="1"/>
                <w:color w:val="auto"/>
              </w:rPr>
              <w:t>Pre-tax margin</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i w:val="1"/>
                <w:iCs w:val="1"/>
                <w:color w:val="auto"/>
              </w:rPr>
              <w:t>11.6 %</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i w:val="1"/>
                <w:iCs w:val="1"/>
                <w:color w:val="auto"/>
              </w:rPr>
              <w:t>9.8 %</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line="193" w:lineRule="exact"/>
              <w:rPr>
                <w:sz w:val="20"/>
                <w:szCs w:val="20"/>
                <w:color w:val="auto"/>
              </w:rPr>
            </w:pPr>
            <w:r>
              <w:rPr>
                <w:rFonts w:ascii="Calibri" w:cs="Calibri" w:eastAsia="Calibri" w:hAnsi="Calibri"/>
                <w:sz w:val="16"/>
                <w:szCs w:val="16"/>
                <w:i w:val="1"/>
                <w:iCs w:val="1"/>
                <w:color w:val="auto"/>
              </w:rPr>
              <w:t>1.8 pts.</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i w:val="1"/>
                <w:iCs w:val="1"/>
                <w:color w:val="auto"/>
              </w:rPr>
              <w:t>5.7 %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i w:val="1"/>
                <w:iCs w:val="1"/>
                <w:color w:val="auto"/>
              </w:rPr>
              <w:t>4.4 %</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i w:val="1"/>
                <w:iCs w:val="1"/>
                <w:color w:val="auto"/>
              </w:rPr>
              <w:t>1.3 pts.</w:t>
            </w:r>
          </w:p>
        </w:tc>
      </w:tr>
      <w:tr>
        <w:trPr>
          <w:trHeight w:val="193"/>
        </w:trPr>
        <w:tc>
          <w:tcPr>
            <w:tcW w:w="4460" w:type="dxa"/>
            <w:vAlign w:val="bottom"/>
          </w:tcPr>
          <w:p>
            <w:pPr>
              <w:ind w:left="20"/>
              <w:spacing w:after="0" w:line="193" w:lineRule="exact"/>
              <w:rPr>
                <w:sz w:val="20"/>
                <w:szCs w:val="20"/>
                <w:color w:val="auto"/>
              </w:rPr>
            </w:pPr>
            <w:r>
              <w:rPr>
                <w:rFonts w:ascii="Calibri" w:cs="Calibri" w:eastAsia="Calibri" w:hAnsi="Calibri"/>
                <w:sz w:val="16"/>
                <w:szCs w:val="16"/>
                <w:i w:val="1"/>
                <w:iCs w:val="1"/>
                <w:color w:val="auto"/>
              </w:rPr>
              <w:t>Adjusted pre-tax margin (Non-GAAP)</w:t>
            </w:r>
          </w:p>
        </w:tc>
        <w:tc>
          <w:tcPr>
            <w:tcW w:w="14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i w:val="1"/>
                <w:iCs w:val="1"/>
                <w:color w:val="auto"/>
              </w:rPr>
              <w:t>12.1 %</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Calibri" w:cs="Calibri" w:eastAsia="Calibri" w:hAnsi="Calibri"/>
                <w:sz w:val="16"/>
                <w:szCs w:val="16"/>
                <w:i w:val="1"/>
                <w:iCs w:val="1"/>
                <w:color w:val="auto"/>
              </w:rPr>
              <w:t>15.3 %</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i w:val="1"/>
                <w:iCs w:val="1"/>
                <w:color w:val="auto"/>
              </w:rPr>
              <w:t>(3.2) pts.</w:t>
            </w:r>
          </w:p>
        </w:tc>
        <w:tc>
          <w:tcPr>
            <w:tcW w:w="16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Calibri" w:cs="Calibri" w:eastAsia="Calibri" w:hAnsi="Calibri"/>
                <w:sz w:val="16"/>
                <w:szCs w:val="16"/>
                <w:i w:val="1"/>
                <w:iCs w:val="1"/>
                <w:color w:val="auto"/>
              </w:rPr>
              <w:t>6.3 %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Calibri" w:cs="Calibri" w:eastAsia="Calibri" w:hAnsi="Calibri"/>
                <w:sz w:val="16"/>
                <w:szCs w:val="16"/>
                <w:i w:val="1"/>
                <w:iCs w:val="1"/>
                <w:color w:val="auto"/>
              </w:rPr>
              <w:t>7.4 %</w:t>
            </w:r>
          </w:p>
        </w:tc>
        <w:tc>
          <w:tcPr>
            <w:tcW w:w="100" w:type="dxa"/>
            <w:vAlign w:val="bottom"/>
          </w:tcPr>
          <w:p>
            <w:pPr>
              <w:spacing w:after="0"/>
              <w:rPr>
                <w:sz w:val="16"/>
                <w:szCs w:val="16"/>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i w:val="1"/>
                <w:iCs w:val="1"/>
                <w:color w:val="auto"/>
              </w:rPr>
              <w:t>(1.1) pts.</w:t>
            </w:r>
          </w:p>
        </w:tc>
      </w:tr>
      <w:tr>
        <w:trPr>
          <w:trHeight w:val="185"/>
        </w:trPr>
        <w:tc>
          <w:tcPr>
            <w:tcW w:w="4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6"/>
        </w:trPr>
        <w:tc>
          <w:tcPr>
            <w:tcW w:w="4460" w:type="dxa"/>
            <w:vAlign w:val="bottom"/>
            <w:tcBorders>
              <w:bottom w:val="single" w:sz="8" w:color="CCEEFF"/>
            </w:tcBorders>
            <w:shd w:val="clear" w:color="auto" w:fill="CCEEFF"/>
          </w:tcPr>
          <w:p>
            <w:pPr>
              <w:ind w:left="60"/>
              <w:spacing w:after="0" w:line="193" w:lineRule="exact"/>
              <w:rPr>
                <w:sz w:val="20"/>
                <w:szCs w:val="20"/>
                <w:color w:val="auto"/>
              </w:rPr>
            </w:pPr>
            <w:r>
              <w:rPr>
                <w:rFonts w:ascii="Calibri" w:cs="Calibri" w:eastAsia="Calibri" w:hAnsi="Calibri"/>
                <w:sz w:val="16"/>
                <w:szCs w:val="16"/>
                <w:color w:val="auto"/>
              </w:rPr>
              <w:t>Net income (GAAP)</w:t>
            </w:r>
          </w:p>
        </w:tc>
        <w:tc>
          <w:tcPr>
            <w:tcW w:w="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90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1,323</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1,075</w:t>
            </w:r>
          </w:p>
        </w:tc>
        <w:tc>
          <w:tcPr>
            <w:tcW w:w="11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88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1,199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881</w:t>
            </w:r>
          </w:p>
        </w:tc>
        <w:tc>
          <w:tcPr>
            <w:tcW w:w="11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36.1</w:t>
            </w:r>
          </w:p>
        </w:tc>
      </w:tr>
      <w:tr>
        <w:trPr>
          <w:trHeight w:val="194"/>
        </w:trPr>
        <w:tc>
          <w:tcPr>
            <w:tcW w:w="4460" w:type="dxa"/>
            <w:vAlign w:val="bottom"/>
          </w:tcPr>
          <w:p>
            <w:pPr>
              <w:ind w:left="120"/>
              <w:spacing w:after="0" w:line="193" w:lineRule="exact"/>
              <w:rPr>
                <w:sz w:val="20"/>
                <w:szCs w:val="20"/>
                <w:color w:val="auto"/>
              </w:rPr>
            </w:pPr>
            <w:r>
              <w:rPr>
                <w:rFonts w:ascii="Calibri" w:cs="Calibri" w:eastAsia="Calibri" w:hAnsi="Calibri"/>
                <w:sz w:val="16"/>
                <w:szCs w:val="16"/>
                <w:color w:val="auto"/>
              </w:rPr>
              <w:t>Adjusted to exclude: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4460" w:type="dxa"/>
            <w:vAlign w:val="bottom"/>
            <w:tcBorders>
              <w:bottom w:val="single" w:sz="8" w:color="CCEEFF"/>
            </w:tcBorders>
            <w:shd w:val="clear" w:color="auto" w:fill="CCEEFF"/>
          </w:tcPr>
          <w:p>
            <w:pPr>
              <w:ind w:left="260"/>
              <w:spacing w:after="0" w:line="193" w:lineRule="exact"/>
              <w:rPr>
                <w:sz w:val="20"/>
                <w:szCs w:val="20"/>
                <w:color w:val="auto"/>
              </w:rPr>
            </w:pPr>
            <w:r>
              <w:rPr>
                <w:rFonts w:ascii="Calibri" w:cs="Calibri" w:eastAsia="Calibri" w:hAnsi="Calibri"/>
                <w:sz w:val="16"/>
                <w:szCs w:val="16"/>
                <w:color w:val="auto"/>
              </w:rPr>
              <w:t>Special charges</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36</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859</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line="193" w:lineRule="exact"/>
              <w:rPr>
                <w:sz w:val="20"/>
                <w:szCs w:val="20"/>
                <w:color w:val="auto"/>
              </w:rPr>
            </w:pPr>
            <w:r>
              <w:rPr>
                <w:rFonts w:ascii="Calibri" w:cs="Calibri" w:eastAsia="Calibri" w:hAnsi="Calibri"/>
                <w:sz w:val="16"/>
                <w:szCs w:val="16"/>
                <w:color w:val="auto"/>
              </w:rPr>
              <w:t>NM</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873</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NM</w:t>
            </w:r>
          </w:p>
        </w:tc>
      </w:tr>
      <w:tr>
        <w:trPr>
          <w:trHeight w:val="193"/>
        </w:trPr>
        <w:tc>
          <w:tcPr>
            <w:tcW w:w="4460" w:type="dxa"/>
            <w:vAlign w:val="bottom"/>
          </w:tcPr>
          <w:p>
            <w:pPr>
              <w:ind w:left="260"/>
              <w:spacing w:after="0" w:line="193" w:lineRule="exact"/>
              <w:rPr>
                <w:sz w:val="20"/>
                <w:szCs w:val="20"/>
                <w:color w:val="auto"/>
              </w:rPr>
            </w:pPr>
            <w:r>
              <w:rPr>
                <w:rFonts w:ascii="Calibri" w:cs="Calibri" w:eastAsia="Calibri" w:hAnsi="Calibri"/>
                <w:sz w:val="16"/>
                <w:szCs w:val="16"/>
                <w:color w:val="auto"/>
              </w:rPr>
              <w:t>Unrealized (gains) losses on investments, net</w:t>
            </w:r>
          </w:p>
        </w:tc>
        <w:tc>
          <w:tcPr>
            <w:tcW w:w="140" w:type="dxa"/>
            <w:vAlign w:val="bottom"/>
          </w:tcPr>
          <w:p>
            <w:pPr>
              <w:spacing w:after="0"/>
              <w:rPr>
                <w:sz w:val="16"/>
                <w:szCs w:val="16"/>
                <w:color w:val="auto"/>
              </w:rPr>
            </w:pPr>
          </w:p>
        </w:tc>
        <w:tc>
          <w:tcPr>
            <w:tcW w:w="90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33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(84)</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NM</w:t>
            </w:r>
          </w:p>
        </w:tc>
        <w:tc>
          <w:tcPr>
            <w:tcW w:w="160" w:type="dxa"/>
            <w:vAlign w:val="bottom"/>
          </w:tcPr>
          <w:p>
            <w:pPr>
              <w:spacing w:after="0"/>
              <w:rPr>
                <w:sz w:val="16"/>
                <w:szCs w:val="16"/>
                <w:color w:val="auto"/>
              </w:rPr>
            </w:pPr>
          </w:p>
        </w:tc>
        <w:tc>
          <w:tcPr>
            <w:tcW w:w="88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(108)</w:t>
            </w:r>
          </w:p>
        </w:tc>
        <w:tc>
          <w:tcPr>
            <w:tcW w:w="100" w:type="dxa"/>
            <w:vAlign w:val="bottom"/>
          </w:tcPr>
          <w:p>
            <w:pPr>
              <w:spacing w:after="0"/>
              <w:rPr>
                <w:sz w:val="16"/>
                <w:szCs w:val="16"/>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NM</w:t>
            </w:r>
          </w:p>
        </w:tc>
      </w:tr>
      <w:tr>
        <w:trPr>
          <w:trHeight w:val="23"/>
        </w:trPr>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4460" w:type="dxa"/>
            <w:vAlign w:val="bottom"/>
            <w:tcBorders>
              <w:bottom w:val="single" w:sz="8" w:color="CCEEFF"/>
            </w:tcBorders>
            <w:shd w:val="clear" w:color="auto" w:fill="CCEEFF"/>
          </w:tcPr>
          <w:p>
            <w:pPr>
              <w:ind w:left="260"/>
              <w:spacing w:after="0" w:line="193" w:lineRule="exact"/>
              <w:rPr>
                <w:sz w:val="20"/>
                <w:szCs w:val="20"/>
                <w:color w:val="auto"/>
              </w:rPr>
            </w:pPr>
            <w:r>
              <w:rPr>
                <w:rFonts w:ascii="Calibri" w:cs="Calibri" w:eastAsia="Calibri" w:hAnsi="Calibri"/>
                <w:sz w:val="16"/>
                <w:szCs w:val="16"/>
                <w:color w:val="auto"/>
              </w:rPr>
              <w:t>Debt extnguishment and modifcaton fees</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6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line="193" w:lineRule="exact"/>
              <w:rPr>
                <w:sz w:val="20"/>
                <w:szCs w:val="20"/>
                <w:color w:val="auto"/>
              </w:rPr>
            </w:pPr>
            <w:r>
              <w:rPr>
                <w:rFonts w:ascii="Calibri" w:cs="Calibri" w:eastAsia="Calibri" w:hAnsi="Calibri"/>
                <w:sz w:val="16"/>
                <w:szCs w:val="16"/>
                <w:color w:val="auto"/>
              </w:rPr>
              <w:t>NM</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35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NM</w:t>
            </w:r>
          </w:p>
        </w:tc>
      </w:tr>
      <w:tr>
        <w:trPr>
          <w:trHeight w:val="194"/>
        </w:trPr>
        <w:tc>
          <w:tcPr>
            <w:tcW w:w="4460" w:type="dxa"/>
            <w:vAlign w:val="bottom"/>
          </w:tcPr>
          <w:p>
            <w:pPr>
              <w:ind w:left="260"/>
              <w:spacing w:after="0" w:line="193" w:lineRule="exact"/>
              <w:rPr>
                <w:sz w:val="20"/>
                <w:szCs w:val="20"/>
                <w:color w:val="auto"/>
              </w:rPr>
            </w:pPr>
            <w:r>
              <w:rPr>
                <w:rFonts w:ascii="Calibri" w:cs="Calibri" w:eastAsia="Calibri" w:hAnsi="Calibri"/>
                <w:sz w:val="16"/>
                <w:szCs w:val="16"/>
                <w:color w:val="auto"/>
              </w:rPr>
              <w:t>Income tax beneft on adjustments, net</w:t>
            </w:r>
          </w:p>
        </w:tc>
        <w:tc>
          <w:tcPr>
            <w:tcW w:w="140" w:type="dxa"/>
            <w:vAlign w:val="bottom"/>
          </w:tcPr>
          <w:p>
            <w:pPr>
              <w:spacing w:after="0"/>
              <w:rPr>
                <w:sz w:val="16"/>
                <w:szCs w:val="16"/>
                <w:color w:val="auto"/>
              </w:rPr>
            </w:pPr>
          </w:p>
        </w:tc>
        <w:tc>
          <w:tcPr>
            <w:tcW w:w="90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(194)</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NM</w:t>
            </w:r>
          </w:p>
        </w:tc>
        <w:tc>
          <w:tcPr>
            <w:tcW w:w="160" w:type="dxa"/>
            <w:vAlign w:val="bottom"/>
          </w:tcPr>
          <w:p>
            <w:pPr>
              <w:spacing w:after="0"/>
              <w:rPr>
                <w:sz w:val="16"/>
                <w:szCs w:val="16"/>
                <w:color w:val="auto"/>
              </w:rPr>
            </w:pPr>
          </w:p>
        </w:tc>
        <w:tc>
          <w:tcPr>
            <w:tcW w:w="88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(197)</w:t>
            </w:r>
          </w:p>
        </w:tc>
        <w:tc>
          <w:tcPr>
            <w:tcW w:w="100" w:type="dxa"/>
            <w:vAlign w:val="bottom"/>
          </w:tcPr>
          <w:p>
            <w:pPr>
              <w:spacing w:after="0"/>
              <w:rPr>
                <w:sz w:val="16"/>
                <w:szCs w:val="16"/>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NM</w:t>
            </w:r>
          </w:p>
        </w:tc>
      </w:tr>
      <w:tr>
        <w:trPr>
          <w:trHeight w:val="22"/>
        </w:trPr>
        <w:tc>
          <w:tcPr>
            <w:tcW w:w="4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234"/>
        </w:trPr>
        <w:tc>
          <w:tcPr>
            <w:tcW w:w="44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6"/>
                <w:szCs w:val="16"/>
                <w:color w:val="auto"/>
              </w:rPr>
              <w:t>Adjusted net income (Non-GAAP)</w:t>
            </w:r>
          </w:p>
        </w:tc>
        <w:tc>
          <w:tcPr>
            <w:tcW w:w="1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900" w:type="dxa"/>
            <w:vAlign w:val="bottom"/>
            <w:tcBorders>
              <w:bottom w:val="single" w:sz="8" w:color="auto"/>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1,384</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820" w:type="dxa"/>
            <w:vAlign w:val="bottom"/>
            <w:tcBorders>
              <w:bottom w:val="single" w:sz="8" w:color="auto"/>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1,667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6"/>
                <w:szCs w:val="16"/>
                <w:color w:val="auto"/>
              </w:rPr>
              <w:t>(17.0)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880" w:type="dxa"/>
            <w:vAlign w:val="bottom"/>
            <w:tcBorders>
              <w:bottom w:val="single" w:sz="8" w:color="auto"/>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1,334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820" w:type="dxa"/>
            <w:vAlign w:val="bottom"/>
            <w:tcBorders>
              <w:bottom w:val="single" w:sz="8" w:color="auto"/>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1,460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6"/>
                <w:szCs w:val="16"/>
                <w:color w:val="auto"/>
              </w:rPr>
              <w:t>(8.6)</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r>
        <w:trPr>
          <w:trHeight w:val="150"/>
        </w:trPr>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6"/>
        </w:trPr>
        <w:tc>
          <w:tcPr>
            <w:tcW w:w="4460" w:type="dxa"/>
            <w:vAlign w:val="bottom"/>
            <w:tcBorders>
              <w:bottom w:val="single" w:sz="8" w:color="CCEEFF"/>
            </w:tcBorders>
            <w:shd w:val="clear" w:color="auto" w:fill="CCEEFF"/>
          </w:tcPr>
          <w:p>
            <w:pPr>
              <w:ind w:left="60"/>
              <w:spacing w:after="0" w:line="193" w:lineRule="exact"/>
              <w:rPr>
                <w:sz w:val="20"/>
                <w:szCs w:val="20"/>
                <w:color w:val="auto"/>
              </w:rPr>
            </w:pPr>
            <w:r>
              <w:rPr>
                <w:rFonts w:ascii="Calibri" w:cs="Calibri" w:eastAsia="Calibri" w:hAnsi="Calibri"/>
                <w:sz w:val="16"/>
                <w:szCs w:val="16"/>
                <w:color w:val="auto"/>
              </w:rPr>
              <w:t>Diluted earnings per share (GAAP)</w:t>
            </w:r>
          </w:p>
        </w:tc>
        <w:tc>
          <w:tcPr>
            <w:tcW w:w="1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90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3.96</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3.24</w:t>
            </w:r>
          </w:p>
        </w:tc>
        <w:tc>
          <w:tcPr>
            <w:tcW w:w="11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22.2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88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3.60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2.66</w:t>
            </w:r>
          </w:p>
        </w:tc>
        <w:tc>
          <w:tcPr>
            <w:tcW w:w="1120" w:type="dxa"/>
            <w:vAlign w:val="bottom"/>
            <w:tcBorders>
              <w:bottom w:val="single" w:sz="8" w:color="CCEEFF"/>
            </w:tcBorders>
            <w:gridSpan w:val="2"/>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35.3</w:t>
            </w:r>
          </w:p>
        </w:tc>
      </w:tr>
      <w:tr>
        <w:trPr>
          <w:trHeight w:val="193"/>
        </w:trPr>
        <w:tc>
          <w:tcPr>
            <w:tcW w:w="4460" w:type="dxa"/>
            <w:vAlign w:val="bottom"/>
          </w:tcPr>
          <w:p>
            <w:pPr>
              <w:ind w:left="120"/>
              <w:spacing w:after="0" w:line="193" w:lineRule="exact"/>
              <w:rPr>
                <w:sz w:val="20"/>
                <w:szCs w:val="20"/>
                <w:color w:val="auto"/>
              </w:rPr>
            </w:pPr>
            <w:r>
              <w:rPr>
                <w:rFonts w:ascii="Calibri" w:cs="Calibri" w:eastAsia="Calibri" w:hAnsi="Calibri"/>
                <w:sz w:val="16"/>
                <w:szCs w:val="16"/>
                <w:color w:val="auto"/>
              </w:rPr>
              <w:t>Adjusted to exclude: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4460" w:type="dxa"/>
            <w:vAlign w:val="bottom"/>
            <w:tcBorders>
              <w:bottom w:val="single" w:sz="8" w:color="CCEEFF"/>
            </w:tcBorders>
            <w:shd w:val="clear" w:color="auto" w:fill="CCEEFF"/>
          </w:tcPr>
          <w:p>
            <w:pPr>
              <w:ind w:left="260"/>
              <w:spacing w:after="0" w:line="193" w:lineRule="exact"/>
              <w:rPr>
                <w:sz w:val="20"/>
                <w:szCs w:val="20"/>
                <w:color w:val="auto"/>
              </w:rPr>
            </w:pPr>
            <w:r>
              <w:rPr>
                <w:rFonts w:ascii="Calibri" w:cs="Calibri" w:eastAsia="Calibri" w:hAnsi="Calibri"/>
                <w:sz w:val="16"/>
                <w:szCs w:val="16"/>
                <w:color w:val="auto"/>
              </w:rPr>
              <w:t>Special charges</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0.11</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2.59</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line="193" w:lineRule="exact"/>
              <w:rPr>
                <w:sz w:val="20"/>
                <w:szCs w:val="20"/>
                <w:color w:val="auto"/>
              </w:rPr>
            </w:pPr>
            <w:r>
              <w:rPr>
                <w:rFonts w:ascii="Calibri" w:cs="Calibri" w:eastAsia="Calibri" w:hAnsi="Calibri"/>
                <w:sz w:val="16"/>
                <w:szCs w:val="16"/>
                <w:color w:val="auto"/>
              </w:rPr>
              <w:t>NM</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0.15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2.63</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NM</w:t>
            </w:r>
          </w:p>
        </w:tc>
      </w:tr>
      <w:tr>
        <w:trPr>
          <w:trHeight w:val="194"/>
        </w:trPr>
        <w:tc>
          <w:tcPr>
            <w:tcW w:w="4460" w:type="dxa"/>
            <w:vAlign w:val="bottom"/>
          </w:tcPr>
          <w:p>
            <w:pPr>
              <w:ind w:left="260"/>
              <w:spacing w:after="0" w:line="193" w:lineRule="exact"/>
              <w:rPr>
                <w:sz w:val="20"/>
                <w:szCs w:val="20"/>
                <w:color w:val="auto"/>
              </w:rPr>
            </w:pPr>
            <w:r>
              <w:rPr>
                <w:rFonts w:ascii="Calibri" w:cs="Calibri" w:eastAsia="Calibri" w:hAnsi="Calibri"/>
                <w:sz w:val="16"/>
                <w:szCs w:val="16"/>
                <w:color w:val="auto"/>
              </w:rPr>
              <w:t>Unrealized (gains) losses on investments, net</w:t>
            </w:r>
          </w:p>
        </w:tc>
        <w:tc>
          <w:tcPr>
            <w:tcW w:w="140" w:type="dxa"/>
            <w:vAlign w:val="bottom"/>
          </w:tcPr>
          <w:p>
            <w:pPr>
              <w:spacing w:after="0"/>
              <w:rPr>
                <w:sz w:val="16"/>
                <w:szCs w:val="16"/>
                <w:color w:val="auto"/>
              </w:rPr>
            </w:pPr>
          </w:p>
        </w:tc>
        <w:tc>
          <w:tcPr>
            <w:tcW w:w="90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0.09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(0.25)</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NM</w:t>
            </w:r>
          </w:p>
        </w:tc>
        <w:tc>
          <w:tcPr>
            <w:tcW w:w="160" w:type="dxa"/>
            <w:vAlign w:val="bottom"/>
          </w:tcPr>
          <w:p>
            <w:pPr>
              <w:spacing w:after="0"/>
              <w:rPr>
                <w:sz w:val="16"/>
                <w:szCs w:val="16"/>
                <w:color w:val="auto"/>
              </w:rPr>
            </w:pPr>
          </w:p>
        </w:tc>
        <w:tc>
          <w:tcPr>
            <w:tcW w:w="88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(0.33)</w:t>
            </w:r>
          </w:p>
        </w:tc>
        <w:tc>
          <w:tcPr>
            <w:tcW w:w="100" w:type="dxa"/>
            <w:vAlign w:val="bottom"/>
          </w:tcPr>
          <w:p>
            <w:pPr>
              <w:spacing w:after="0"/>
              <w:rPr>
                <w:sz w:val="16"/>
                <w:szCs w:val="16"/>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NM</w:t>
            </w:r>
          </w:p>
        </w:tc>
      </w:tr>
      <w:tr>
        <w:trPr>
          <w:trHeight w:val="22"/>
        </w:trPr>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4460" w:type="dxa"/>
            <w:vAlign w:val="bottom"/>
            <w:tcBorders>
              <w:bottom w:val="single" w:sz="8" w:color="CCEEFF"/>
            </w:tcBorders>
            <w:shd w:val="clear" w:color="auto" w:fill="CCEEFF"/>
          </w:tcPr>
          <w:p>
            <w:pPr>
              <w:ind w:left="260"/>
              <w:spacing w:after="0" w:line="193" w:lineRule="exact"/>
              <w:rPr>
                <w:sz w:val="20"/>
                <w:szCs w:val="20"/>
                <w:color w:val="auto"/>
              </w:rPr>
            </w:pPr>
            <w:r>
              <w:rPr>
                <w:rFonts w:ascii="Calibri" w:cs="Calibri" w:eastAsia="Calibri" w:hAnsi="Calibri"/>
                <w:sz w:val="16"/>
                <w:szCs w:val="16"/>
                <w:color w:val="auto"/>
              </w:rPr>
              <w:t>Debt extnguishment and modifcaton fees</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36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0.03</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line="193" w:lineRule="exact"/>
              <w:rPr>
                <w:sz w:val="20"/>
                <w:szCs w:val="20"/>
                <w:color w:val="auto"/>
              </w:rPr>
            </w:pPr>
            <w:r>
              <w:rPr>
                <w:rFonts w:ascii="Calibri" w:cs="Calibri" w:eastAsia="Calibri" w:hAnsi="Calibri"/>
                <w:sz w:val="16"/>
                <w:szCs w:val="16"/>
                <w:color w:val="auto"/>
              </w:rPr>
              <w:t>NM</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0.10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0.03</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NM</w:t>
            </w:r>
          </w:p>
        </w:tc>
      </w:tr>
      <w:tr>
        <w:trPr>
          <w:trHeight w:val="194"/>
        </w:trPr>
        <w:tc>
          <w:tcPr>
            <w:tcW w:w="4460" w:type="dxa"/>
            <w:vAlign w:val="bottom"/>
          </w:tcPr>
          <w:p>
            <w:pPr>
              <w:ind w:left="260"/>
              <w:spacing w:after="0" w:line="193" w:lineRule="exact"/>
              <w:rPr>
                <w:sz w:val="20"/>
                <w:szCs w:val="20"/>
                <w:color w:val="auto"/>
              </w:rPr>
            </w:pPr>
            <w:r>
              <w:rPr>
                <w:rFonts w:ascii="Calibri" w:cs="Calibri" w:eastAsia="Calibri" w:hAnsi="Calibri"/>
                <w:sz w:val="16"/>
                <w:szCs w:val="16"/>
                <w:color w:val="auto"/>
              </w:rPr>
              <w:t>Income tax beneft on adjustments, net</w:t>
            </w:r>
          </w:p>
        </w:tc>
        <w:tc>
          <w:tcPr>
            <w:tcW w:w="140" w:type="dxa"/>
            <w:vAlign w:val="bottom"/>
          </w:tcPr>
          <w:p>
            <w:pPr>
              <w:spacing w:after="0"/>
              <w:rPr>
                <w:sz w:val="16"/>
                <w:szCs w:val="16"/>
                <w:color w:val="auto"/>
              </w:rPr>
            </w:pPr>
          </w:p>
        </w:tc>
        <w:tc>
          <w:tcPr>
            <w:tcW w:w="90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(0.02)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(0.58)</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line="193" w:lineRule="exact"/>
              <w:rPr>
                <w:sz w:val="20"/>
                <w:szCs w:val="20"/>
                <w:color w:val="auto"/>
              </w:rPr>
            </w:pPr>
            <w:r>
              <w:rPr>
                <w:rFonts w:ascii="Calibri" w:cs="Calibri" w:eastAsia="Calibri" w:hAnsi="Calibri"/>
                <w:sz w:val="16"/>
                <w:szCs w:val="16"/>
                <w:color w:val="auto"/>
              </w:rPr>
              <w:t>NM</w:t>
            </w:r>
          </w:p>
        </w:tc>
        <w:tc>
          <w:tcPr>
            <w:tcW w:w="160" w:type="dxa"/>
            <w:vAlign w:val="bottom"/>
          </w:tcPr>
          <w:p>
            <w:pPr>
              <w:spacing w:after="0"/>
              <w:rPr>
                <w:sz w:val="16"/>
                <w:szCs w:val="16"/>
                <w:color w:val="auto"/>
              </w:rPr>
            </w:pPr>
          </w:p>
        </w:tc>
        <w:tc>
          <w:tcPr>
            <w:tcW w:w="88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(0.06)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(0.59)</w:t>
            </w:r>
          </w:p>
        </w:tc>
        <w:tc>
          <w:tcPr>
            <w:tcW w:w="100" w:type="dxa"/>
            <w:vAlign w:val="bottom"/>
          </w:tcPr>
          <w:p>
            <w:pPr>
              <w:spacing w:after="0"/>
              <w:rPr>
                <w:sz w:val="16"/>
                <w:szCs w:val="16"/>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NM</w:t>
            </w:r>
          </w:p>
        </w:tc>
      </w:tr>
      <w:tr>
        <w:trPr>
          <w:trHeight w:val="23"/>
        </w:trPr>
        <w:tc>
          <w:tcPr>
            <w:tcW w:w="4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234"/>
        </w:trPr>
        <w:tc>
          <w:tcPr>
            <w:tcW w:w="4460" w:type="dxa"/>
            <w:vAlign w:val="bottom"/>
            <w:tcBorders>
              <w:bottom w:val="single" w:sz="8" w:color="CCEEFF"/>
            </w:tcBorders>
            <w:shd w:val="clear" w:color="auto" w:fill="CCEEFF"/>
          </w:tcPr>
          <w:p>
            <w:pPr>
              <w:ind w:left="20"/>
              <w:spacing w:after="0"/>
              <w:rPr>
                <w:sz w:val="20"/>
                <w:szCs w:val="20"/>
                <w:color w:val="auto"/>
              </w:rPr>
            </w:pPr>
            <w:r>
              <w:rPr>
                <w:rFonts w:ascii="Calibri" w:cs="Calibri" w:eastAsia="Calibri" w:hAnsi="Calibri"/>
                <w:sz w:val="16"/>
                <w:szCs w:val="16"/>
                <w:color w:val="auto"/>
              </w:rPr>
              <w:t>Adjusted diluted earnings per share (Non-GAAP)</w:t>
            </w:r>
          </w:p>
        </w:tc>
        <w:tc>
          <w:tcPr>
            <w:tcW w:w="1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900" w:type="dxa"/>
            <w:vAlign w:val="bottom"/>
            <w:tcBorders>
              <w:bottom w:val="single" w:sz="8" w:color="auto"/>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4.14</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820" w:type="dxa"/>
            <w:vAlign w:val="bottom"/>
            <w:tcBorders>
              <w:bottom w:val="single" w:sz="8" w:color="auto"/>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5.03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6"/>
                <w:szCs w:val="16"/>
                <w:color w:val="auto"/>
              </w:rPr>
              <w:t>(17.7)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880" w:type="dxa"/>
            <w:vAlign w:val="bottom"/>
            <w:tcBorders>
              <w:bottom w:val="single" w:sz="8" w:color="auto"/>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rPr>
              <w:t>4.00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line="193" w:lineRule="exact"/>
              <w:rPr>
                <w:sz w:val="20"/>
                <w:szCs w:val="20"/>
                <w:color w:val="auto"/>
              </w:rPr>
            </w:pPr>
            <w:r>
              <w:rPr>
                <w:rFonts w:ascii="Calibri" w:cs="Calibri" w:eastAsia="Calibri" w:hAnsi="Calibri"/>
                <w:sz w:val="16"/>
                <w:szCs w:val="16"/>
                <w:color w:val="auto"/>
                <w:w w:val="97"/>
              </w:rPr>
              <w:t>$</w:t>
            </w:r>
          </w:p>
        </w:tc>
        <w:tc>
          <w:tcPr>
            <w:tcW w:w="820" w:type="dxa"/>
            <w:vAlign w:val="bottom"/>
            <w:tcBorders>
              <w:bottom w:val="single" w:sz="8" w:color="auto"/>
            </w:tcBorders>
            <w:shd w:val="clear" w:color="auto" w:fill="CCEEFF"/>
          </w:tcPr>
          <w:p>
            <w:pPr>
              <w:jc w:val="right"/>
              <w:ind w:right="99"/>
              <w:spacing w:after="0" w:line="193" w:lineRule="exact"/>
              <w:rPr>
                <w:sz w:val="20"/>
                <w:szCs w:val="20"/>
                <w:color w:val="auto"/>
              </w:rPr>
            </w:pPr>
            <w:r>
              <w:rPr>
                <w:rFonts w:ascii="Calibri" w:cs="Calibri" w:eastAsia="Calibri" w:hAnsi="Calibri"/>
                <w:sz w:val="16"/>
                <w:szCs w:val="16"/>
                <w:color w:val="auto"/>
              </w:rPr>
              <w:t>4.40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6"/>
                <w:szCs w:val="16"/>
                <w:color w:val="auto"/>
              </w:rPr>
              <w:t>(9.1)</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14</w:t>
      </w:r>
    </w:p>
    <w:p>
      <w:pPr>
        <w:sectPr>
          <w:pgSz w:w="11900" w:h="16838" w:orient="portrait"/>
          <w:cols w:equalWidth="0" w:num="1">
            <w:col w:w="11240"/>
          </w:cols>
          <w:pgMar w:left="320" w:top="112" w:right="339" w:bottom="1440" w:gutter="0" w:footer="0" w:header="0"/>
        </w:sectPr>
      </w:pPr>
    </w:p>
    <w:bookmarkStart w:id="17" w:name="page18"/>
    <w:bookmarkEnd w:id="17"/>
    <w:p>
      <w:pPr>
        <w:spacing w:after="0"/>
        <w:rPr>
          <w:sz w:val="20"/>
          <w:szCs w:val="20"/>
          <w:color w:val="auto"/>
        </w:rPr>
      </w:pPr>
      <w:r>
        <w:rPr>
          <w:rFonts w:ascii="Calibri" w:cs="Calibri" w:eastAsia="Calibri" w:hAnsi="Calibri"/>
          <w:sz w:val="18"/>
          <w:szCs w:val="18"/>
          <w:color w:val="auto"/>
        </w:rPr>
        <w:t>United Airlines Reports Second-Quarter 2024 Results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b w:val="1"/>
          <w:bCs w:val="1"/>
          <w:color w:val="auto"/>
        </w:rPr>
        <w:t>UNITED AIRLINES HOLDINGS, INC.</w:t>
      </w:r>
    </w:p>
    <w:p>
      <w:pPr>
        <w:jc w:val="center"/>
        <w:ind w:right="-19"/>
        <w:spacing w:after="0" w:line="232" w:lineRule="auto"/>
        <w:rPr>
          <w:sz w:val="20"/>
          <w:szCs w:val="20"/>
          <w:color w:val="auto"/>
        </w:rPr>
      </w:pPr>
      <w:r>
        <w:rPr>
          <w:rFonts w:ascii="Calibri" w:cs="Calibri" w:eastAsia="Calibri" w:hAnsi="Calibri"/>
          <w:sz w:val="16"/>
          <w:szCs w:val="16"/>
          <w:color w:val="auto"/>
        </w:rPr>
        <w:t>CONDENSED CONSOLIDATED BALANCE SHEETS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340" w:type="dxa"/>
            <w:vAlign w:val="bottom"/>
          </w:tcPr>
          <w:p>
            <w:pPr>
              <w:ind w:left="60"/>
              <w:spacing w:after="0"/>
              <w:rPr>
                <w:sz w:val="20"/>
                <w:szCs w:val="20"/>
                <w:color w:val="auto"/>
              </w:rPr>
            </w:pPr>
            <w:r>
              <w:rPr>
                <w:rFonts w:ascii="Calibri" w:cs="Calibri" w:eastAsia="Calibri" w:hAnsi="Calibri"/>
                <w:sz w:val="16"/>
                <w:szCs w:val="16"/>
                <w:color w:val="auto"/>
              </w:rPr>
              <w:t>(in millions)</w:t>
            </w:r>
          </w:p>
        </w:tc>
        <w:tc>
          <w:tcPr>
            <w:tcW w:w="2160" w:type="dxa"/>
            <w:vAlign w:val="bottom"/>
            <w:gridSpan w:val="3"/>
          </w:tcPr>
          <w:p>
            <w:pPr>
              <w:ind w:left="20"/>
              <w:spacing w:after="0"/>
              <w:rPr>
                <w:sz w:val="20"/>
                <w:szCs w:val="20"/>
                <w:color w:val="auto"/>
              </w:rPr>
            </w:pPr>
            <w:r>
              <w:rPr>
                <w:rFonts w:ascii="Calibri" w:cs="Calibri" w:eastAsia="Calibri" w:hAnsi="Calibri"/>
                <w:sz w:val="16"/>
                <w:szCs w:val="16"/>
                <w:color w:val="auto"/>
              </w:rPr>
              <w:t>June 30, 2024 (UNAUDITED)</w:t>
            </w:r>
          </w:p>
        </w:tc>
        <w:tc>
          <w:tcPr>
            <w:tcW w:w="160" w:type="dxa"/>
            <w:vAlign w:val="bottom"/>
          </w:tcPr>
          <w:p>
            <w:pPr>
              <w:spacing w:after="0"/>
              <w:rPr>
                <w:sz w:val="16"/>
                <w:szCs w:val="16"/>
                <w:color w:val="auto"/>
              </w:rPr>
            </w:pPr>
          </w:p>
        </w:tc>
        <w:tc>
          <w:tcPr>
            <w:tcW w:w="1540" w:type="dxa"/>
            <w:vAlign w:val="bottom"/>
          </w:tcPr>
          <w:p>
            <w:pPr>
              <w:jc w:val="right"/>
              <w:ind w:right="119"/>
              <w:spacing w:after="0"/>
              <w:rPr>
                <w:sz w:val="20"/>
                <w:szCs w:val="20"/>
                <w:color w:val="auto"/>
              </w:rPr>
            </w:pPr>
            <w:r>
              <w:rPr>
                <w:rFonts w:ascii="Calibri" w:cs="Calibri" w:eastAsia="Calibri" w:hAnsi="Calibri"/>
                <w:sz w:val="16"/>
                <w:szCs w:val="16"/>
                <w:color w:val="auto"/>
              </w:rPr>
              <w:t>December 31, 2023</w:t>
            </w:r>
          </w:p>
        </w:tc>
        <w:tc>
          <w:tcPr>
            <w:tcW w:w="0" w:type="dxa"/>
            <w:vAlign w:val="bottom"/>
          </w:tcPr>
          <w:p>
            <w:pPr>
              <w:spacing w:after="0"/>
              <w:rPr>
                <w:sz w:val="1"/>
                <w:szCs w:val="1"/>
                <w:color w:val="auto"/>
              </w:rPr>
            </w:pPr>
          </w:p>
        </w:tc>
      </w:tr>
      <w:tr>
        <w:trPr>
          <w:trHeight w:val="28"/>
        </w:trPr>
        <w:tc>
          <w:tcPr>
            <w:tcW w:w="7340" w:type="dxa"/>
            <w:vAlign w:val="bottom"/>
            <w:vMerge w:val="restart"/>
          </w:tcPr>
          <w:p>
            <w:pPr>
              <w:ind w:left="20"/>
              <w:spacing w:after="0"/>
              <w:rPr>
                <w:sz w:val="20"/>
                <w:szCs w:val="20"/>
                <w:color w:val="auto"/>
              </w:rPr>
            </w:pPr>
            <w:r>
              <w:rPr>
                <w:rFonts w:ascii="Calibri" w:cs="Calibri" w:eastAsia="Calibri" w:hAnsi="Calibri"/>
                <w:sz w:val="16"/>
                <w:szCs w:val="16"/>
                <w:b w:val="1"/>
                <w:bCs w:val="1"/>
                <w:color w:val="auto"/>
              </w:rPr>
              <w:t>ASSETS</w:t>
            </w: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3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Current assets:</w:t>
            </w:r>
          </w:p>
        </w:tc>
        <w:tc>
          <w:tcPr>
            <w:tcW w:w="7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40" w:type="dxa"/>
            <w:vAlign w:val="bottom"/>
          </w:tcPr>
          <w:p>
            <w:pPr>
              <w:ind w:left="220"/>
              <w:spacing w:after="0" w:line="193" w:lineRule="exact"/>
              <w:rPr>
                <w:sz w:val="20"/>
                <w:szCs w:val="20"/>
                <w:color w:val="auto"/>
              </w:rPr>
            </w:pPr>
            <w:r>
              <w:rPr>
                <w:rFonts w:ascii="Calibri" w:cs="Calibri" w:eastAsia="Calibri" w:hAnsi="Calibri"/>
                <w:sz w:val="16"/>
                <w:szCs w:val="16"/>
                <w:color w:val="auto"/>
              </w:rPr>
              <w:t>Cash and cash equivalents</w:t>
            </w:r>
          </w:p>
        </w:tc>
        <w:tc>
          <w:tcPr>
            <w:tcW w:w="740" w:type="dxa"/>
            <w:vAlign w:val="bottom"/>
          </w:tcPr>
          <w:p>
            <w:pPr>
              <w:ind w:left="2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10,864</w:t>
            </w:r>
          </w:p>
        </w:tc>
        <w:tc>
          <w:tcPr>
            <w:tcW w:w="260" w:type="dxa"/>
            <w:vAlign w:val="bottom"/>
          </w:tcPr>
          <w:p>
            <w:pPr>
              <w:spacing w:after="0"/>
              <w:rPr>
                <w:sz w:val="16"/>
                <w:szCs w:val="16"/>
                <w:color w:val="auto"/>
              </w:rPr>
            </w:pPr>
          </w:p>
        </w:tc>
        <w:tc>
          <w:tcPr>
            <w:tcW w:w="160" w:type="dxa"/>
            <w:vAlign w:val="bottom"/>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6,058</w:t>
            </w:r>
          </w:p>
        </w:tc>
        <w:tc>
          <w:tcPr>
            <w:tcW w:w="0" w:type="dxa"/>
            <w:vAlign w:val="bottom"/>
          </w:tcPr>
          <w:p>
            <w:pPr>
              <w:spacing w:after="0"/>
              <w:rPr>
                <w:sz w:val="1"/>
                <w:szCs w:val="1"/>
                <w:color w:val="auto"/>
              </w:rPr>
            </w:pPr>
          </w:p>
        </w:tc>
      </w:tr>
      <w:tr>
        <w:trPr>
          <w:trHeight w:val="23"/>
        </w:trPr>
        <w:tc>
          <w:tcPr>
            <w:tcW w:w="7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Short-term investments</w:t>
            </w:r>
          </w:p>
        </w:tc>
        <w:tc>
          <w:tcPr>
            <w:tcW w:w="7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4,384</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8,330</w:t>
            </w:r>
          </w:p>
        </w:tc>
        <w:tc>
          <w:tcPr>
            <w:tcW w:w="0" w:type="dxa"/>
            <w:vAlign w:val="bottom"/>
          </w:tcPr>
          <w:p>
            <w:pPr>
              <w:spacing w:after="0"/>
              <w:rPr>
                <w:sz w:val="1"/>
                <w:szCs w:val="1"/>
                <w:color w:val="auto"/>
              </w:rPr>
            </w:pPr>
          </w:p>
        </w:tc>
      </w:tr>
      <w:tr>
        <w:trPr>
          <w:trHeight w:val="193"/>
        </w:trPr>
        <w:tc>
          <w:tcPr>
            <w:tcW w:w="7340" w:type="dxa"/>
            <w:vAlign w:val="bottom"/>
          </w:tcPr>
          <w:p>
            <w:pPr>
              <w:ind w:left="220"/>
              <w:spacing w:after="0" w:line="193" w:lineRule="exact"/>
              <w:rPr>
                <w:sz w:val="20"/>
                <w:szCs w:val="20"/>
                <w:color w:val="auto"/>
              </w:rPr>
            </w:pPr>
            <w:r>
              <w:rPr>
                <w:rFonts w:ascii="Calibri" w:cs="Calibri" w:eastAsia="Calibri" w:hAnsi="Calibri"/>
                <w:sz w:val="16"/>
                <w:szCs w:val="16"/>
                <w:color w:val="auto"/>
              </w:rPr>
              <w:t>Restricted cash</w:t>
            </w:r>
          </w:p>
        </w:tc>
        <w:tc>
          <w:tcPr>
            <w:tcW w:w="74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30</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31</w:t>
            </w:r>
          </w:p>
        </w:tc>
        <w:tc>
          <w:tcPr>
            <w:tcW w:w="0" w:type="dxa"/>
            <w:vAlign w:val="bottom"/>
          </w:tcPr>
          <w:p>
            <w:pPr>
              <w:spacing w:after="0"/>
              <w:rPr>
                <w:sz w:val="1"/>
                <w:szCs w:val="1"/>
                <w:color w:val="auto"/>
              </w:rPr>
            </w:pPr>
          </w:p>
        </w:tc>
      </w:tr>
      <w:tr>
        <w:trPr>
          <w:trHeight w:val="23"/>
        </w:trPr>
        <w:tc>
          <w:tcPr>
            <w:tcW w:w="7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Receivables, less allowance for credit losses (2024 — $20; 2023 — $18 )</w:t>
            </w:r>
          </w:p>
        </w:tc>
        <w:tc>
          <w:tcPr>
            <w:tcW w:w="7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2,376</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1,898</w:t>
            </w:r>
          </w:p>
        </w:tc>
        <w:tc>
          <w:tcPr>
            <w:tcW w:w="0" w:type="dxa"/>
            <w:vAlign w:val="bottom"/>
          </w:tcPr>
          <w:p>
            <w:pPr>
              <w:spacing w:after="0"/>
              <w:rPr>
                <w:sz w:val="1"/>
                <w:szCs w:val="1"/>
                <w:color w:val="auto"/>
              </w:rPr>
            </w:pPr>
          </w:p>
        </w:tc>
      </w:tr>
      <w:tr>
        <w:trPr>
          <w:trHeight w:val="193"/>
        </w:trPr>
        <w:tc>
          <w:tcPr>
            <w:tcW w:w="7340" w:type="dxa"/>
            <w:vAlign w:val="bottom"/>
          </w:tcPr>
          <w:p>
            <w:pPr>
              <w:ind w:left="220"/>
              <w:spacing w:after="0" w:line="193" w:lineRule="exact"/>
              <w:rPr>
                <w:sz w:val="20"/>
                <w:szCs w:val="20"/>
                <w:color w:val="auto"/>
              </w:rPr>
            </w:pPr>
            <w:r>
              <w:rPr>
                <w:rFonts w:ascii="Calibri" w:cs="Calibri" w:eastAsia="Calibri" w:hAnsi="Calibri"/>
                <w:sz w:val="16"/>
                <w:szCs w:val="16"/>
                <w:color w:val="auto"/>
              </w:rPr>
              <w:t>Aircraf fuel, spare parts and supplies, less obsolescence allowance (2024 — $754; 2023 — $689)</w:t>
            </w:r>
          </w:p>
        </w:tc>
        <w:tc>
          <w:tcPr>
            <w:tcW w:w="74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1,680</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1,561</w:t>
            </w:r>
          </w:p>
        </w:tc>
        <w:tc>
          <w:tcPr>
            <w:tcW w:w="0" w:type="dxa"/>
            <w:vAlign w:val="bottom"/>
          </w:tcPr>
          <w:p>
            <w:pPr>
              <w:spacing w:after="0"/>
              <w:rPr>
                <w:sz w:val="1"/>
                <w:szCs w:val="1"/>
                <w:color w:val="auto"/>
              </w:rPr>
            </w:pPr>
          </w:p>
        </w:tc>
      </w:tr>
      <w:tr>
        <w:trPr>
          <w:trHeight w:val="23"/>
        </w:trPr>
        <w:tc>
          <w:tcPr>
            <w:tcW w:w="7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Prepaid expenses and other</w:t>
            </w:r>
          </w:p>
        </w:tc>
        <w:tc>
          <w:tcPr>
            <w:tcW w:w="7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669</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609</w:t>
            </w:r>
          </w:p>
        </w:tc>
        <w:tc>
          <w:tcPr>
            <w:tcW w:w="0" w:type="dxa"/>
            <w:vAlign w:val="bottom"/>
          </w:tcPr>
          <w:p>
            <w:pPr>
              <w:spacing w:after="0"/>
              <w:rPr>
                <w:sz w:val="1"/>
                <w:szCs w:val="1"/>
                <w:color w:val="auto"/>
              </w:rPr>
            </w:pPr>
          </w:p>
        </w:tc>
      </w:tr>
      <w:tr>
        <w:trPr>
          <w:trHeight w:val="187"/>
        </w:trPr>
        <w:tc>
          <w:tcPr>
            <w:tcW w:w="7340" w:type="dxa"/>
            <w:vAlign w:val="bottom"/>
          </w:tcPr>
          <w:p>
            <w:pPr>
              <w:ind w:left="460"/>
              <w:spacing w:after="0" w:line="182" w:lineRule="exact"/>
              <w:rPr>
                <w:sz w:val="20"/>
                <w:szCs w:val="20"/>
                <w:color w:val="auto"/>
              </w:rPr>
            </w:pPr>
            <w:r>
              <w:rPr>
                <w:rFonts w:ascii="Calibri" w:cs="Calibri" w:eastAsia="Calibri" w:hAnsi="Calibri"/>
                <w:sz w:val="16"/>
                <w:szCs w:val="16"/>
                <w:color w:val="auto"/>
              </w:rPr>
              <w:t>Total current assets</w:t>
            </w:r>
          </w:p>
        </w:tc>
        <w:tc>
          <w:tcPr>
            <w:tcW w:w="7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20,003</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18,487</w:t>
            </w:r>
          </w:p>
        </w:tc>
        <w:tc>
          <w:tcPr>
            <w:tcW w:w="0" w:type="dxa"/>
            <w:vAlign w:val="bottom"/>
          </w:tcPr>
          <w:p>
            <w:pPr>
              <w:spacing w:after="0"/>
              <w:rPr>
                <w:sz w:val="1"/>
                <w:szCs w:val="1"/>
                <w:color w:val="auto"/>
              </w:rPr>
            </w:pPr>
          </w:p>
        </w:tc>
      </w:tr>
      <w:tr>
        <w:trPr>
          <w:trHeight w:val="23"/>
        </w:trPr>
        <w:tc>
          <w:tcPr>
            <w:tcW w:w="73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40" w:type="dxa"/>
            <w:vAlign w:val="bottom"/>
          </w:tcPr>
          <w:p>
            <w:pPr>
              <w:ind w:left="460"/>
              <w:spacing w:after="0" w:line="193" w:lineRule="exact"/>
              <w:rPr>
                <w:sz w:val="20"/>
                <w:szCs w:val="20"/>
                <w:color w:val="auto"/>
              </w:rPr>
            </w:pPr>
            <w:r>
              <w:rPr>
                <w:rFonts w:ascii="Calibri" w:cs="Calibri" w:eastAsia="Calibri" w:hAnsi="Calibri"/>
                <w:sz w:val="16"/>
                <w:szCs w:val="16"/>
                <w:color w:val="auto"/>
              </w:rPr>
              <w:t>Total operatng property and equipment, net</w:t>
            </w:r>
          </w:p>
        </w:tc>
        <w:tc>
          <w:tcPr>
            <w:tcW w:w="74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40,665</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39,815</w:t>
            </w:r>
          </w:p>
        </w:tc>
        <w:tc>
          <w:tcPr>
            <w:tcW w:w="0" w:type="dxa"/>
            <w:vAlign w:val="bottom"/>
          </w:tcPr>
          <w:p>
            <w:pPr>
              <w:spacing w:after="0"/>
              <w:rPr>
                <w:sz w:val="1"/>
                <w:szCs w:val="1"/>
                <w:color w:val="auto"/>
              </w:rPr>
            </w:pPr>
          </w:p>
        </w:tc>
      </w:tr>
      <w:tr>
        <w:trPr>
          <w:trHeight w:val="23"/>
        </w:trPr>
        <w:tc>
          <w:tcPr>
            <w:tcW w:w="7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460"/>
              <w:spacing w:after="0" w:line="193" w:lineRule="exact"/>
              <w:rPr>
                <w:sz w:val="20"/>
                <w:szCs w:val="20"/>
                <w:color w:val="auto"/>
              </w:rPr>
            </w:pPr>
            <w:r>
              <w:rPr>
                <w:rFonts w:ascii="Calibri" w:cs="Calibri" w:eastAsia="Calibri" w:hAnsi="Calibri"/>
                <w:sz w:val="16"/>
                <w:szCs w:val="16"/>
                <w:color w:val="auto"/>
              </w:rPr>
              <w:t>Operatng lease right-of-use assets</w:t>
            </w:r>
          </w:p>
        </w:tc>
        <w:tc>
          <w:tcPr>
            <w:tcW w:w="7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3,803</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3,914</w:t>
            </w:r>
          </w:p>
        </w:tc>
        <w:tc>
          <w:tcPr>
            <w:tcW w:w="0" w:type="dxa"/>
            <w:vAlign w:val="bottom"/>
          </w:tcPr>
          <w:p>
            <w:pPr>
              <w:spacing w:after="0"/>
              <w:rPr>
                <w:sz w:val="1"/>
                <w:szCs w:val="1"/>
                <w:color w:val="auto"/>
              </w:rPr>
            </w:pPr>
          </w:p>
        </w:tc>
      </w:tr>
      <w:tr>
        <w:trPr>
          <w:trHeight w:val="193"/>
        </w:trPr>
        <w:tc>
          <w:tcPr>
            <w:tcW w:w="7340" w:type="dxa"/>
            <w:vAlign w:val="bottom"/>
          </w:tcPr>
          <w:p>
            <w:pPr>
              <w:ind w:left="20"/>
              <w:spacing w:after="0" w:line="193" w:lineRule="exact"/>
              <w:rPr>
                <w:sz w:val="20"/>
                <w:szCs w:val="20"/>
                <w:color w:val="auto"/>
              </w:rPr>
            </w:pPr>
            <w:r>
              <w:rPr>
                <w:rFonts w:ascii="Calibri" w:cs="Calibri" w:eastAsia="Calibri" w:hAnsi="Calibri"/>
                <w:sz w:val="16"/>
                <w:szCs w:val="16"/>
                <w:color w:val="auto"/>
              </w:rPr>
              <w:t>Other assets:</w:t>
            </w: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Goodwill</w:t>
            </w:r>
          </w:p>
        </w:tc>
        <w:tc>
          <w:tcPr>
            <w:tcW w:w="7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4,527</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4,527</w:t>
            </w:r>
          </w:p>
        </w:tc>
        <w:tc>
          <w:tcPr>
            <w:tcW w:w="0" w:type="dxa"/>
            <w:vAlign w:val="bottom"/>
          </w:tcPr>
          <w:p>
            <w:pPr>
              <w:spacing w:after="0"/>
              <w:rPr>
                <w:sz w:val="1"/>
                <w:szCs w:val="1"/>
                <w:color w:val="auto"/>
              </w:rPr>
            </w:pPr>
          </w:p>
        </w:tc>
      </w:tr>
      <w:tr>
        <w:trPr>
          <w:trHeight w:val="193"/>
        </w:trPr>
        <w:tc>
          <w:tcPr>
            <w:tcW w:w="7340" w:type="dxa"/>
            <w:vAlign w:val="bottom"/>
          </w:tcPr>
          <w:p>
            <w:pPr>
              <w:ind w:left="220"/>
              <w:spacing w:after="0" w:line="193" w:lineRule="exact"/>
              <w:rPr>
                <w:sz w:val="20"/>
                <w:szCs w:val="20"/>
                <w:color w:val="auto"/>
              </w:rPr>
            </w:pPr>
            <w:r>
              <w:rPr>
                <w:rFonts w:ascii="Calibri" w:cs="Calibri" w:eastAsia="Calibri" w:hAnsi="Calibri"/>
                <w:sz w:val="16"/>
                <w:szCs w:val="16"/>
                <w:color w:val="auto"/>
              </w:rPr>
              <w:t>Intangibles, less accumulated amortzaton (2024 — $1,347; 2023 — $1,495)</w:t>
            </w:r>
          </w:p>
        </w:tc>
        <w:tc>
          <w:tcPr>
            <w:tcW w:w="74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2,699</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2,725</w:t>
            </w:r>
          </w:p>
        </w:tc>
        <w:tc>
          <w:tcPr>
            <w:tcW w:w="0" w:type="dxa"/>
            <w:vAlign w:val="bottom"/>
          </w:tcPr>
          <w:p>
            <w:pPr>
              <w:spacing w:after="0"/>
              <w:rPr>
                <w:sz w:val="1"/>
                <w:szCs w:val="1"/>
                <w:color w:val="auto"/>
              </w:rPr>
            </w:pPr>
          </w:p>
        </w:tc>
      </w:tr>
      <w:tr>
        <w:trPr>
          <w:trHeight w:val="23"/>
        </w:trPr>
        <w:tc>
          <w:tcPr>
            <w:tcW w:w="7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Restricted cash</w:t>
            </w:r>
          </w:p>
        </w:tc>
        <w:tc>
          <w:tcPr>
            <w:tcW w:w="7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220</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245</w:t>
            </w:r>
          </w:p>
        </w:tc>
        <w:tc>
          <w:tcPr>
            <w:tcW w:w="0" w:type="dxa"/>
            <w:vAlign w:val="bottom"/>
          </w:tcPr>
          <w:p>
            <w:pPr>
              <w:spacing w:after="0"/>
              <w:rPr>
                <w:sz w:val="1"/>
                <w:szCs w:val="1"/>
                <w:color w:val="auto"/>
              </w:rPr>
            </w:pPr>
          </w:p>
        </w:tc>
      </w:tr>
      <w:tr>
        <w:trPr>
          <w:trHeight w:val="193"/>
        </w:trPr>
        <w:tc>
          <w:tcPr>
            <w:tcW w:w="7340" w:type="dxa"/>
            <w:vAlign w:val="bottom"/>
          </w:tcPr>
          <w:p>
            <w:pPr>
              <w:ind w:left="220"/>
              <w:spacing w:after="0" w:line="193" w:lineRule="exact"/>
              <w:rPr>
                <w:sz w:val="20"/>
                <w:szCs w:val="20"/>
                <w:color w:val="auto"/>
              </w:rPr>
            </w:pPr>
            <w:r>
              <w:rPr>
                <w:rFonts w:ascii="Calibri" w:cs="Calibri" w:eastAsia="Calibri" w:hAnsi="Calibri"/>
                <w:sz w:val="16"/>
                <w:szCs w:val="16"/>
                <w:color w:val="auto"/>
              </w:rPr>
              <w:t>Investments in afliates and other, less allowance for credit losses (2024 — $32; 2023 — $38)</w:t>
            </w:r>
          </w:p>
        </w:tc>
        <w:tc>
          <w:tcPr>
            <w:tcW w:w="74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1,337</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1,391</w:t>
            </w:r>
          </w:p>
        </w:tc>
        <w:tc>
          <w:tcPr>
            <w:tcW w:w="0" w:type="dxa"/>
            <w:vAlign w:val="bottom"/>
          </w:tcPr>
          <w:p>
            <w:pPr>
              <w:spacing w:after="0"/>
              <w:rPr>
                <w:sz w:val="1"/>
                <w:szCs w:val="1"/>
                <w:color w:val="auto"/>
              </w:rPr>
            </w:pPr>
          </w:p>
        </w:tc>
      </w:tr>
      <w:tr>
        <w:trPr>
          <w:trHeight w:val="23"/>
        </w:trPr>
        <w:tc>
          <w:tcPr>
            <w:tcW w:w="73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7340" w:type="dxa"/>
            <w:vAlign w:val="bottom"/>
            <w:tcBorders>
              <w:bottom w:val="single" w:sz="8" w:color="CCEEFF"/>
            </w:tcBorders>
            <w:shd w:val="clear" w:color="auto" w:fill="CCEEFF"/>
          </w:tcPr>
          <w:p>
            <w:pPr>
              <w:ind w:left="460"/>
              <w:spacing w:after="0"/>
              <w:rPr>
                <w:sz w:val="20"/>
                <w:szCs w:val="20"/>
                <w:color w:val="auto"/>
              </w:rPr>
            </w:pPr>
            <w:r>
              <w:rPr>
                <w:rFonts w:ascii="Calibri" w:cs="Calibri" w:eastAsia="Calibri" w:hAnsi="Calibri"/>
                <w:sz w:val="16"/>
                <w:szCs w:val="16"/>
                <w:color w:val="auto"/>
              </w:rPr>
              <w:t>Total other assets</w:t>
            </w:r>
          </w:p>
        </w:tc>
        <w:tc>
          <w:tcPr>
            <w:tcW w:w="7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8,783</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8,888</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40" w:type="dxa"/>
            <w:vAlign w:val="bottom"/>
          </w:tcPr>
          <w:p>
            <w:pPr>
              <w:ind w:left="20"/>
              <w:spacing w:after="0" w:line="190" w:lineRule="exact"/>
              <w:rPr>
                <w:sz w:val="20"/>
                <w:szCs w:val="20"/>
                <w:color w:val="auto"/>
              </w:rPr>
            </w:pPr>
            <w:r>
              <w:rPr>
                <w:rFonts w:ascii="Calibri" w:cs="Calibri" w:eastAsia="Calibri" w:hAnsi="Calibri"/>
                <w:sz w:val="16"/>
                <w:szCs w:val="16"/>
                <w:color w:val="auto"/>
              </w:rPr>
              <w:t>Total assets</w:t>
            </w:r>
          </w:p>
        </w:tc>
        <w:tc>
          <w:tcPr>
            <w:tcW w:w="740" w:type="dxa"/>
            <w:vAlign w:val="bottom"/>
            <w:tcBorders>
              <w:bottom w:val="single" w:sz="8" w:color="auto"/>
            </w:tcBorders>
          </w:tcPr>
          <w:p>
            <w:pPr>
              <w:ind w:left="20"/>
              <w:spacing w:after="0" w:line="190" w:lineRule="exact"/>
              <w:rPr>
                <w:sz w:val="20"/>
                <w:szCs w:val="20"/>
                <w:color w:val="auto"/>
              </w:rPr>
            </w:pPr>
            <w:r>
              <w:rPr>
                <w:rFonts w:ascii="Calibri" w:cs="Calibri" w:eastAsia="Calibri" w:hAnsi="Calibri"/>
                <w:sz w:val="16"/>
                <w:szCs w:val="16"/>
                <w:color w:val="auto"/>
              </w:rPr>
              <w:t>$</w:t>
            </w:r>
          </w:p>
        </w:tc>
        <w:tc>
          <w:tcPr>
            <w:tcW w:w="1160" w:type="dxa"/>
            <w:vAlign w:val="bottom"/>
            <w:tcBorders>
              <w:bottom w:val="single" w:sz="8" w:color="auto"/>
            </w:tcBorders>
          </w:tcPr>
          <w:p>
            <w:pPr>
              <w:jc w:val="right"/>
              <w:spacing w:after="0" w:line="190" w:lineRule="exact"/>
              <w:rPr>
                <w:sz w:val="20"/>
                <w:szCs w:val="20"/>
                <w:color w:val="auto"/>
              </w:rPr>
            </w:pPr>
            <w:r>
              <w:rPr>
                <w:rFonts w:ascii="Calibri" w:cs="Calibri" w:eastAsia="Calibri" w:hAnsi="Calibri"/>
                <w:sz w:val="16"/>
                <w:szCs w:val="16"/>
                <w:color w:val="auto"/>
              </w:rPr>
              <w:t>73,254</w:t>
            </w:r>
          </w:p>
        </w:tc>
        <w:tc>
          <w:tcPr>
            <w:tcW w:w="26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0" w:lineRule="exact"/>
              <w:rPr>
                <w:sz w:val="20"/>
                <w:szCs w:val="20"/>
                <w:color w:val="auto"/>
              </w:rPr>
            </w:pPr>
            <w:r>
              <w:rPr>
                <w:rFonts w:ascii="Calibri" w:cs="Calibri" w:eastAsia="Calibri" w:hAnsi="Calibri"/>
                <w:sz w:val="16"/>
                <w:szCs w:val="16"/>
                <w:color w:val="auto"/>
                <w:w w:val="97"/>
              </w:rPr>
              <w:t>$</w:t>
            </w:r>
          </w:p>
        </w:tc>
        <w:tc>
          <w:tcPr>
            <w:tcW w:w="1540" w:type="dxa"/>
            <w:vAlign w:val="bottom"/>
            <w:tcBorders>
              <w:bottom w:val="single" w:sz="8" w:color="auto"/>
            </w:tcBorders>
          </w:tcPr>
          <w:p>
            <w:pPr>
              <w:jc w:val="right"/>
              <w:spacing w:after="0" w:line="190" w:lineRule="exact"/>
              <w:rPr>
                <w:sz w:val="20"/>
                <w:szCs w:val="20"/>
                <w:color w:val="auto"/>
              </w:rPr>
            </w:pPr>
            <w:r>
              <w:rPr>
                <w:rFonts w:ascii="Calibri" w:cs="Calibri" w:eastAsia="Calibri" w:hAnsi="Calibri"/>
                <w:sz w:val="16"/>
                <w:szCs w:val="16"/>
                <w:color w:val="auto"/>
              </w:rPr>
              <w:t>71,104</w:t>
            </w:r>
          </w:p>
        </w:tc>
        <w:tc>
          <w:tcPr>
            <w:tcW w:w="0" w:type="dxa"/>
            <w:vAlign w:val="bottom"/>
          </w:tcPr>
          <w:p>
            <w:pPr>
              <w:spacing w:after="0"/>
              <w:rPr>
                <w:sz w:val="1"/>
                <w:szCs w:val="1"/>
                <w:color w:val="auto"/>
              </w:rPr>
            </w:pPr>
          </w:p>
        </w:tc>
      </w:tr>
      <w:tr>
        <w:trPr>
          <w:trHeight w:val="21"/>
        </w:trPr>
        <w:tc>
          <w:tcPr>
            <w:tcW w:w="7340" w:type="dxa"/>
            <w:vAlign w:val="bottom"/>
            <w:vMerge w:val="restart"/>
          </w:tcPr>
          <w:p>
            <w:pPr>
              <w:ind w:left="20"/>
              <w:spacing w:after="0"/>
              <w:rPr>
                <w:sz w:val="20"/>
                <w:szCs w:val="20"/>
                <w:color w:val="auto"/>
              </w:rPr>
            </w:pPr>
            <w:r>
              <w:rPr>
                <w:rFonts w:ascii="Calibri" w:cs="Calibri" w:eastAsia="Calibri" w:hAnsi="Calibri"/>
                <w:sz w:val="16"/>
                <w:szCs w:val="16"/>
                <w:b w:val="1"/>
                <w:bCs w:val="1"/>
                <w:color w:val="auto"/>
              </w:rPr>
              <w:t>LIABILITIES AND STOCKHOLDERS' EQUITY</w:t>
            </w: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7"/>
        </w:trPr>
        <w:tc>
          <w:tcPr>
            <w:tcW w:w="73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7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Current liabilites:</w:t>
            </w:r>
          </w:p>
        </w:tc>
        <w:tc>
          <w:tcPr>
            <w:tcW w:w="7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40" w:type="dxa"/>
            <w:vAlign w:val="bottom"/>
          </w:tcPr>
          <w:p>
            <w:pPr>
              <w:ind w:left="220"/>
              <w:spacing w:after="0" w:line="193" w:lineRule="exact"/>
              <w:rPr>
                <w:sz w:val="20"/>
                <w:szCs w:val="20"/>
                <w:color w:val="auto"/>
              </w:rPr>
            </w:pPr>
            <w:r>
              <w:rPr>
                <w:rFonts w:ascii="Calibri" w:cs="Calibri" w:eastAsia="Calibri" w:hAnsi="Calibri"/>
                <w:sz w:val="16"/>
                <w:szCs w:val="16"/>
                <w:color w:val="auto"/>
              </w:rPr>
              <w:t>Accounts payable</w:t>
            </w:r>
          </w:p>
        </w:tc>
        <w:tc>
          <w:tcPr>
            <w:tcW w:w="740" w:type="dxa"/>
            <w:vAlign w:val="bottom"/>
          </w:tcPr>
          <w:p>
            <w:pPr>
              <w:ind w:left="2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4,478</w:t>
            </w:r>
          </w:p>
        </w:tc>
        <w:tc>
          <w:tcPr>
            <w:tcW w:w="260" w:type="dxa"/>
            <w:vAlign w:val="bottom"/>
          </w:tcPr>
          <w:p>
            <w:pPr>
              <w:spacing w:after="0"/>
              <w:rPr>
                <w:sz w:val="16"/>
                <w:szCs w:val="16"/>
                <w:color w:val="auto"/>
              </w:rPr>
            </w:pPr>
          </w:p>
        </w:tc>
        <w:tc>
          <w:tcPr>
            <w:tcW w:w="160" w:type="dxa"/>
            <w:vAlign w:val="bottom"/>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3,835</w:t>
            </w:r>
          </w:p>
        </w:tc>
        <w:tc>
          <w:tcPr>
            <w:tcW w:w="0" w:type="dxa"/>
            <w:vAlign w:val="bottom"/>
          </w:tcPr>
          <w:p>
            <w:pPr>
              <w:spacing w:after="0"/>
              <w:rPr>
                <w:sz w:val="1"/>
                <w:szCs w:val="1"/>
                <w:color w:val="auto"/>
              </w:rPr>
            </w:pPr>
          </w:p>
        </w:tc>
      </w:tr>
      <w:tr>
        <w:trPr>
          <w:trHeight w:val="23"/>
        </w:trPr>
        <w:tc>
          <w:tcPr>
            <w:tcW w:w="7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Accrued salaries and benefts</w:t>
            </w:r>
          </w:p>
        </w:tc>
        <w:tc>
          <w:tcPr>
            <w:tcW w:w="7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2,383</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2,940</w:t>
            </w:r>
          </w:p>
        </w:tc>
        <w:tc>
          <w:tcPr>
            <w:tcW w:w="0" w:type="dxa"/>
            <w:vAlign w:val="bottom"/>
          </w:tcPr>
          <w:p>
            <w:pPr>
              <w:spacing w:after="0"/>
              <w:rPr>
                <w:sz w:val="1"/>
                <w:szCs w:val="1"/>
                <w:color w:val="auto"/>
              </w:rPr>
            </w:pPr>
          </w:p>
        </w:tc>
      </w:tr>
      <w:tr>
        <w:trPr>
          <w:trHeight w:val="193"/>
        </w:trPr>
        <w:tc>
          <w:tcPr>
            <w:tcW w:w="7340" w:type="dxa"/>
            <w:vAlign w:val="bottom"/>
          </w:tcPr>
          <w:p>
            <w:pPr>
              <w:ind w:left="220"/>
              <w:spacing w:after="0" w:line="193" w:lineRule="exact"/>
              <w:rPr>
                <w:sz w:val="20"/>
                <w:szCs w:val="20"/>
                <w:color w:val="auto"/>
              </w:rPr>
            </w:pPr>
            <w:r>
              <w:rPr>
                <w:rFonts w:ascii="Calibri" w:cs="Calibri" w:eastAsia="Calibri" w:hAnsi="Calibri"/>
                <w:sz w:val="16"/>
                <w:szCs w:val="16"/>
                <w:color w:val="auto"/>
              </w:rPr>
              <w:t>Advance tcket sales</w:t>
            </w:r>
          </w:p>
        </w:tc>
        <w:tc>
          <w:tcPr>
            <w:tcW w:w="74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9,365</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6,704</w:t>
            </w:r>
          </w:p>
        </w:tc>
        <w:tc>
          <w:tcPr>
            <w:tcW w:w="0" w:type="dxa"/>
            <w:vAlign w:val="bottom"/>
          </w:tcPr>
          <w:p>
            <w:pPr>
              <w:spacing w:after="0"/>
              <w:rPr>
                <w:sz w:val="1"/>
                <w:szCs w:val="1"/>
                <w:color w:val="auto"/>
              </w:rPr>
            </w:pPr>
          </w:p>
        </w:tc>
      </w:tr>
      <w:tr>
        <w:trPr>
          <w:trHeight w:val="23"/>
        </w:trPr>
        <w:tc>
          <w:tcPr>
            <w:tcW w:w="7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Frequent fyer deferred revenue</w:t>
            </w:r>
          </w:p>
        </w:tc>
        <w:tc>
          <w:tcPr>
            <w:tcW w:w="7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3,252</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3,095</w:t>
            </w:r>
          </w:p>
        </w:tc>
        <w:tc>
          <w:tcPr>
            <w:tcW w:w="0" w:type="dxa"/>
            <w:vAlign w:val="bottom"/>
          </w:tcPr>
          <w:p>
            <w:pPr>
              <w:spacing w:after="0"/>
              <w:rPr>
                <w:sz w:val="1"/>
                <w:szCs w:val="1"/>
                <w:color w:val="auto"/>
              </w:rPr>
            </w:pPr>
          </w:p>
        </w:tc>
      </w:tr>
      <w:tr>
        <w:trPr>
          <w:trHeight w:val="194"/>
        </w:trPr>
        <w:tc>
          <w:tcPr>
            <w:tcW w:w="7340" w:type="dxa"/>
            <w:vAlign w:val="bottom"/>
          </w:tcPr>
          <w:p>
            <w:pPr>
              <w:ind w:left="220"/>
              <w:spacing w:after="0" w:line="193" w:lineRule="exact"/>
              <w:rPr>
                <w:sz w:val="20"/>
                <w:szCs w:val="20"/>
                <w:color w:val="auto"/>
              </w:rPr>
            </w:pPr>
            <w:r>
              <w:rPr>
                <w:rFonts w:ascii="Calibri" w:cs="Calibri" w:eastAsia="Calibri" w:hAnsi="Calibri"/>
                <w:sz w:val="16"/>
                <w:szCs w:val="16"/>
                <w:color w:val="auto"/>
              </w:rPr>
              <w:t>Current maturites of long-term debt</w:t>
            </w:r>
          </w:p>
        </w:tc>
        <w:tc>
          <w:tcPr>
            <w:tcW w:w="74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4,757</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4,018</w:t>
            </w: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Current maturites of operatng leases</w:t>
            </w:r>
          </w:p>
        </w:tc>
        <w:tc>
          <w:tcPr>
            <w:tcW w:w="7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548</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576</w:t>
            </w:r>
          </w:p>
        </w:tc>
        <w:tc>
          <w:tcPr>
            <w:tcW w:w="0" w:type="dxa"/>
            <w:vAlign w:val="bottom"/>
          </w:tcPr>
          <w:p>
            <w:pPr>
              <w:spacing w:after="0"/>
              <w:rPr>
                <w:sz w:val="1"/>
                <w:szCs w:val="1"/>
                <w:color w:val="auto"/>
              </w:rPr>
            </w:pPr>
          </w:p>
        </w:tc>
      </w:tr>
      <w:tr>
        <w:trPr>
          <w:trHeight w:val="194"/>
        </w:trPr>
        <w:tc>
          <w:tcPr>
            <w:tcW w:w="7340" w:type="dxa"/>
            <w:vAlign w:val="bottom"/>
          </w:tcPr>
          <w:p>
            <w:pPr>
              <w:ind w:left="220"/>
              <w:spacing w:after="0" w:line="193" w:lineRule="exact"/>
              <w:rPr>
                <w:sz w:val="20"/>
                <w:szCs w:val="20"/>
                <w:color w:val="auto"/>
              </w:rPr>
            </w:pPr>
            <w:r>
              <w:rPr>
                <w:rFonts w:ascii="Calibri" w:cs="Calibri" w:eastAsia="Calibri" w:hAnsi="Calibri"/>
                <w:sz w:val="16"/>
                <w:szCs w:val="16"/>
                <w:color w:val="auto"/>
              </w:rPr>
              <w:t>Current maturites of fnance leases</w:t>
            </w:r>
          </w:p>
        </w:tc>
        <w:tc>
          <w:tcPr>
            <w:tcW w:w="74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110</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172</w:t>
            </w:r>
          </w:p>
        </w:tc>
        <w:tc>
          <w:tcPr>
            <w:tcW w:w="0" w:type="dxa"/>
            <w:vAlign w:val="bottom"/>
          </w:tcPr>
          <w:p>
            <w:pPr>
              <w:spacing w:after="0"/>
              <w:rPr>
                <w:sz w:val="1"/>
                <w:szCs w:val="1"/>
                <w:color w:val="auto"/>
              </w:rPr>
            </w:pPr>
          </w:p>
        </w:tc>
      </w:tr>
      <w:tr>
        <w:trPr>
          <w:trHeight w:val="23"/>
        </w:trPr>
        <w:tc>
          <w:tcPr>
            <w:tcW w:w="7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Current maturites of other fnancial liabilites</w:t>
            </w:r>
          </w:p>
        </w:tc>
        <w:tc>
          <w:tcPr>
            <w:tcW w:w="7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68</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57</w:t>
            </w:r>
          </w:p>
        </w:tc>
        <w:tc>
          <w:tcPr>
            <w:tcW w:w="0" w:type="dxa"/>
            <w:vAlign w:val="bottom"/>
          </w:tcPr>
          <w:p>
            <w:pPr>
              <w:spacing w:after="0"/>
              <w:rPr>
                <w:sz w:val="1"/>
                <w:szCs w:val="1"/>
                <w:color w:val="auto"/>
              </w:rPr>
            </w:pPr>
          </w:p>
        </w:tc>
      </w:tr>
      <w:tr>
        <w:trPr>
          <w:trHeight w:val="193"/>
        </w:trPr>
        <w:tc>
          <w:tcPr>
            <w:tcW w:w="7340" w:type="dxa"/>
            <w:vAlign w:val="bottom"/>
          </w:tcPr>
          <w:p>
            <w:pPr>
              <w:ind w:left="220"/>
              <w:spacing w:after="0" w:line="193" w:lineRule="exact"/>
              <w:rPr>
                <w:sz w:val="20"/>
                <w:szCs w:val="20"/>
                <w:color w:val="auto"/>
              </w:rPr>
            </w:pPr>
            <w:r>
              <w:rPr>
                <w:rFonts w:ascii="Calibri" w:cs="Calibri" w:eastAsia="Calibri" w:hAnsi="Calibri"/>
                <w:sz w:val="16"/>
                <w:szCs w:val="16"/>
                <w:color w:val="auto"/>
              </w:rPr>
              <w:t>Other</w:t>
            </w:r>
          </w:p>
        </w:tc>
        <w:tc>
          <w:tcPr>
            <w:tcW w:w="74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894</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806</w:t>
            </w:r>
          </w:p>
        </w:tc>
        <w:tc>
          <w:tcPr>
            <w:tcW w:w="0" w:type="dxa"/>
            <w:vAlign w:val="bottom"/>
          </w:tcPr>
          <w:p>
            <w:pPr>
              <w:spacing w:after="0"/>
              <w:rPr>
                <w:sz w:val="1"/>
                <w:szCs w:val="1"/>
                <w:color w:val="auto"/>
              </w:rPr>
            </w:pPr>
          </w:p>
        </w:tc>
      </w:tr>
      <w:tr>
        <w:trPr>
          <w:trHeight w:val="23"/>
        </w:trPr>
        <w:tc>
          <w:tcPr>
            <w:tcW w:w="73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7340" w:type="dxa"/>
            <w:vAlign w:val="bottom"/>
            <w:tcBorders>
              <w:bottom w:val="single" w:sz="8" w:color="CCEEFF"/>
            </w:tcBorders>
            <w:shd w:val="clear" w:color="auto" w:fill="CCEEFF"/>
          </w:tcPr>
          <w:p>
            <w:pPr>
              <w:ind w:left="460"/>
              <w:spacing w:after="0" w:line="182" w:lineRule="exact"/>
              <w:rPr>
                <w:sz w:val="20"/>
                <w:szCs w:val="20"/>
                <w:color w:val="auto"/>
              </w:rPr>
            </w:pPr>
            <w:r>
              <w:rPr>
                <w:rFonts w:ascii="Calibri" w:cs="Calibri" w:eastAsia="Calibri" w:hAnsi="Calibri"/>
                <w:sz w:val="16"/>
                <w:szCs w:val="16"/>
                <w:color w:val="auto"/>
              </w:rPr>
              <w:t>Total current liabilites</w:t>
            </w:r>
          </w:p>
        </w:tc>
        <w:tc>
          <w:tcPr>
            <w:tcW w:w="7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25,855</w:t>
            </w:r>
          </w:p>
        </w:tc>
        <w:tc>
          <w:tcPr>
            <w:tcW w:w="2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22,203</w:t>
            </w:r>
          </w:p>
        </w:tc>
        <w:tc>
          <w:tcPr>
            <w:tcW w:w="0" w:type="dxa"/>
            <w:vAlign w:val="bottom"/>
          </w:tcPr>
          <w:p>
            <w:pPr>
              <w:spacing w:after="0"/>
              <w:rPr>
                <w:sz w:val="1"/>
                <w:szCs w:val="1"/>
                <w:color w:val="auto"/>
              </w:rPr>
            </w:pPr>
          </w:p>
        </w:tc>
      </w:tr>
      <w:tr>
        <w:trPr>
          <w:trHeight w:val="194"/>
        </w:trPr>
        <w:tc>
          <w:tcPr>
            <w:tcW w:w="7340" w:type="dxa"/>
            <w:vAlign w:val="bottom"/>
          </w:tcPr>
          <w:p>
            <w:pPr>
              <w:ind w:left="20"/>
              <w:spacing w:after="0" w:line="193" w:lineRule="exact"/>
              <w:rPr>
                <w:sz w:val="20"/>
                <w:szCs w:val="20"/>
                <w:color w:val="auto"/>
              </w:rPr>
            </w:pPr>
            <w:r>
              <w:rPr>
                <w:rFonts w:ascii="Calibri" w:cs="Calibri" w:eastAsia="Calibri" w:hAnsi="Calibri"/>
                <w:sz w:val="16"/>
                <w:szCs w:val="16"/>
                <w:color w:val="auto"/>
              </w:rPr>
              <w:t>Long-term liabilites and deferred credits:</w:t>
            </w: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Long-term debt</w:t>
            </w:r>
          </w:p>
        </w:tc>
        <w:tc>
          <w:tcPr>
            <w:tcW w:w="7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21,687</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25,057</w:t>
            </w:r>
          </w:p>
        </w:tc>
        <w:tc>
          <w:tcPr>
            <w:tcW w:w="0" w:type="dxa"/>
            <w:vAlign w:val="bottom"/>
          </w:tcPr>
          <w:p>
            <w:pPr>
              <w:spacing w:after="0"/>
              <w:rPr>
                <w:sz w:val="1"/>
                <w:szCs w:val="1"/>
                <w:color w:val="auto"/>
              </w:rPr>
            </w:pPr>
          </w:p>
        </w:tc>
      </w:tr>
      <w:tr>
        <w:trPr>
          <w:trHeight w:val="193"/>
        </w:trPr>
        <w:tc>
          <w:tcPr>
            <w:tcW w:w="7340" w:type="dxa"/>
            <w:vAlign w:val="bottom"/>
          </w:tcPr>
          <w:p>
            <w:pPr>
              <w:ind w:left="220"/>
              <w:spacing w:after="0" w:line="193" w:lineRule="exact"/>
              <w:rPr>
                <w:sz w:val="20"/>
                <w:szCs w:val="20"/>
                <w:color w:val="auto"/>
              </w:rPr>
            </w:pPr>
            <w:r>
              <w:rPr>
                <w:rFonts w:ascii="Calibri" w:cs="Calibri" w:eastAsia="Calibri" w:hAnsi="Calibri"/>
                <w:sz w:val="16"/>
                <w:szCs w:val="16"/>
                <w:color w:val="auto"/>
              </w:rPr>
              <w:t>Long-term obligatons under operatng leases</w:t>
            </w:r>
          </w:p>
        </w:tc>
        <w:tc>
          <w:tcPr>
            <w:tcW w:w="74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4,443</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4,503</w:t>
            </w:r>
          </w:p>
        </w:tc>
        <w:tc>
          <w:tcPr>
            <w:tcW w:w="0" w:type="dxa"/>
            <w:vAlign w:val="bottom"/>
          </w:tcPr>
          <w:p>
            <w:pPr>
              <w:spacing w:after="0"/>
              <w:rPr>
                <w:sz w:val="1"/>
                <w:szCs w:val="1"/>
                <w:color w:val="auto"/>
              </w:rPr>
            </w:pPr>
          </w:p>
        </w:tc>
      </w:tr>
      <w:tr>
        <w:trPr>
          <w:trHeight w:val="23"/>
        </w:trPr>
        <w:tc>
          <w:tcPr>
            <w:tcW w:w="7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Long-term obligatons under fnance leases</w:t>
            </w:r>
          </w:p>
        </w:tc>
        <w:tc>
          <w:tcPr>
            <w:tcW w:w="7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65</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91</w:t>
            </w:r>
          </w:p>
        </w:tc>
        <w:tc>
          <w:tcPr>
            <w:tcW w:w="0" w:type="dxa"/>
            <w:vAlign w:val="bottom"/>
          </w:tcPr>
          <w:p>
            <w:pPr>
              <w:spacing w:after="0"/>
              <w:rPr>
                <w:sz w:val="1"/>
                <w:szCs w:val="1"/>
                <w:color w:val="auto"/>
              </w:rPr>
            </w:pPr>
          </w:p>
        </w:tc>
      </w:tr>
      <w:tr>
        <w:trPr>
          <w:trHeight w:val="194"/>
        </w:trPr>
        <w:tc>
          <w:tcPr>
            <w:tcW w:w="7340" w:type="dxa"/>
            <w:vAlign w:val="bottom"/>
          </w:tcPr>
          <w:p>
            <w:pPr>
              <w:ind w:left="220"/>
              <w:spacing w:after="0" w:line="193" w:lineRule="exact"/>
              <w:rPr>
                <w:sz w:val="20"/>
                <w:szCs w:val="20"/>
                <w:color w:val="auto"/>
              </w:rPr>
            </w:pPr>
            <w:r>
              <w:rPr>
                <w:rFonts w:ascii="Calibri" w:cs="Calibri" w:eastAsia="Calibri" w:hAnsi="Calibri"/>
                <w:sz w:val="16"/>
                <w:szCs w:val="16"/>
                <w:color w:val="auto"/>
              </w:rPr>
              <w:t>Frequent fyer deferred revenue</w:t>
            </w:r>
          </w:p>
        </w:tc>
        <w:tc>
          <w:tcPr>
            <w:tcW w:w="74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4,101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4,048</w:t>
            </w:r>
          </w:p>
        </w:tc>
        <w:tc>
          <w:tcPr>
            <w:tcW w:w="0" w:type="dxa"/>
            <w:vAlign w:val="bottom"/>
          </w:tcPr>
          <w:p>
            <w:pPr>
              <w:spacing w:after="0"/>
              <w:rPr>
                <w:sz w:val="1"/>
                <w:szCs w:val="1"/>
                <w:color w:val="auto"/>
              </w:rPr>
            </w:pPr>
          </w:p>
        </w:tc>
      </w:tr>
      <w:tr>
        <w:trPr>
          <w:trHeight w:val="22"/>
        </w:trPr>
        <w:tc>
          <w:tcPr>
            <w:tcW w:w="7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Pension liability</w:t>
            </w:r>
          </w:p>
        </w:tc>
        <w:tc>
          <w:tcPr>
            <w:tcW w:w="7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998</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968</w:t>
            </w:r>
          </w:p>
        </w:tc>
        <w:tc>
          <w:tcPr>
            <w:tcW w:w="0" w:type="dxa"/>
            <w:vAlign w:val="bottom"/>
          </w:tcPr>
          <w:p>
            <w:pPr>
              <w:spacing w:after="0"/>
              <w:rPr>
                <w:sz w:val="1"/>
                <w:szCs w:val="1"/>
                <w:color w:val="auto"/>
              </w:rPr>
            </w:pPr>
          </w:p>
        </w:tc>
      </w:tr>
      <w:tr>
        <w:trPr>
          <w:trHeight w:val="194"/>
        </w:trPr>
        <w:tc>
          <w:tcPr>
            <w:tcW w:w="7340" w:type="dxa"/>
            <w:vAlign w:val="bottom"/>
          </w:tcPr>
          <w:p>
            <w:pPr>
              <w:ind w:left="220"/>
              <w:spacing w:after="0" w:line="193" w:lineRule="exact"/>
              <w:rPr>
                <w:sz w:val="20"/>
                <w:szCs w:val="20"/>
                <w:color w:val="auto"/>
              </w:rPr>
            </w:pPr>
            <w:r>
              <w:rPr>
                <w:rFonts w:ascii="Calibri" w:cs="Calibri" w:eastAsia="Calibri" w:hAnsi="Calibri"/>
                <w:sz w:val="16"/>
                <w:szCs w:val="16"/>
                <w:color w:val="auto"/>
              </w:rPr>
              <w:t>Postretrement beneft liability</w:t>
            </w:r>
          </w:p>
        </w:tc>
        <w:tc>
          <w:tcPr>
            <w:tcW w:w="74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612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637</w:t>
            </w:r>
          </w:p>
        </w:tc>
        <w:tc>
          <w:tcPr>
            <w:tcW w:w="0" w:type="dxa"/>
            <w:vAlign w:val="bottom"/>
          </w:tcPr>
          <w:p>
            <w:pPr>
              <w:spacing w:after="0"/>
              <w:rPr>
                <w:sz w:val="1"/>
                <w:szCs w:val="1"/>
                <w:color w:val="auto"/>
              </w:rPr>
            </w:pPr>
          </w:p>
        </w:tc>
      </w:tr>
      <w:tr>
        <w:trPr>
          <w:trHeight w:val="23"/>
        </w:trPr>
        <w:tc>
          <w:tcPr>
            <w:tcW w:w="7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Deferred income taxes</w:t>
            </w:r>
          </w:p>
        </w:tc>
        <w:tc>
          <w:tcPr>
            <w:tcW w:w="7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951</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594</w:t>
            </w:r>
          </w:p>
        </w:tc>
        <w:tc>
          <w:tcPr>
            <w:tcW w:w="0" w:type="dxa"/>
            <w:vAlign w:val="bottom"/>
          </w:tcPr>
          <w:p>
            <w:pPr>
              <w:spacing w:after="0"/>
              <w:rPr>
                <w:sz w:val="1"/>
                <w:szCs w:val="1"/>
                <w:color w:val="auto"/>
              </w:rPr>
            </w:pPr>
          </w:p>
        </w:tc>
      </w:tr>
      <w:tr>
        <w:trPr>
          <w:trHeight w:val="193"/>
        </w:trPr>
        <w:tc>
          <w:tcPr>
            <w:tcW w:w="7340" w:type="dxa"/>
            <w:vAlign w:val="bottom"/>
          </w:tcPr>
          <w:p>
            <w:pPr>
              <w:ind w:left="220"/>
              <w:spacing w:after="0" w:line="193" w:lineRule="exact"/>
              <w:rPr>
                <w:sz w:val="20"/>
                <w:szCs w:val="20"/>
                <w:color w:val="auto"/>
              </w:rPr>
            </w:pPr>
            <w:r>
              <w:rPr>
                <w:rFonts w:ascii="Calibri" w:cs="Calibri" w:eastAsia="Calibri" w:hAnsi="Calibri"/>
                <w:sz w:val="16"/>
                <w:szCs w:val="16"/>
                <w:color w:val="auto"/>
              </w:rPr>
              <w:t>Other fnancial liabilites</w:t>
            </w:r>
          </w:p>
        </w:tc>
        <w:tc>
          <w:tcPr>
            <w:tcW w:w="74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2,576</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color w:val="auto"/>
              </w:rPr>
              <w:t>2,265</w:t>
            </w:r>
          </w:p>
        </w:tc>
        <w:tc>
          <w:tcPr>
            <w:tcW w:w="0" w:type="dxa"/>
            <w:vAlign w:val="bottom"/>
          </w:tcPr>
          <w:p>
            <w:pPr>
              <w:spacing w:after="0"/>
              <w:rPr>
                <w:sz w:val="1"/>
                <w:szCs w:val="1"/>
                <w:color w:val="auto"/>
              </w:rPr>
            </w:pPr>
          </w:p>
        </w:tc>
      </w:tr>
      <w:tr>
        <w:trPr>
          <w:trHeight w:val="23"/>
        </w:trPr>
        <w:tc>
          <w:tcPr>
            <w:tcW w:w="7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Other</w:t>
            </w:r>
          </w:p>
        </w:tc>
        <w:tc>
          <w:tcPr>
            <w:tcW w:w="7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1,440</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1,414</w:t>
            </w:r>
          </w:p>
        </w:tc>
        <w:tc>
          <w:tcPr>
            <w:tcW w:w="0" w:type="dxa"/>
            <w:vAlign w:val="bottom"/>
          </w:tcPr>
          <w:p>
            <w:pPr>
              <w:spacing w:after="0"/>
              <w:rPr>
                <w:sz w:val="1"/>
                <w:szCs w:val="1"/>
                <w:color w:val="auto"/>
              </w:rPr>
            </w:pPr>
          </w:p>
        </w:tc>
      </w:tr>
      <w:tr>
        <w:trPr>
          <w:trHeight w:val="187"/>
        </w:trPr>
        <w:tc>
          <w:tcPr>
            <w:tcW w:w="7340" w:type="dxa"/>
            <w:vAlign w:val="bottom"/>
          </w:tcPr>
          <w:p>
            <w:pPr>
              <w:ind w:left="460"/>
              <w:spacing w:after="0" w:line="182" w:lineRule="exact"/>
              <w:rPr>
                <w:sz w:val="20"/>
                <w:szCs w:val="20"/>
                <w:color w:val="auto"/>
              </w:rPr>
            </w:pPr>
            <w:r>
              <w:rPr>
                <w:rFonts w:ascii="Calibri" w:cs="Calibri" w:eastAsia="Calibri" w:hAnsi="Calibri"/>
                <w:sz w:val="16"/>
                <w:szCs w:val="16"/>
                <w:color w:val="auto"/>
              </w:rPr>
              <w:t>Total long-term liabilites and deferred credits</w:t>
            </w:r>
          </w:p>
        </w:tc>
        <w:tc>
          <w:tcPr>
            <w:tcW w:w="7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36,873</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39,577</w:t>
            </w:r>
          </w:p>
        </w:tc>
        <w:tc>
          <w:tcPr>
            <w:tcW w:w="0" w:type="dxa"/>
            <w:vAlign w:val="bottom"/>
          </w:tcPr>
          <w:p>
            <w:pPr>
              <w:spacing w:after="0"/>
              <w:rPr>
                <w:sz w:val="1"/>
                <w:szCs w:val="1"/>
                <w:color w:val="auto"/>
              </w:rPr>
            </w:pPr>
          </w:p>
        </w:tc>
      </w:tr>
      <w:tr>
        <w:trPr>
          <w:trHeight w:val="23"/>
        </w:trPr>
        <w:tc>
          <w:tcPr>
            <w:tcW w:w="73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340" w:type="dxa"/>
            <w:vAlign w:val="bottom"/>
            <w:tcBorders>
              <w:bottom w:val="single" w:sz="8" w:color="CCEEFF"/>
            </w:tcBorders>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Total stockholders' equity</w:t>
            </w:r>
          </w:p>
        </w:tc>
        <w:tc>
          <w:tcPr>
            <w:tcW w:w="7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10,526</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9,324</w:t>
            </w:r>
          </w:p>
        </w:tc>
        <w:tc>
          <w:tcPr>
            <w:tcW w:w="0" w:type="dxa"/>
            <w:vAlign w:val="bottom"/>
          </w:tcPr>
          <w:p>
            <w:pPr>
              <w:spacing w:after="0"/>
              <w:rPr>
                <w:sz w:val="1"/>
                <w:szCs w:val="1"/>
                <w:color w:val="auto"/>
              </w:rPr>
            </w:pPr>
          </w:p>
        </w:tc>
      </w:tr>
      <w:tr>
        <w:trPr>
          <w:trHeight w:val="209"/>
        </w:trPr>
        <w:tc>
          <w:tcPr>
            <w:tcW w:w="7340" w:type="dxa"/>
            <w:vAlign w:val="bottom"/>
          </w:tcPr>
          <w:p>
            <w:pPr>
              <w:ind w:left="20"/>
              <w:spacing w:after="0"/>
              <w:rPr>
                <w:sz w:val="20"/>
                <w:szCs w:val="20"/>
                <w:color w:val="auto"/>
              </w:rPr>
            </w:pPr>
            <w:r>
              <w:rPr>
                <w:rFonts w:ascii="Calibri" w:cs="Calibri" w:eastAsia="Calibri" w:hAnsi="Calibri"/>
                <w:sz w:val="16"/>
                <w:szCs w:val="16"/>
                <w:color w:val="auto"/>
              </w:rPr>
              <w:t>Total liabilites and stockholders' equity</w:t>
            </w:r>
          </w:p>
        </w:tc>
        <w:tc>
          <w:tcPr>
            <w:tcW w:w="740" w:type="dxa"/>
            <w:vAlign w:val="bottom"/>
            <w:tcBorders>
              <w:top w:val="single" w:sz="8" w:color="auto"/>
              <w:bottom w:val="single" w:sz="8" w:color="auto"/>
            </w:tcBorders>
          </w:tcPr>
          <w:p>
            <w:pPr>
              <w:ind w:left="2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73,254</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54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71,104</w:t>
            </w:r>
          </w:p>
        </w:tc>
        <w:tc>
          <w:tcPr>
            <w:tcW w:w="0" w:type="dxa"/>
            <w:vAlign w:val="bottom"/>
          </w:tcPr>
          <w:p>
            <w:pPr>
              <w:spacing w:after="0"/>
              <w:rPr>
                <w:sz w:val="1"/>
                <w:szCs w:val="1"/>
                <w:color w:val="auto"/>
              </w:rPr>
            </w:pPr>
          </w:p>
        </w:tc>
      </w:tr>
      <w:tr>
        <w:trPr>
          <w:trHeight w:val="21"/>
        </w:trPr>
        <w:tc>
          <w:tcPr>
            <w:tcW w:w="7340" w:type="dxa"/>
            <w:vAlign w:val="bottom"/>
            <w:vMerge w:val="restart"/>
          </w:tcPr>
          <w:p>
            <w:pPr>
              <w:ind w:left="5520"/>
              <w:spacing w:after="0"/>
              <w:rPr>
                <w:sz w:val="20"/>
                <w:szCs w:val="20"/>
                <w:color w:val="auto"/>
              </w:rPr>
            </w:pPr>
            <w:r>
              <w:rPr>
                <w:rFonts w:ascii="Calibri" w:cs="Calibri" w:eastAsia="Calibri" w:hAnsi="Calibri"/>
                <w:sz w:val="16"/>
                <w:szCs w:val="16"/>
                <w:color w:val="auto"/>
              </w:rPr>
              <w:t>15</w:t>
            </w: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73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12" w:right="35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color w:val="auto"/>
        </w:rPr>
        <w:t>United Airlines Reports Second-Quarter 2024 Results</w:t>
      </w:r>
    </w:p>
    <w:p>
      <w:pPr>
        <w:spacing w:after="0" w:line="200" w:lineRule="exact"/>
        <w:rPr>
          <w:sz w:val="20"/>
          <w:szCs w:val="20"/>
          <w:color w:val="auto"/>
        </w:rPr>
      </w:pPr>
    </w:p>
    <w:p>
      <w:pPr>
        <w:spacing w:after="0" w:line="357" w:lineRule="exact"/>
        <w:rPr>
          <w:sz w:val="20"/>
          <w:szCs w:val="20"/>
          <w:color w:val="auto"/>
        </w:rPr>
      </w:pPr>
    </w:p>
    <w:p>
      <w:pPr>
        <w:jc w:val="center"/>
        <w:ind w:right="-1100"/>
        <w:spacing w:after="0"/>
        <w:rPr>
          <w:sz w:val="20"/>
          <w:szCs w:val="20"/>
          <w:color w:val="auto"/>
        </w:rPr>
      </w:pPr>
      <w:r>
        <w:rPr>
          <w:rFonts w:ascii="Calibri" w:cs="Calibri" w:eastAsia="Calibri" w:hAnsi="Calibri"/>
          <w:sz w:val="16"/>
          <w:szCs w:val="16"/>
          <w:b w:val="1"/>
          <w:bCs w:val="1"/>
          <w:color w:val="auto"/>
        </w:rPr>
        <w:t>UNITED AIRLINES HOLDINGS, INC.</w:t>
      </w:r>
    </w:p>
    <w:p>
      <w:pPr>
        <w:jc w:val="center"/>
        <w:ind w:right="-1100"/>
        <w:spacing w:after="0" w:line="232" w:lineRule="auto"/>
        <w:rPr>
          <w:sz w:val="20"/>
          <w:szCs w:val="20"/>
          <w:color w:val="auto"/>
        </w:rPr>
      </w:pPr>
      <w:r>
        <w:rPr>
          <w:rFonts w:ascii="Calibri" w:cs="Calibri" w:eastAsia="Calibri" w:hAnsi="Calibri"/>
          <w:sz w:val="16"/>
          <w:szCs w:val="16"/>
          <w:color w:val="auto"/>
        </w:rPr>
        <w:t>CONDENSED STATEMENTS OF CONSOLIDATED CASH FLOWS (UNAUDITED)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ind w:left="60"/>
              <w:spacing w:after="0"/>
              <w:rPr>
                <w:sz w:val="20"/>
                <w:szCs w:val="20"/>
                <w:color w:val="auto"/>
              </w:rPr>
            </w:pPr>
            <w:r>
              <w:rPr>
                <w:rFonts w:ascii="Calibri" w:cs="Calibri" w:eastAsia="Calibri" w:hAnsi="Calibri"/>
                <w:sz w:val="16"/>
                <w:szCs w:val="16"/>
                <w:color w:val="auto"/>
              </w:rPr>
              <w:t>(in millions)</w:t>
            </w:r>
          </w:p>
        </w:tc>
        <w:tc>
          <w:tcPr>
            <w:tcW w:w="260" w:type="dxa"/>
            <w:vAlign w:val="bottom"/>
          </w:tcPr>
          <w:p>
            <w:pPr>
              <w:spacing w:after="0"/>
              <w:rPr>
                <w:sz w:val="16"/>
                <w:szCs w:val="16"/>
                <w:color w:val="auto"/>
              </w:rPr>
            </w:pPr>
          </w:p>
        </w:tc>
        <w:tc>
          <w:tcPr>
            <w:tcW w:w="2460" w:type="dxa"/>
            <w:vAlign w:val="bottom"/>
            <w:gridSpan w:val="4"/>
          </w:tcPr>
          <w:p>
            <w:pPr>
              <w:jc w:val="right"/>
              <w:ind w:right="399"/>
              <w:spacing w:after="0"/>
              <w:rPr>
                <w:sz w:val="20"/>
                <w:szCs w:val="20"/>
                <w:color w:val="auto"/>
              </w:rPr>
            </w:pPr>
            <w:r>
              <w:rPr>
                <w:rFonts w:ascii="Calibri" w:cs="Calibri" w:eastAsia="Calibri" w:hAnsi="Calibri"/>
                <w:sz w:val="16"/>
                <w:szCs w:val="16"/>
                <w:color w:val="auto"/>
              </w:rPr>
              <w:t>Six Months Ended June 30,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59"/>
              <w:spacing w:after="0" w:line="187" w:lineRule="exact"/>
              <w:rPr>
                <w:sz w:val="20"/>
                <w:szCs w:val="20"/>
                <w:color w:val="auto"/>
              </w:rPr>
            </w:pPr>
            <w:r>
              <w:rPr>
                <w:rFonts w:ascii="Calibri" w:cs="Calibri" w:eastAsia="Calibri" w:hAnsi="Calibri"/>
                <w:sz w:val="16"/>
                <w:szCs w:val="16"/>
                <w:color w:val="auto"/>
              </w:rPr>
              <w:t>2024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59"/>
              <w:spacing w:after="0" w:line="187" w:lineRule="exact"/>
              <w:rPr>
                <w:sz w:val="20"/>
                <w:szCs w:val="20"/>
                <w:color w:val="auto"/>
              </w:rPr>
            </w:pPr>
            <w:r>
              <w:rPr>
                <w:rFonts w:ascii="Calibri" w:cs="Calibri" w:eastAsia="Calibri" w:hAnsi="Calibri"/>
                <w:sz w:val="16"/>
                <w:szCs w:val="16"/>
                <w:color w:val="auto"/>
              </w:rPr>
              <w:t>2023</w:t>
            </w:r>
          </w:p>
        </w:tc>
        <w:tc>
          <w:tcPr>
            <w:tcW w:w="0" w:type="dxa"/>
            <w:vAlign w:val="bottom"/>
          </w:tcPr>
          <w:p>
            <w:pPr>
              <w:spacing w:after="0"/>
              <w:rPr>
                <w:sz w:val="1"/>
                <w:szCs w:val="1"/>
                <w:color w:val="auto"/>
              </w:rPr>
            </w:pPr>
          </w:p>
        </w:tc>
      </w:tr>
      <w:tr>
        <w:trPr>
          <w:trHeight w:val="23"/>
        </w:trPr>
        <w:tc>
          <w:tcPr>
            <w:tcW w:w="6980" w:type="dxa"/>
            <w:vAlign w:val="bottom"/>
            <w:vMerge w:val="restart"/>
          </w:tcPr>
          <w:p>
            <w:pPr>
              <w:ind w:left="20"/>
              <w:spacing w:after="0"/>
              <w:rPr>
                <w:sz w:val="20"/>
                <w:szCs w:val="20"/>
                <w:color w:val="auto"/>
              </w:rPr>
            </w:pPr>
            <w:r>
              <w:rPr>
                <w:rFonts w:ascii="Calibri" w:cs="Calibri" w:eastAsia="Calibri" w:hAnsi="Calibri"/>
                <w:sz w:val="16"/>
                <w:szCs w:val="16"/>
                <w:color w:val="auto"/>
              </w:rPr>
              <w:t>Cash Flows from Operatng Actvites:</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6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Net cash provided by operatng actvites</w:t>
            </w:r>
          </w:p>
        </w:tc>
        <w:tc>
          <w:tcPr>
            <w:tcW w:w="26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w w:val="97"/>
              </w:rPr>
              <w:t>$</w:t>
            </w:r>
          </w:p>
        </w:tc>
        <w:tc>
          <w:tcPr>
            <w:tcW w:w="9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5,723</w:t>
            </w: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79"/>
              <w:spacing w:after="0" w:line="193" w:lineRule="exact"/>
              <w:rPr>
                <w:sz w:val="20"/>
                <w:szCs w:val="20"/>
                <w:color w:val="auto"/>
              </w:rPr>
            </w:pPr>
            <w:r>
              <w:rPr>
                <w:rFonts w:ascii="Calibri" w:cs="Calibri" w:eastAsia="Calibri" w:hAnsi="Calibri"/>
                <w:sz w:val="16"/>
                <w:szCs w:val="16"/>
                <w:color w:val="auto"/>
                <w:w w:val="97"/>
              </w:rPr>
              <w:t>$</w:t>
            </w:r>
          </w:p>
        </w:tc>
        <w:tc>
          <w:tcPr>
            <w:tcW w:w="9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6,941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Flows from Investng Actvites:</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980" w:type="dxa"/>
            <w:vAlign w:val="bottom"/>
          </w:tcPr>
          <w:p>
            <w:pPr>
              <w:ind w:left="220"/>
              <w:spacing w:after="0" w:line="193" w:lineRule="exact"/>
              <w:rPr>
                <w:sz w:val="20"/>
                <w:szCs w:val="20"/>
                <w:color w:val="auto"/>
              </w:rPr>
            </w:pPr>
            <w:r>
              <w:rPr>
                <w:rFonts w:ascii="Calibri" w:cs="Calibri" w:eastAsia="Calibri" w:hAnsi="Calibri"/>
                <w:sz w:val="16"/>
                <w:szCs w:val="16"/>
                <w:color w:val="auto"/>
              </w:rPr>
              <w:t>Capital expenditures, net of fight equipment purchase deposit returns</w:t>
            </w:r>
          </w:p>
        </w:tc>
        <w:tc>
          <w:tcPr>
            <w:tcW w:w="26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Calibri" w:cs="Calibri" w:eastAsia="Calibri" w:hAnsi="Calibri"/>
                <w:sz w:val="16"/>
                <w:szCs w:val="16"/>
                <w:color w:val="auto"/>
              </w:rPr>
              <w:t>(2,530)</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Calibri" w:cs="Calibri" w:eastAsia="Calibri" w:hAnsi="Calibri"/>
                <w:sz w:val="16"/>
                <w:szCs w:val="16"/>
                <w:color w:val="auto"/>
              </w:rPr>
              <w:t>(3,263)</w:t>
            </w:r>
          </w:p>
        </w:tc>
        <w:tc>
          <w:tcPr>
            <w:tcW w:w="0" w:type="dxa"/>
            <w:vAlign w:val="bottom"/>
          </w:tcPr>
          <w:p>
            <w:pPr>
              <w:spacing w:after="0"/>
              <w:rPr>
                <w:sz w:val="1"/>
                <w:szCs w:val="1"/>
                <w:color w:val="auto"/>
              </w:rPr>
            </w:pPr>
          </w:p>
        </w:tc>
      </w:tr>
      <w:tr>
        <w:trPr>
          <w:trHeight w:val="23"/>
        </w:trPr>
        <w:tc>
          <w:tcPr>
            <w:tcW w:w="6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Purchases of short-term and other investments</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(1,754)</w:t>
            </w: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(6,876)</w:t>
            </w:r>
          </w:p>
        </w:tc>
        <w:tc>
          <w:tcPr>
            <w:tcW w:w="0" w:type="dxa"/>
            <w:vAlign w:val="bottom"/>
          </w:tcPr>
          <w:p>
            <w:pPr>
              <w:spacing w:after="0"/>
              <w:rPr>
                <w:sz w:val="1"/>
                <w:szCs w:val="1"/>
                <w:color w:val="auto"/>
              </w:rPr>
            </w:pPr>
          </w:p>
        </w:tc>
      </w:tr>
      <w:tr>
        <w:trPr>
          <w:trHeight w:val="193"/>
        </w:trPr>
        <w:tc>
          <w:tcPr>
            <w:tcW w:w="6980" w:type="dxa"/>
            <w:vAlign w:val="bottom"/>
          </w:tcPr>
          <w:p>
            <w:pPr>
              <w:ind w:left="220"/>
              <w:spacing w:after="0" w:line="193" w:lineRule="exact"/>
              <w:rPr>
                <w:sz w:val="20"/>
                <w:szCs w:val="20"/>
                <w:color w:val="auto"/>
              </w:rPr>
            </w:pPr>
            <w:r>
              <w:rPr>
                <w:rFonts w:ascii="Calibri" w:cs="Calibri" w:eastAsia="Calibri" w:hAnsi="Calibri"/>
                <w:sz w:val="16"/>
                <w:szCs w:val="16"/>
                <w:color w:val="auto"/>
              </w:rPr>
              <w:t>Proceeds from sale of short-term and other investments</w:t>
            </w:r>
          </w:p>
        </w:tc>
        <w:tc>
          <w:tcPr>
            <w:tcW w:w="26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Calibri" w:cs="Calibri" w:eastAsia="Calibri" w:hAnsi="Calibri"/>
                <w:sz w:val="16"/>
                <w:szCs w:val="16"/>
                <w:color w:val="auto"/>
              </w:rPr>
              <w:t>5,820</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Calibri" w:cs="Calibri" w:eastAsia="Calibri" w:hAnsi="Calibri"/>
                <w:sz w:val="16"/>
                <w:szCs w:val="16"/>
                <w:color w:val="auto"/>
              </w:rPr>
              <w:t>6,702</w:t>
            </w:r>
          </w:p>
        </w:tc>
        <w:tc>
          <w:tcPr>
            <w:tcW w:w="0" w:type="dxa"/>
            <w:vAlign w:val="bottom"/>
          </w:tcPr>
          <w:p>
            <w:pPr>
              <w:spacing w:after="0"/>
              <w:rPr>
                <w:sz w:val="1"/>
                <w:szCs w:val="1"/>
                <w:color w:val="auto"/>
              </w:rPr>
            </w:pPr>
          </w:p>
        </w:tc>
      </w:tr>
      <w:tr>
        <w:trPr>
          <w:trHeight w:val="23"/>
        </w:trPr>
        <w:tc>
          <w:tcPr>
            <w:tcW w:w="6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Proceeds from sale of property and equipment</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42</w:t>
            </w: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9</w:t>
            </w:r>
          </w:p>
        </w:tc>
        <w:tc>
          <w:tcPr>
            <w:tcW w:w="0" w:type="dxa"/>
            <w:vAlign w:val="bottom"/>
          </w:tcPr>
          <w:p>
            <w:pPr>
              <w:spacing w:after="0"/>
              <w:rPr>
                <w:sz w:val="1"/>
                <w:szCs w:val="1"/>
                <w:color w:val="auto"/>
              </w:rPr>
            </w:pPr>
          </w:p>
        </w:tc>
      </w:tr>
      <w:tr>
        <w:trPr>
          <w:trHeight w:val="193"/>
        </w:trPr>
        <w:tc>
          <w:tcPr>
            <w:tcW w:w="6980" w:type="dxa"/>
            <w:vAlign w:val="bottom"/>
          </w:tcPr>
          <w:p>
            <w:pPr>
              <w:ind w:left="220"/>
              <w:spacing w:after="0" w:line="193" w:lineRule="exact"/>
              <w:rPr>
                <w:sz w:val="20"/>
                <w:szCs w:val="20"/>
                <w:color w:val="auto"/>
              </w:rPr>
            </w:pPr>
            <w:r>
              <w:rPr>
                <w:rFonts w:ascii="Calibri" w:cs="Calibri" w:eastAsia="Calibri" w:hAnsi="Calibri"/>
                <w:sz w:val="16"/>
                <w:szCs w:val="16"/>
                <w:color w:val="auto"/>
              </w:rPr>
              <w:t>Other, net</w:t>
            </w:r>
          </w:p>
        </w:tc>
        <w:tc>
          <w:tcPr>
            <w:tcW w:w="26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Calibri" w:cs="Calibri" w:eastAsia="Calibri" w:hAnsi="Calibri"/>
                <w:sz w:val="16"/>
                <w:szCs w:val="16"/>
                <w:color w:val="auto"/>
              </w:rPr>
              <w:t>(3)</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0" w:type="dxa"/>
            <w:vAlign w:val="bottom"/>
          </w:tcPr>
          <w:p>
            <w:pPr>
              <w:spacing w:after="0"/>
              <w:rPr>
                <w:sz w:val="1"/>
                <w:szCs w:val="1"/>
                <w:color w:val="auto"/>
              </w:rPr>
            </w:pPr>
          </w:p>
        </w:tc>
      </w:tr>
      <w:tr>
        <w:trPr>
          <w:trHeight w:val="23"/>
        </w:trPr>
        <w:tc>
          <w:tcPr>
            <w:tcW w:w="6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Net cash provided by (used in) investng actvites</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1,575</w:t>
            </w:r>
          </w:p>
        </w:tc>
        <w:tc>
          <w:tcPr>
            <w:tcW w:w="2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(3,427)</w:t>
            </w:r>
          </w:p>
        </w:tc>
        <w:tc>
          <w:tcPr>
            <w:tcW w:w="0" w:type="dxa"/>
            <w:vAlign w:val="bottom"/>
          </w:tcPr>
          <w:p>
            <w:pPr>
              <w:spacing w:after="0"/>
              <w:rPr>
                <w:sz w:val="1"/>
                <w:szCs w:val="1"/>
                <w:color w:val="auto"/>
              </w:rPr>
            </w:pPr>
          </w:p>
        </w:tc>
      </w:tr>
      <w:tr>
        <w:trPr>
          <w:trHeight w:val="257"/>
        </w:trPr>
        <w:tc>
          <w:tcPr>
            <w:tcW w:w="6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9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Flows from Financing Actvites:</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980" w:type="dxa"/>
            <w:vAlign w:val="bottom"/>
          </w:tcPr>
          <w:p>
            <w:pPr>
              <w:ind w:left="140"/>
              <w:spacing w:after="0" w:line="193" w:lineRule="exact"/>
              <w:rPr>
                <w:sz w:val="20"/>
                <w:szCs w:val="20"/>
                <w:color w:val="auto"/>
              </w:rPr>
            </w:pPr>
            <w:r>
              <w:rPr>
                <w:rFonts w:ascii="Calibri" w:cs="Calibri" w:eastAsia="Calibri" w:hAnsi="Calibri"/>
                <w:sz w:val="16"/>
                <w:szCs w:val="16"/>
                <w:color w:val="auto"/>
              </w:rPr>
              <w:t>Proceeds from issuance of debt and other fnancing liabilites, net of discounts and fees</w:t>
            </w:r>
          </w:p>
        </w:tc>
        <w:tc>
          <w:tcPr>
            <w:tcW w:w="26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Calibri" w:cs="Calibri" w:eastAsia="Calibri" w:hAnsi="Calibri"/>
                <w:sz w:val="16"/>
                <w:szCs w:val="16"/>
                <w:color w:val="auto"/>
              </w:rPr>
              <w:t>3,718</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Calibri" w:cs="Calibri" w:eastAsia="Calibri" w:hAnsi="Calibri"/>
                <w:sz w:val="16"/>
                <w:szCs w:val="16"/>
                <w:color w:val="auto"/>
              </w:rPr>
              <w:t>1,591</w:t>
            </w:r>
          </w:p>
        </w:tc>
        <w:tc>
          <w:tcPr>
            <w:tcW w:w="0" w:type="dxa"/>
            <w:vAlign w:val="bottom"/>
          </w:tcPr>
          <w:p>
            <w:pPr>
              <w:spacing w:after="0"/>
              <w:rPr>
                <w:sz w:val="1"/>
                <w:szCs w:val="1"/>
                <w:color w:val="auto"/>
              </w:rPr>
            </w:pPr>
          </w:p>
        </w:tc>
      </w:tr>
      <w:tr>
        <w:trPr>
          <w:trHeight w:val="23"/>
        </w:trPr>
        <w:tc>
          <w:tcPr>
            <w:tcW w:w="6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Borders>
              <w:bottom w:val="single" w:sz="8" w:color="CCEEFF"/>
            </w:tcBorders>
            <w:shd w:val="clear" w:color="auto" w:fill="CCEEFF"/>
          </w:tcPr>
          <w:p>
            <w:pPr>
              <w:ind w:left="140"/>
              <w:spacing w:after="0" w:line="193" w:lineRule="exact"/>
              <w:rPr>
                <w:sz w:val="20"/>
                <w:szCs w:val="20"/>
                <w:color w:val="auto"/>
              </w:rPr>
            </w:pPr>
            <w:r>
              <w:rPr>
                <w:rFonts w:ascii="Calibri" w:cs="Calibri" w:eastAsia="Calibri" w:hAnsi="Calibri"/>
                <w:sz w:val="16"/>
                <w:szCs w:val="16"/>
                <w:color w:val="auto"/>
              </w:rPr>
              <w:t>Payments of long-term debt, fnance leases and other fnancing liabilites</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(6,217)</w:t>
            </w: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(2,614)</w:t>
            </w:r>
          </w:p>
        </w:tc>
        <w:tc>
          <w:tcPr>
            <w:tcW w:w="0" w:type="dxa"/>
            <w:vAlign w:val="bottom"/>
          </w:tcPr>
          <w:p>
            <w:pPr>
              <w:spacing w:after="0"/>
              <w:rPr>
                <w:sz w:val="1"/>
                <w:szCs w:val="1"/>
                <w:color w:val="auto"/>
              </w:rPr>
            </w:pPr>
          </w:p>
        </w:tc>
      </w:tr>
      <w:tr>
        <w:trPr>
          <w:trHeight w:val="193"/>
        </w:trPr>
        <w:tc>
          <w:tcPr>
            <w:tcW w:w="6980" w:type="dxa"/>
            <w:vAlign w:val="bottom"/>
          </w:tcPr>
          <w:p>
            <w:pPr>
              <w:ind w:left="140"/>
              <w:spacing w:after="0" w:line="193" w:lineRule="exact"/>
              <w:rPr>
                <w:sz w:val="20"/>
                <w:szCs w:val="20"/>
                <w:color w:val="auto"/>
              </w:rPr>
            </w:pPr>
            <w:r>
              <w:rPr>
                <w:rFonts w:ascii="Calibri" w:cs="Calibri" w:eastAsia="Calibri" w:hAnsi="Calibri"/>
                <w:sz w:val="16"/>
                <w:szCs w:val="16"/>
                <w:color w:val="auto"/>
              </w:rPr>
              <w:t>Other, net</w:t>
            </w:r>
          </w:p>
        </w:tc>
        <w:tc>
          <w:tcPr>
            <w:tcW w:w="26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Calibri" w:cs="Calibri" w:eastAsia="Calibri" w:hAnsi="Calibri"/>
                <w:sz w:val="16"/>
                <w:szCs w:val="16"/>
                <w:color w:val="auto"/>
              </w:rPr>
              <w:t>(19)</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Calibri" w:cs="Calibri" w:eastAsia="Calibri" w:hAnsi="Calibri"/>
                <w:sz w:val="16"/>
                <w:szCs w:val="16"/>
                <w:color w:val="auto"/>
              </w:rPr>
              <w:t>(31)</w:t>
            </w:r>
          </w:p>
        </w:tc>
        <w:tc>
          <w:tcPr>
            <w:tcW w:w="0" w:type="dxa"/>
            <w:vAlign w:val="bottom"/>
          </w:tcPr>
          <w:p>
            <w:pPr>
              <w:spacing w:after="0"/>
              <w:rPr>
                <w:sz w:val="1"/>
                <w:szCs w:val="1"/>
                <w:color w:val="auto"/>
              </w:rPr>
            </w:pPr>
          </w:p>
        </w:tc>
      </w:tr>
      <w:tr>
        <w:trPr>
          <w:trHeight w:val="23"/>
        </w:trPr>
        <w:tc>
          <w:tcPr>
            <w:tcW w:w="6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ind w:left="20"/>
              <w:spacing w:after="0" w:line="174" w:lineRule="exact"/>
              <w:rPr>
                <w:sz w:val="20"/>
                <w:szCs w:val="20"/>
                <w:color w:val="auto"/>
              </w:rPr>
            </w:pPr>
            <w:r>
              <w:rPr>
                <w:rFonts w:ascii="Calibri" w:cs="Calibri" w:eastAsia="Calibri" w:hAnsi="Calibri"/>
                <w:sz w:val="16"/>
                <w:szCs w:val="16"/>
                <w:color w:val="auto"/>
              </w:rPr>
              <w:t>Net cash used in fnancing actvites</w:t>
            </w: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(2,518)</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(1,054)</w:t>
            </w:r>
          </w:p>
        </w:tc>
        <w:tc>
          <w:tcPr>
            <w:tcW w:w="0" w:type="dxa"/>
            <w:vAlign w:val="bottom"/>
          </w:tcPr>
          <w:p>
            <w:pPr>
              <w:spacing w:after="0"/>
              <w:rPr>
                <w:sz w:val="1"/>
                <w:szCs w:val="1"/>
                <w:color w:val="auto"/>
              </w:rPr>
            </w:pPr>
          </w:p>
        </w:tc>
      </w:tr>
      <w:tr>
        <w:trPr>
          <w:trHeight w:val="187"/>
        </w:trPr>
        <w:tc>
          <w:tcPr>
            <w:tcW w:w="6980" w:type="dxa"/>
            <w:vAlign w:val="bottom"/>
          </w:tcPr>
          <w:p>
            <w:pPr>
              <w:ind w:left="20"/>
              <w:spacing w:after="0" w:line="174" w:lineRule="exact"/>
              <w:rPr>
                <w:sz w:val="20"/>
                <w:szCs w:val="20"/>
                <w:color w:val="auto"/>
              </w:rPr>
            </w:pPr>
            <w:r>
              <w:rPr>
                <w:rFonts w:ascii="Calibri" w:cs="Calibri" w:eastAsia="Calibri" w:hAnsi="Calibri"/>
                <w:sz w:val="16"/>
                <w:szCs w:val="16"/>
                <w:color w:val="auto"/>
              </w:rPr>
              <w:t>Net increase in cash, cash equivalents and restricted cash</w:t>
            </w: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4,780</w:t>
            </w:r>
          </w:p>
        </w:tc>
        <w:tc>
          <w:tcPr>
            <w:tcW w:w="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2,460</w:t>
            </w:r>
          </w:p>
        </w:tc>
        <w:tc>
          <w:tcPr>
            <w:tcW w:w="0" w:type="dxa"/>
            <w:vAlign w:val="bottom"/>
          </w:tcPr>
          <w:p>
            <w:pPr>
              <w:spacing w:after="0"/>
              <w:rPr>
                <w:sz w:val="1"/>
                <w:szCs w:val="1"/>
                <w:color w:val="auto"/>
              </w:rPr>
            </w:pPr>
          </w:p>
        </w:tc>
      </w:tr>
      <w:tr>
        <w:trPr>
          <w:trHeight w:val="23"/>
        </w:trPr>
        <w:tc>
          <w:tcPr>
            <w:tcW w:w="6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tcBorders>
              <w:bottom w:val="single" w:sz="8" w:color="CCEEFF"/>
            </w:tcBorders>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Cash, cash equivalents and restricted cash at beginning of the period</w:t>
            </w: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6,334</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7,421</w:t>
            </w:r>
          </w:p>
        </w:tc>
        <w:tc>
          <w:tcPr>
            <w:tcW w:w="0" w:type="dxa"/>
            <w:vAlign w:val="bottom"/>
          </w:tcPr>
          <w:p>
            <w:pPr>
              <w:spacing w:after="0"/>
              <w:rPr>
                <w:sz w:val="1"/>
                <w:szCs w:val="1"/>
                <w:color w:val="auto"/>
              </w:rPr>
            </w:pPr>
          </w:p>
        </w:tc>
      </w:tr>
      <w:tr>
        <w:trPr>
          <w:trHeight w:val="187"/>
        </w:trPr>
        <w:tc>
          <w:tcPr>
            <w:tcW w:w="6980" w:type="dxa"/>
            <w:vAlign w:val="bottom"/>
          </w:tcPr>
          <w:p>
            <w:pPr>
              <w:ind w:left="20"/>
              <w:spacing w:after="0" w:line="182" w:lineRule="exact"/>
              <w:rPr>
                <w:sz w:val="20"/>
                <w:szCs w:val="20"/>
                <w:color w:val="auto"/>
              </w:rPr>
            </w:pPr>
            <w:r>
              <w:rPr>
                <w:rFonts w:ascii="Calibri" w:cs="Calibri" w:eastAsia="Calibri" w:hAnsi="Calibri"/>
                <w:sz w:val="16"/>
                <w:szCs w:val="16"/>
                <w:color w:val="auto"/>
              </w:rPr>
              <w:t>Cash, cash equivalents and restricted cash at end of the period</w:t>
            </w:r>
          </w:p>
        </w:tc>
        <w:tc>
          <w:tcPr>
            <w:tcW w:w="260" w:type="dxa"/>
            <w:vAlign w:val="bottom"/>
            <w:tcBorders>
              <w:top w:val="single" w:sz="8" w:color="auto"/>
            </w:tcBorders>
          </w:tcPr>
          <w:p>
            <w:pPr>
              <w:jc w:val="right"/>
              <w:ind w:right="79"/>
              <w:spacing w:after="0" w:line="187" w:lineRule="exact"/>
              <w:rPr>
                <w:sz w:val="20"/>
                <w:szCs w:val="20"/>
                <w:color w:val="auto"/>
              </w:rPr>
            </w:pPr>
            <w:r>
              <w:rPr>
                <w:rFonts w:ascii="Calibri" w:cs="Calibri" w:eastAsia="Calibri" w:hAnsi="Calibri"/>
                <w:sz w:val="16"/>
                <w:szCs w:val="16"/>
                <w:color w:val="auto"/>
                <w:w w:val="97"/>
              </w:rPr>
              <w:t>$</w:t>
            </w:r>
          </w:p>
        </w:tc>
        <w:tc>
          <w:tcPr>
            <w:tcW w:w="9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11,114</w:t>
            </w:r>
          </w:p>
        </w:tc>
        <w:tc>
          <w:tcPr>
            <w:tcW w:w="28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line="187" w:lineRule="exact"/>
              <w:rPr>
                <w:sz w:val="20"/>
                <w:szCs w:val="20"/>
                <w:color w:val="auto"/>
              </w:rPr>
            </w:pPr>
            <w:r>
              <w:rPr>
                <w:rFonts w:ascii="Calibri" w:cs="Calibri" w:eastAsia="Calibri" w:hAnsi="Calibri"/>
                <w:sz w:val="16"/>
                <w:szCs w:val="16"/>
                <w:color w:val="auto"/>
                <w:w w:val="97"/>
              </w:rPr>
              <w:t>$</w:t>
            </w:r>
          </w:p>
        </w:tc>
        <w:tc>
          <w:tcPr>
            <w:tcW w:w="9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9,881</w:t>
            </w:r>
          </w:p>
        </w:tc>
        <w:tc>
          <w:tcPr>
            <w:tcW w:w="0" w:type="dxa"/>
            <w:vAlign w:val="bottom"/>
          </w:tcPr>
          <w:p>
            <w:pPr>
              <w:spacing w:after="0"/>
              <w:rPr>
                <w:sz w:val="1"/>
                <w:szCs w:val="1"/>
                <w:color w:val="auto"/>
              </w:rPr>
            </w:pPr>
          </w:p>
        </w:tc>
      </w:tr>
      <w:tr>
        <w:trPr>
          <w:trHeight w:val="23"/>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6980" w:type="dxa"/>
            <w:vAlign w:val="bottom"/>
          </w:tcPr>
          <w:p>
            <w:pPr>
              <w:ind w:left="20"/>
              <w:spacing w:after="0" w:line="193" w:lineRule="exact"/>
              <w:rPr>
                <w:sz w:val="20"/>
                <w:szCs w:val="20"/>
                <w:color w:val="auto"/>
              </w:rPr>
            </w:pPr>
            <w:r>
              <w:rPr>
                <w:rFonts w:ascii="Calibri" w:cs="Calibri" w:eastAsia="Calibri" w:hAnsi="Calibri"/>
                <w:sz w:val="16"/>
                <w:szCs w:val="16"/>
                <w:color w:val="auto"/>
              </w:rPr>
              <w:t>Investng and Financing Actvites Not Afectng Cash:</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Property and equipment acquired through the issuance of debt, fnance leases and other</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(206)</w:t>
            </w: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559</w:t>
            </w:r>
          </w:p>
        </w:tc>
        <w:tc>
          <w:tcPr>
            <w:tcW w:w="0" w:type="dxa"/>
            <w:vAlign w:val="bottom"/>
          </w:tcPr>
          <w:p>
            <w:pPr>
              <w:spacing w:after="0"/>
              <w:rPr>
                <w:sz w:val="1"/>
                <w:szCs w:val="1"/>
                <w:color w:val="auto"/>
              </w:rPr>
            </w:pPr>
          </w:p>
        </w:tc>
      </w:tr>
      <w:tr>
        <w:trPr>
          <w:trHeight w:val="194"/>
        </w:trPr>
        <w:tc>
          <w:tcPr>
            <w:tcW w:w="6980" w:type="dxa"/>
            <w:vAlign w:val="bottom"/>
          </w:tcPr>
          <w:p>
            <w:pPr>
              <w:ind w:left="220"/>
              <w:spacing w:after="0" w:line="193" w:lineRule="exact"/>
              <w:rPr>
                <w:sz w:val="20"/>
                <w:szCs w:val="20"/>
                <w:color w:val="auto"/>
              </w:rPr>
            </w:pPr>
            <w:r>
              <w:rPr>
                <w:rFonts w:ascii="Calibri" w:cs="Calibri" w:eastAsia="Calibri" w:hAnsi="Calibri"/>
                <w:sz w:val="16"/>
                <w:szCs w:val="16"/>
                <w:color w:val="auto"/>
              </w:rPr>
              <w:t>Right-of-use assets acquired through operatng leases</w:t>
            </w:r>
          </w:p>
        </w:tc>
        <w:tc>
          <w:tcPr>
            <w:tcW w:w="26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Calibri" w:cs="Calibri" w:eastAsia="Calibri" w:hAnsi="Calibri"/>
                <w:sz w:val="16"/>
                <w:szCs w:val="16"/>
                <w:color w:val="auto"/>
              </w:rPr>
              <w:t>143</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Calibri" w:cs="Calibri" w:eastAsia="Calibri" w:hAnsi="Calibri"/>
                <w:sz w:val="16"/>
                <w:szCs w:val="16"/>
                <w:color w:val="auto"/>
              </w:rPr>
              <w:t>434</w:t>
            </w:r>
          </w:p>
        </w:tc>
        <w:tc>
          <w:tcPr>
            <w:tcW w:w="0" w:type="dxa"/>
            <w:vAlign w:val="bottom"/>
          </w:tcPr>
          <w:p>
            <w:pPr>
              <w:spacing w:after="0"/>
              <w:rPr>
                <w:sz w:val="1"/>
                <w:szCs w:val="1"/>
                <w:color w:val="auto"/>
              </w:rPr>
            </w:pPr>
          </w:p>
        </w:tc>
      </w:tr>
      <w:tr>
        <w:trPr>
          <w:trHeight w:val="23"/>
        </w:trPr>
        <w:tc>
          <w:tcPr>
            <w:tcW w:w="6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Borders>
              <w:bottom w:val="single" w:sz="8" w:color="CCEEFF"/>
            </w:tcBorders>
            <w:shd w:val="clear" w:color="auto" w:fill="CCEEFF"/>
          </w:tcPr>
          <w:p>
            <w:pPr>
              <w:ind w:left="220"/>
              <w:spacing w:after="0" w:line="193" w:lineRule="exact"/>
              <w:rPr>
                <w:sz w:val="20"/>
                <w:szCs w:val="20"/>
                <w:color w:val="auto"/>
              </w:rPr>
            </w:pPr>
            <w:r>
              <w:rPr>
                <w:rFonts w:ascii="Calibri" w:cs="Calibri" w:eastAsia="Calibri" w:hAnsi="Calibri"/>
                <w:sz w:val="16"/>
                <w:szCs w:val="16"/>
                <w:color w:val="auto"/>
              </w:rPr>
              <w:t>Lease modifcatons and lease conversions</w:t>
            </w: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73</w:t>
            </w: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349</w:t>
            </w:r>
          </w:p>
        </w:tc>
        <w:tc>
          <w:tcPr>
            <w:tcW w:w="0" w:type="dxa"/>
            <w:vAlign w:val="bottom"/>
          </w:tcPr>
          <w:p>
            <w:pPr>
              <w:spacing w:after="0"/>
              <w:rPr>
                <w:sz w:val="1"/>
                <w:szCs w:val="1"/>
                <w:color w:val="auto"/>
              </w:rPr>
            </w:pPr>
          </w:p>
        </w:tc>
      </w:tr>
      <w:tr>
        <w:trPr>
          <w:trHeight w:val="194"/>
        </w:trPr>
        <w:tc>
          <w:tcPr>
            <w:tcW w:w="6980" w:type="dxa"/>
            <w:vAlign w:val="bottom"/>
          </w:tcPr>
          <w:p>
            <w:pPr>
              <w:ind w:left="220"/>
              <w:spacing w:after="0" w:line="193" w:lineRule="exact"/>
              <w:rPr>
                <w:sz w:val="20"/>
                <w:szCs w:val="20"/>
                <w:color w:val="auto"/>
              </w:rPr>
            </w:pPr>
            <w:r>
              <w:rPr>
                <w:rFonts w:ascii="Calibri" w:cs="Calibri" w:eastAsia="Calibri" w:hAnsi="Calibri"/>
                <w:sz w:val="16"/>
                <w:szCs w:val="16"/>
                <w:color w:val="auto"/>
              </w:rPr>
              <w:t>Investment interests received in exchange for loans, goods and services</w:t>
            </w:r>
          </w:p>
        </w:tc>
        <w:tc>
          <w:tcPr>
            <w:tcW w:w="26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Calibri" w:cs="Calibri" w:eastAsia="Calibri" w:hAnsi="Calibri"/>
                <w:sz w:val="16"/>
                <w:szCs w:val="16"/>
                <w:color w:val="auto"/>
              </w:rPr>
              <w:t>18</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Calibri" w:cs="Calibri" w:eastAsia="Calibri" w:hAnsi="Calibri"/>
                <w:sz w:val="16"/>
                <w:szCs w:val="16"/>
                <w:color w:val="auto"/>
              </w:rPr>
              <w:t>25</w:t>
            </w:r>
          </w:p>
        </w:tc>
        <w:tc>
          <w:tcPr>
            <w:tcW w:w="0" w:type="dxa"/>
            <w:vAlign w:val="bottom"/>
          </w:tcPr>
          <w:p>
            <w:pPr>
              <w:spacing w:after="0"/>
              <w:rPr>
                <w:sz w:val="1"/>
                <w:szCs w:val="1"/>
                <w:color w:val="auto"/>
              </w:rPr>
            </w:pPr>
          </w:p>
        </w:tc>
      </w:tr>
      <w:tr>
        <w:trPr>
          <w:trHeight w:val="872"/>
        </w:trPr>
        <w:tc>
          <w:tcPr>
            <w:tcW w:w="6980" w:type="dxa"/>
            <w:vAlign w:val="bottom"/>
          </w:tcPr>
          <w:p>
            <w:pPr>
              <w:ind w:left="5540"/>
              <w:spacing w:after="0"/>
              <w:rPr>
                <w:sz w:val="20"/>
                <w:szCs w:val="20"/>
                <w:color w:val="auto"/>
              </w:rPr>
            </w:pPr>
            <w:r>
              <w:rPr>
                <w:rFonts w:ascii="Calibri" w:cs="Calibri" w:eastAsia="Calibri" w:hAnsi="Calibri"/>
                <w:sz w:val="16"/>
                <w:szCs w:val="16"/>
                <w:color w:val="auto"/>
              </w:rPr>
              <w:t>16</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12"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color w:val="auto"/>
        </w:rPr>
        <w:t>United Airlines Reports Second-Quarter 2024 Results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UNITED AIRLINES HOLDINGS, INC.</w:t>
      </w:r>
    </w:p>
    <w:p>
      <w:pPr>
        <w:jc w:val="center"/>
        <w:spacing w:after="0" w:line="232" w:lineRule="auto"/>
        <w:rPr>
          <w:sz w:val="20"/>
          <w:szCs w:val="20"/>
          <w:color w:val="auto"/>
        </w:rPr>
      </w:pPr>
      <w:r>
        <w:rPr>
          <w:rFonts w:ascii="Calibri" w:cs="Calibri" w:eastAsia="Calibri" w:hAnsi="Calibri"/>
          <w:sz w:val="16"/>
          <w:szCs w:val="16"/>
          <w:color w:val="auto"/>
        </w:rPr>
        <w:t>NOTES (UNAUDITED)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80" w:type="dxa"/>
            <w:vAlign w:val="bottom"/>
            <w:gridSpan w:val="4"/>
          </w:tcPr>
          <w:p>
            <w:pPr>
              <w:spacing w:after="0"/>
              <w:rPr>
                <w:sz w:val="20"/>
                <w:szCs w:val="20"/>
                <w:color w:val="auto"/>
              </w:rPr>
            </w:pPr>
            <w:r>
              <w:rPr>
                <w:rFonts w:ascii="Calibri" w:cs="Calibri" w:eastAsia="Calibri" w:hAnsi="Calibri"/>
                <w:sz w:val="16"/>
                <w:szCs w:val="16"/>
                <w:b w:val="1"/>
                <w:bCs w:val="1"/>
                <w:color w:val="auto"/>
              </w:rPr>
              <w:t>Special charges and unrealized (gains) losses on investments, net include the following:</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6"/>
          </w:tcPr>
          <w:p>
            <w:pPr>
              <w:ind w:left="20"/>
              <w:spacing w:after="0"/>
              <w:rPr>
                <w:sz w:val="20"/>
                <w:szCs w:val="20"/>
                <w:color w:val="auto"/>
              </w:rPr>
            </w:pPr>
            <w:r>
              <w:rPr>
                <w:rFonts w:ascii="Calibri" w:cs="Calibri" w:eastAsia="Calibri" w:hAnsi="Calibri"/>
                <w:sz w:val="16"/>
                <w:szCs w:val="16"/>
                <w:color w:val="auto"/>
              </w:rPr>
              <w:t>Three Months Ended June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gridSpan w:val="3"/>
          </w:tcPr>
          <w:p>
            <w:pPr>
              <w:jc w:val="right"/>
              <w:ind w:right="59"/>
              <w:spacing w:after="0" w:line="193" w:lineRule="exact"/>
              <w:rPr>
                <w:sz w:val="20"/>
                <w:szCs w:val="20"/>
                <w:color w:val="auto"/>
              </w:rPr>
            </w:pPr>
            <w:r>
              <w:rPr>
                <w:rFonts w:ascii="Calibri" w:cs="Calibri" w:eastAsia="Calibri" w:hAnsi="Calibri"/>
                <w:sz w:val="16"/>
                <w:szCs w:val="16"/>
                <w:color w:val="auto"/>
                <w:w w:val="98"/>
              </w:rPr>
              <w:t>30,</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5"/>
          </w:tcPr>
          <w:p>
            <w:pPr>
              <w:jc w:val="right"/>
              <w:spacing w:after="0" w:line="193" w:lineRule="exact"/>
              <w:rPr>
                <w:sz w:val="20"/>
                <w:szCs w:val="20"/>
                <w:color w:val="auto"/>
              </w:rPr>
            </w:pPr>
            <w:r>
              <w:rPr>
                <w:rFonts w:ascii="Calibri" w:cs="Calibri" w:eastAsia="Calibri" w:hAnsi="Calibri"/>
                <w:sz w:val="16"/>
                <w:szCs w:val="16"/>
                <w:color w:val="auto"/>
              </w:rPr>
              <w:t>Six Months Ended June 30,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60" w:type="dxa"/>
            <w:vAlign w:val="bottom"/>
            <w:gridSpan w:val="3"/>
            <w:vMerge w:val="restart"/>
          </w:tcPr>
          <w:p>
            <w:pPr>
              <w:spacing w:after="0"/>
              <w:rPr>
                <w:sz w:val="20"/>
                <w:szCs w:val="20"/>
                <w:color w:val="auto"/>
              </w:rPr>
            </w:pPr>
            <w:r>
              <w:rPr>
                <w:rFonts w:ascii="Calibri" w:cs="Calibri" w:eastAsia="Calibri" w:hAnsi="Calibri"/>
                <w:sz w:val="16"/>
                <w:szCs w:val="16"/>
                <w:color w:val="auto"/>
              </w:rPr>
              <w:t>(in millions)</w:t>
            </w: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159"/>
              <w:spacing w:after="0" w:line="187" w:lineRule="exact"/>
              <w:rPr>
                <w:sz w:val="20"/>
                <w:szCs w:val="20"/>
                <w:color w:val="auto"/>
              </w:rPr>
            </w:pPr>
            <w:r>
              <w:rPr>
                <w:rFonts w:ascii="Calibri" w:cs="Calibri" w:eastAsia="Calibri" w:hAnsi="Calibri"/>
                <w:sz w:val="16"/>
                <w:szCs w:val="16"/>
                <w:color w:val="auto"/>
              </w:rPr>
              <w:t>2024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19"/>
              <w:spacing w:after="0" w:line="187" w:lineRule="exact"/>
              <w:rPr>
                <w:sz w:val="20"/>
                <w:szCs w:val="20"/>
                <w:color w:val="auto"/>
              </w:rPr>
            </w:pPr>
            <w:r>
              <w:rPr>
                <w:rFonts w:ascii="Calibri" w:cs="Calibri" w:eastAsia="Calibri" w:hAnsi="Calibri"/>
                <w:sz w:val="16"/>
                <w:szCs w:val="16"/>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99"/>
              <w:spacing w:after="0" w:line="187" w:lineRule="exact"/>
              <w:rPr>
                <w:sz w:val="20"/>
                <w:szCs w:val="20"/>
                <w:color w:val="auto"/>
              </w:rPr>
            </w:pPr>
            <w:r>
              <w:rPr>
                <w:rFonts w:ascii="Calibri" w:cs="Calibri" w:eastAsia="Calibri" w:hAnsi="Calibri"/>
                <w:sz w:val="16"/>
                <w:szCs w:val="16"/>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99"/>
              <w:spacing w:after="0" w:line="187" w:lineRule="exact"/>
              <w:rPr>
                <w:sz w:val="20"/>
                <w:szCs w:val="20"/>
                <w:color w:val="auto"/>
              </w:rPr>
            </w:pPr>
            <w:r>
              <w:rPr>
                <w:rFonts w:ascii="Calibri" w:cs="Calibri" w:eastAsia="Calibri" w:hAnsi="Calibri"/>
                <w:sz w:val="16"/>
                <w:szCs w:val="16"/>
                <w:color w:val="auto"/>
              </w:rPr>
              <w:t>2023</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7260" w:type="dxa"/>
            <w:vAlign w:val="bottom"/>
            <w:gridSpan w:val="3"/>
            <w:vMerge w:val="restart"/>
          </w:tcPr>
          <w:p>
            <w:pPr>
              <w:spacing w:after="0" w:line="184" w:lineRule="exact"/>
              <w:rPr>
                <w:sz w:val="20"/>
                <w:szCs w:val="20"/>
                <w:color w:val="auto"/>
              </w:rPr>
            </w:pPr>
            <w:r>
              <w:rPr>
                <w:rFonts w:ascii="Calibri" w:cs="Calibri" w:eastAsia="Calibri" w:hAnsi="Calibri"/>
                <w:sz w:val="16"/>
                <w:szCs w:val="16"/>
                <w:color w:val="auto"/>
              </w:rPr>
              <w:t>Operatng:</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7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260" w:type="dxa"/>
            <w:vAlign w:val="bottom"/>
            <w:tcBorders>
              <w:bottom w:val="single" w:sz="8" w:color="CCEEFF"/>
            </w:tcBorders>
            <w:gridSpan w:val="3"/>
            <w:shd w:val="clear" w:color="auto" w:fill="CCEEFF"/>
          </w:tcPr>
          <w:p>
            <w:pPr>
              <w:spacing w:after="0" w:line="193" w:lineRule="exact"/>
              <w:rPr>
                <w:sz w:val="20"/>
                <w:szCs w:val="20"/>
                <w:color w:val="auto"/>
              </w:rPr>
            </w:pPr>
            <w:r>
              <w:rPr>
                <w:rFonts w:ascii="Calibri" w:cs="Calibri" w:eastAsia="Calibri" w:hAnsi="Calibri"/>
                <w:sz w:val="16"/>
                <w:szCs w:val="16"/>
                <w:color w:val="auto"/>
              </w:rPr>
              <w:t>(Gains) losses on sale of assets and other special charges</w:t>
            </w:r>
          </w:p>
        </w:tc>
        <w:tc>
          <w:tcPr>
            <w:tcW w:w="1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7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36</w:t>
            </w:r>
          </w:p>
        </w:tc>
        <w:tc>
          <w:tcPr>
            <w:tcW w:w="360" w:type="dxa"/>
            <w:vAlign w:val="bottom"/>
            <w:tcBorders>
              <w:bottom w:val="single" w:sz="8" w:color="CCEEFF"/>
            </w:tcBorders>
            <w:gridSpan w:val="3"/>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c>
          <w:tcPr>
            <w:tcW w:w="7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w:t>
            </w:r>
          </w:p>
        </w:tc>
        <w:tc>
          <w:tcPr>
            <w:tcW w:w="7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19"/>
              <w:spacing w:after="0" w:line="193" w:lineRule="exact"/>
              <w:rPr>
                <w:sz w:val="20"/>
                <w:szCs w:val="20"/>
                <w:color w:val="auto"/>
              </w:rPr>
            </w:pPr>
            <w:r>
              <w:rPr>
                <w:rFonts w:ascii="Calibri" w:cs="Calibri" w:eastAsia="Calibri" w:hAnsi="Calibri"/>
                <w:sz w:val="16"/>
                <w:szCs w:val="16"/>
                <w:color w:val="auto"/>
                <w:w w:val="97"/>
              </w:rPr>
              <w:t>$</w:t>
            </w:r>
          </w:p>
        </w:tc>
        <w:tc>
          <w:tcPr>
            <w:tcW w:w="7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60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60" w:type="dxa"/>
            <w:vAlign w:val="bottom"/>
            <w:gridSpan w:val="3"/>
          </w:tcPr>
          <w:p>
            <w:pPr>
              <w:spacing w:after="0" w:line="193" w:lineRule="exact"/>
              <w:rPr>
                <w:sz w:val="20"/>
                <w:szCs w:val="20"/>
                <w:color w:val="auto"/>
              </w:rPr>
            </w:pPr>
            <w:r>
              <w:rPr>
                <w:rFonts w:ascii="Calibri" w:cs="Calibri" w:eastAsia="Calibri" w:hAnsi="Calibri"/>
                <w:sz w:val="16"/>
                <w:szCs w:val="16"/>
                <w:color w:val="auto"/>
              </w:rPr>
              <w:t>Labor contract ratfcaton bonuses</w:t>
            </w:r>
          </w:p>
        </w:tc>
        <w:tc>
          <w:tcPr>
            <w:tcW w:w="100" w:type="dxa"/>
            <w:vAlign w:val="bottom"/>
          </w:tcPr>
          <w:p>
            <w:pPr>
              <w:spacing w:after="0"/>
              <w:rPr>
                <w:sz w:val="16"/>
                <w:szCs w:val="16"/>
                <w:color w:val="auto"/>
              </w:rPr>
            </w:pPr>
          </w:p>
        </w:tc>
        <w:tc>
          <w:tcPr>
            <w:tcW w:w="7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93" w:lineRule="exact"/>
              <w:rPr>
                <w:sz w:val="20"/>
                <w:szCs w:val="20"/>
                <w:color w:val="auto"/>
              </w:rPr>
            </w:pPr>
            <w:r>
              <w:rPr>
                <w:rFonts w:ascii="Calibri" w:cs="Calibri" w:eastAsia="Calibri" w:hAnsi="Calibri"/>
                <w:sz w:val="16"/>
                <w:szCs w:val="16"/>
                <w:color w:val="auto"/>
              </w:rPr>
              <w:t>813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700" w:type="dxa"/>
            <w:vAlign w:val="bottom"/>
          </w:tcPr>
          <w:p>
            <w:pPr>
              <w:jc w:val="right"/>
              <w:spacing w:after="0" w:line="193" w:lineRule="exact"/>
              <w:rPr>
                <w:sz w:val="20"/>
                <w:szCs w:val="20"/>
                <w:color w:val="auto"/>
              </w:rPr>
            </w:pPr>
            <w:r>
              <w:rPr>
                <w:rFonts w:ascii="Calibri" w:cs="Calibri" w:eastAsia="Calibri" w:hAnsi="Calibri"/>
                <w:sz w:val="16"/>
                <w:szCs w:val="16"/>
                <w:color w:val="auto"/>
              </w:rPr>
              <w:t>813</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7260" w:type="dxa"/>
            <w:vAlign w:val="bottom"/>
            <w:tcBorders>
              <w:bottom w:val="single" w:sz="8" w:color="CCEEFF"/>
            </w:tcBorders>
            <w:gridSpan w:val="3"/>
            <w:shd w:val="clear" w:color="auto" w:fill="CCEEFF"/>
          </w:tcPr>
          <w:p>
            <w:pPr>
              <w:ind w:left="180"/>
              <w:spacing w:after="0" w:line="182" w:lineRule="exact"/>
              <w:rPr>
                <w:sz w:val="20"/>
                <w:szCs w:val="20"/>
                <w:color w:val="auto"/>
              </w:rPr>
            </w:pPr>
            <w:r>
              <w:rPr>
                <w:rFonts w:ascii="Calibri" w:cs="Calibri" w:eastAsia="Calibri" w:hAnsi="Calibri"/>
                <w:sz w:val="16"/>
                <w:szCs w:val="16"/>
                <w:color w:val="auto"/>
              </w:rPr>
              <w:t>Total operatng special charges</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36</w:t>
            </w: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859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49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873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60" w:type="dxa"/>
            <w:vAlign w:val="bottom"/>
            <w:gridSpan w:val="3"/>
          </w:tcPr>
          <w:p>
            <w:pPr>
              <w:spacing w:after="0"/>
              <w:rPr>
                <w:sz w:val="20"/>
                <w:szCs w:val="20"/>
                <w:color w:val="auto"/>
              </w:rPr>
            </w:pPr>
            <w:r>
              <w:rPr>
                <w:rFonts w:ascii="Calibri" w:cs="Calibri" w:eastAsia="Calibri" w:hAnsi="Calibri"/>
                <w:sz w:val="16"/>
                <w:szCs w:val="16"/>
                <w:color w:val="auto"/>
              </w:rPr>
              <w:t>Nonoperatng:</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260" w:type="dxa"/>
            <w:vAlign w:val="bottom"/>
            <w:tcBorders>
              <w:bottom w:val="single" w:sz="8" w:color="CCEEFF"/>
            </w:tcBorders>
            <w:gridSpan w:val="3"/>
            <w:shd w:val="clear" w:color="auto" w:fill="CCEEFF"/>
          </w:tcPr>
          <w:p>
            <w:pPr>
              <w:spacing w:after="0" w:line="193" w:lineRule="exact"/>
              <w:rPr>
                <w:sz w:val="20"/>
                <w:szCs w:val="20"/>
                <w:color w:val="auto"/>
              </w:rPr>
            </w:pPr>
            <w:r>
              <w:rPr>
                <w:rFonts w:ascii="Calibri" w:cs="Calibri" w:eastAsia="Calibri" w:hAnsi="Calibri"/>
                <w:sz w:val="16"/>
                <w:szCs w:val="16"/>
                <w:color w:val="auto"/>
              </w:rPr>
              <w:t>Nonoperatng unrealized (gains) losses on investments, net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33</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70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(108)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60" w:type="dxa"/>
            <w:vAlign w:val="bottom"/>
            <w:gridSpan w:val="3"/>
          </w:tcPr>
          <w:p>
            <w:pPr>
              <w:spacing w:after="0" w:line="193" w:lineRule="exact"/>
              <w:rPr>
                <w:sz w:val="20"/>
                <w:szCs w:val="20"/>
                <w:color w:val="auto"/>
              </w:rPr>
            </w:pPr>
            <w:r>
              <w:rPr>
                <w:rFonts w:ascii="Calibri" w:cs="Calibri" w:eastAsia="Calibri" w:hAnsi="Calibri"/>
                <w:sz w:val="16"/>
                <w:szCs w:val="16"/>
                <w:color w:val="auto"/>
              </w:rPr>
              <w:t>Nonoperatng debt extnguishment and modifcaton fees</w:t>
            </w:r>
          </w:p>
        </w:tc>
        <w:tc>
          <w:tcPr>
            <w:tcW w:w="100" w:type="dxa"/>
            <w:vAlign w:val="bottom"/>
          </w:tcPr>
          <w:p>
            <w:pPr>
              <w:spacing w:after="0"/>
              <w:rPr>
                <w:sz w:val="16"/>
                <w:szCs w:val="16"/>
                <w:color w:val="auto"/>
              </w:rPr>
            </w:pPr>
          </w:p>
        </w:tc>
        <w:tc>
          <w:tcPr>
            <w:tcW w:w="7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93" w:lineRule="exact"/>
              <w:rPr>
                <w:sz w:val="20"/>
                <w:szCs w:val="20"/>
                <w:color w:val="auto"/>
              </w:rPr>
            </w:pPr>
            <w:r>
              <w:rPr>
                <w:rFonts w:ascii="Calibri" w:cs="Calibri" w:eastAsia="Calibri" w:hAnsi="Calibri"/>
                <w:sz w:val="16"/>
                <w:szCs w:val="16"/>
                <w:color w:val="auto"/>
              </w:rPr>
              <w:t>11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line="193" w:lineRule="exact"/>
              <w:rPr>
                <w:sz w:val="20"/>
                <w:szCs w:val="20"/>
                <w:color w:val="auto"/>
              </w:rPr>
            </w:pPr>
            <w:r>
              <w:rPr>
                <w:rFonts w:ascii="Calibri" w:cs="Calibri" w:eastAsia="Calibri" w:hAnsi="Calibri"/>
                <w:sz w:val="16"/>
                <w:szCs w:val="16"/>
                <w:color w:val="auto"/>
              </w:rPr>
              <w:t>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line="193" w:lineRule="exact"/>
              <w:rPr>
                <w:sz w:val="20"/>
                <w:szCs w:val="20"/>
                <w:color w:val="auto"/>
              </w:rPr>
            </w:pPr>
            <w:r>
              <w:rPr>
                <w:rFonts w:ascii="Calibri" w:cs="Calibri" w:eastAsia="Calibri" w:hAnsi="Calibri"/>
                <w:sz w:val="16"/>
                <w:szCs w:val="16"/>
                <w:color w:val="auto"/>
              </w:rPr>
              <w:t>11</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260" w:type="dxa"/>
            <w:vAlign w:val="bottom"/>
            <w:tcBorders>
              <w:bottom w:val="single" w:sz="8" w:color="CCEEFF"/>
            </w:tcBorders>
            <w:gridSpan w:val="3"/>
            <w:shd w:val="clear" w:color="auto" w:fill="CCEEFF"/>
          </w:tcPr>
          <w:p>
            <w:pPr>
              <w:ind w:left="180"/>
              <w:spacing w:after="0" w:line="182" w:lineRule="exact"/>
              <w:rPr>
                <w:sz w:val="20"/>
                <w:szCs w:val="20"/>
                <w:color w:val="auto"/>
              </w:rPr>
            </w:pPr>
            <w:r>
              <w:rPr>
                <w:rFonts w:ascii="Calibri" w:cs="Calibri" w:eastAsia="Calibri" w:hAnsi="Calibri"/>
                <w:sz w:val="16"/>
                <w:szCs w:val="16"/>
                <w:color w:val="auto"/>
              </w:rPr>
              <w:t>Total nonoperatng special charges and unrealized (gains) losses on investments, net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33</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(73)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105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(97)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60" w:type="dxa"/>
            <w:vAlign w:val="bottom"/>
            <w:gridSpan w:val="3"/>
          </w:tcPr>
          <w:p>
            <w:pPr>
              <w:spacing w:after="0" w:line="182" w:lineRule="exact"/>
              <w:rPr>
                <w:sz w:val="20"/>
                <w:szCs w:val="20"/>
                <w:color w:val="auto"/>
              </w:rPr>
            </w:pPr>
            <w:r>
              <w:rPr>
                <w:rFonts w:ascii="Calibri" w:cs="Calibri" w:eastAsia="Calibri" w:hAnsi="Calibri"/>
                <w:sz w:val="16"/>
                <w:szCs w:val="16"/>
                <w:color w:val="auto"/>
              </w:rPr>
              <w:t>Total operatng and nonoperatng special charges and unrealized (gains) losses on investments, net</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69</w:t>
            </w:r>
          </w:p>
        </w:tc>
        <w:tc>
          <w:tcPr>
            <w:tcW w:w="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786</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154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776</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7260" w:type="dxa"/>
            <w:vAlign w:val="bottom"/>
            <w:tcBorders>
              <w:bottom w:val="single" w:sz="8" w:color="CCEEFF"/>
            </w:tcBorders>
            <w:gridSpan w:val="3"/>
            <w:shd w:val="clear" w:color="auto" w:fill="CCEEFF"/>
          </w:tcPr>
          <w:p>
            <w:pPr>
              <w:spacing w:after="0" w:line="193" w:lineRule="exact"/>
              <w:rPr>
                <w:sz w:val="20"/>
                <w:szCs w:val="20"/>
                <w:color w:val="auto"/>
              </w:rPr>
            </w:pPr>
            <w:r>
              <w:rPr>
                <w:rFonts w:ascii="Calibri" w:cs="Calibri" w:eastAsia="Calibri" w:hAnsi="Calibri"/>
                <w:sz w:val="16"/>
                <w:szCs w:val="16"/>
                <w:color w:val="auto"/>
              </w:rPr>
              <w:t>Income tax beneft, net of valuaton allowance</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(8)</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line="193" w:lineRule="exact"/>
              <w:rPr>
                <w:sz w:val="20"/>
                <w:szCs w:val="20"/>
                <w:color w:val="auto"/>
              </w:rPr>
            </w:pPr>
            <w:r>
              <w:rPr>
                <w:rFonts w:ascii="Calibri" w:cs="Calibri" w:eastAsia="Calibri" w:hAnsi="Calibri"/>
                <w:sz w:val="16"/>
                <w:szCs w:val="16"/>
                <w:color w:val="auto"/>
              </w:rPr>
              <w:t>(197)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260" w:type="dxa"/>
            <w:vAlign w:val="bottom"/>
            <w:gridSpan w:val="3"/>
          </w:tcPr>
          <w:p>
            <w:pPr>
              <w:ind w:left="160"/>
              <w:spacing w:after="0" w:line="137" w:lineRule="exact"/>
              <w:rPr>
                <w:sz w:val="20"/>
                <w:szCs w:val="20"/>
                <w:color w:val="auto"/>
              </w:rPr>
            </w:pPr>
            <w:r>
              <w:rPr>
                <w:rFonts w:ascii="Calibri" w:cs="Calibri" w:eastAsia="Calibri" w:hAnsi="Calibri"/>
                <w:sz w:val="14"/>
                <w:szCs w:val="14"/>
                <w:color w:val="auto"/>
              </w:rPr>
              <w:t>Total operatng and non-operatng special charges and unrealized (gains) losses on investments, net of</w:t>
            </w:r>
          </w:p>
        </w:tc>
        <w:tc>
          <w:tcPr>
            <w:tcW w:w="10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6"/>
                <w:szCs w:val="16"/>
                <w:color w:val="auto"/>
                <w:w w:val="97"/>
              </w:rPr>
              <w:t>$</w:t>
            </w:r>
          </w:p>
        </w:tc>
        <w:tc>
          <w:tcPr>
            <w:tcW w:w="76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6"/>
                <w:szCs w:val="16"/>
                <w:color w:val="auto"/>
              </w:rPr>
              <w:t>61</w:t>
            </w:r>
          </w:p>
        </w:tc>
        <w:tc>
          <w:tcPr>
            <w:tcW w:w="40" w:type="dxa"/>
            <w:vAlign w:val="bottom"/>
            <w:tcBorders>
              <w:top w:val="single" w:sz="8" w:color="auto"/>
            </w:tcBorders>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18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6"/>
                <w:szCs w:val="16"/>
                <w:color w:val="auto"/>
                <w:w w:val="97"/>
              </w:rPr>
              <w:t>$</w:t>
            </w:r>
          </w:p>
        </w:tc>
        <w:tc>
          <w:tcPr>
            <w:tcW w:w="72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6"/>
                <w:szCs w:val="16"/>
                <w:color w:val="auto"/>
              </w:rPr>
              <w:t>592</w:t>
            </w:r>
          </w:p>
        </w:tc>
        <w:tc>
          <w:tcPr>
            <w:tcW w:w="120" w:type="dxa"/>
            <w:vAlign w:val="bottom"/>
          </w:tcPr>
          <w:p>
            <w:pPr>
              <w:spacing w:after="0"/>
              <w:rPr>
                <w:sz w:val="11"/>
                <w:szCs w:val="11"/>
                <w:color w:val="auto"/>
              </w:rPr>
            </w:pPr>
          </w:p>
        </w:tc>
        <w:tc>
          <w:tcPr>
            <w:tcW w:w="20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6"/>
                <w:szCs w:val="16"/>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6"/>
                <w:szCs w:val="16"/>
                <w:color w:val="auto"/>
              </w:rPr>
              <w:t>135</w:t>
            </w:r>
          </w:p>
        </w:tc>
        <w:tc>
          <w:tcPr>
            <w:tcW w:w="10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Calibri" w:cs="Calibri" w:eastAsia="Calibri" w:hAnsi="Calibri"/>
                <w:sz w:val="16"/>
                <w:szCs w:val="16"/>
                <w:color w:val="auto"/>
                <w:w w:val="97"/>
              </w:rPr>
              <w:t>$</w:t>
            </w:r>
          </w:p>
        </w:tc>
        <w:tc>
          <w:tcPr>
            <w:tcW w:w="700" w:type="dxa"/>
            <w:vAlign w:val="bottom"/>
            <w:tcBorders>
              <w:top w:val="single" w:sz="8" w:color="auto"/>
            </w:tcBorders>
            <w:vMerge w:val="restart"/>
          </w:tcPr>
          <w:p>
            <w:pPr>
              <w:jc w:val="right"/>
              <w:spacing w:after="0"/>
              <w:rPr>
                <w:sz w:val="20"/>
                <w:szCs w:val="20"/>
                <w:color w:val="auto"/>
              </w:rPr>
            </w:pPr>
            <w:r>
              <w:rPr>
                <w:rFonts w:ascii="Calibri" w:cs="Calibri" w:eastAsia="Calibri" w:hAnsi="Calibri"/>
                <w:sz w:val="16"/>
                <w:szCs w:val="16"/>
                <w:color w:val="auto"/>
              </w:rPr>
              <w:t>579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6"/>
                <w:szCs w:val="16"/>
                <w:color w:val="auto"/>
              </w:rPr>
            </w:pPr>
          </w:p>
        </w:tc>
        <w:tc>
          <w:tcPr>
            <w:tcW w:w="7260" w:type="dxa"/>
            <w:vAlign w:val="bottom"/>
            <w:gridSpan w:val="3"/>
          </w:tcPr>
          <w:p>
            <w:pPr>
              <w:spacing w:after="0" w:line="193" w:lineRule="exact"/>
              <w:rPr>
                <w:sz w:val="20"/>
                <w:szCs w:val="20"/>
                <w:color w:val="auto"/>
              </w:rPr>
            </w:pPr>
            <w:r>
              <w:rPr>
                <w:rFonts w:ascii="Calibri" w:cs="Calibri" w:eastAsia="Calibri" w:hAnsi="Calibri"/>
                <w:sz w:val="16"/>
                <w:szCs w:val="16"/>
                <w:color w:val="auto"/>
              </w:rPr>
              <w:t>income taxes</w:t>
            </w:r>
          </w:p>
        </w:tc>
        <w:tc>
          <w:tcPr>
            <w:tcW w:w="1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80"/>
        <w:spacing w:after="0" w:line="229" w:lineRule="auto"/>
        <w:rPr>
          <w:sz w:val="20"/>
          <w:szCs w:val="20"/>
          <w:color w:val="auto"/>
        </w:rPr>
      </w:pPr>
      <w:r>
        <w:rPr>
          <w:rFonts w:ascii="Calibri" w:cs="Calibri" w:eastAsia="Calibri" w:hAnsi="Calibri"/>
          <w:sz w:val="16"/>
          <w:szCs w:val="16"/>
          <w:u w:val="single" w:color="auto"/>
          <w:color w:val="auto"/>
        </w:rPr>
        <w:t>(Gains) losses on sale of assets and other special charges</w:t>
      </w:r>
      <w:r>
        <w:rPr>
          <w:rFonts w:ascii="Calibri" w:cs="Calibri" w:eastAsia="Calibri" w:hAnsi="Calibri"/>
          <w:sz w:val="16"/>
          <w:szCs w:val="16"/>
          <w:color w:val="auto"/>
        </w:rPr>
        <w:t>: During the three and six months ended June 30, 2024, the company incurred $36 million and $49 million, respectvely, of charges primarily consistng of a write down to fair market value for assets held for sale, losses on the disposal of assets, a setlement related to a certain pilot long term disability plan, accelerated depreciaton on assets with shortened lives and write-of of certain internatonal slots no longer in use, which were partally ofset by a gain from a favorable outcome related to a certain contract dispute as well as gains on sales of assets.</w:t>
      </w:r>
    </w:p>
    <w:p>
      <w:pPr>
        <w:spacing w:after="0" w:line="146" w:lineRule="exact"/>
        <w:rPr>
          <w:sz w:val="20"/>
          <w:szCs w:val="20"/>
          <w:color w:val="auto"/>
        </w:rPr>
      </w:pPr>
    </w:p>
    <w:p>
      <w:pPr>
        <w:ind w:right="140"/>
        <w:spacing w:after="0" w:line="226" w:lineRule="auto"/>
        <w:rPr>
          <w:sz w:val="20"/>
          <w:szCs w:val="20"/>
          <w:color w:val="auto"/>
        </w:rPr>
      </w:pPr>
      <w:r>
        <w:rPr>
          <w:rFonts w:ascii="Calibri" w:cs="Calibri" w:eastAsia="Calibri" w:hAnsi="Calibri"/>
          <w:sz w:val="16"/>
          <w:szCs w:val="16"/>
          <w:color w:val="auto"/>
        </w:rPr>
        <w:t>During the three and six months ended June 30, 2023, the company recorded $46 million and $60 million, respectvely, of net charges primarily comprised of reserves for various legal maters, accelerated depreciaton related to certain of the company's assets that were retred early and other gains and losses on the sale of assets.</w:t>
      </w:r>
    </w:p>
    <w:p>
      <w:pPr>
        <w:spacing w:after="0" w:line="159" w:lineRule="exact"/>
        <w:rPr>
          <w:sz w:val="20"/>
          <w:szCs w:val="20"/>
          <w:color w:val="auto"/>
        </w:rPr>
      </w:pPr>
    </w:p>
    <w:p>
      <w:pPr>
        <w:ind w:right="100"/>
        <w:spacing w:after="0" w:line="228" w:lineRule="auto"/>
        <w:rPr>
          <w:sz w:val="20"/>
          <w:szCs w:val="20"/>
          <w:color w:val="auto"/>
        </w:rPr>
      </w:pPr>
      <w:r>
        <w:rPr>
          <w:rFonts w:ascii="Calibri" w:cs="Calibri" w:eastAsia="Calibri" w:hAnsi="Calibri"/>
          <w:sz w:val="16"/>
          <w:szCs w:val="16"/>
          <w:u w:val="single" w:color="auto"/>
          <w:color w:val="auto"/>
        </w:rPr>
        <w:t>Labor contract ratfcaton bonuses</w:t>
      </w:r>
      <w:r>
        <w:rPr>
          <w:rFonts w:ascii="Calibri" w:cs="Calibri" w:eastAsia="Calibri" w:hAnsi="Calibri"/>
          <w:sz w:val="16"/>
          <w:szCs w:val="16"/>
          <w:color w:val="auto"/>
        </w:rPr>
        <w:t>. During the three and six months ended June 30, 2023, the company recorded $813 million of expense associated with the then completed Agreement in Principle with its employees represented by the Air Line Pilots Associaton and ratfed contracts with the Internatonal Associaton of Machinists &amp; Aerospace Workers.</w:t>
      </w:r>
    </w:p>
    <w:p>
      <w:pPr>
        <w:spacing w:after="0" w:line="90" w:lineRule="exact"/>
        <w:rPr>
          <w:sz w:val="20"/>
          <w:szCs w:val="20"/>
          <w:color w:val="auto"/>
        </w:rPr>
      </w:pPr>
    </w:p>
    <w:p>
      <w:pPr>
        <w:spacing w:after="0"/>
        <w:rPr>
          <w:sz w:val="20"/>
          <w:szCs w:val="20"/>
          <w:color w:val="auto"/>
        </w:rPr>
      </w:pPr>
      <w:r>
        <w:rPr>
          <w:rFonts w:ascii="Calibri" w:cs="Calibri" w:eastAsia="Calibri" w:hAnsi="Calibri"/>
          <w:sz w:val="16"/>
          <w:szCs w:val="16"/>
          <w:u w:val="single" w:color="auto"/>
          <w:color w:val="auto"/>
        </w:rPr>
        <w:t>Nonoperatng unrealized (gains) losses on investments, net:</w:t>
      </w:r>
      <w:r>
        <w:rPr>
          <w:rFonts w:ascii="Calibri" w:cs="Calibri" w:eastAsia="Calibri" w:hAnsi="Calibri"/>
          <w:sz w:val="16"/>
          <w:szCs w:val="16"/>
          <w:color w:val="auto"/>
        </w:rPr>
        <w:t xml:space="preserve"> All amounts represent changes to the market value of equity investments.</w:t>
      </w:r>
    </w:p>
    <w:p>
      <w:pPr>
        <w:spacing w:after="0" w:line="158" w:lineRule="exact"/>
        <w:rPr>
          <w:sz w:val="20"/>
          <w:szCs w:val="20"/>
          <w:color w:val="auto"/>
        </w:rPr>
      </w:pPr>
    </w:p>
    <w:p>
      <w:pPr>
        <w:ind w:right="200"/>
        <w:spacing w:after="0" w:line="246" w:lineRule="auto"/>
        <w:rPr>
          <w:sz w:val="20"/>
          <w:szCs w:val="20"/>
          <w:color w:val="auto"/>
        </w:rPr>
      </w:pPr>
      <w:r>
        <w:rPr>
          <w:rFonts w:ascii="Calibri" w:cs="Calibri" w:eastAsia="Calibri" w:hAnsi="Calibri"/>
          <w:sz w:val="16"/>
          <w:szCs w:val="16"/>
          <w:u w:val="single" w:color="auto"/>
          <w:color w:val="auto"/>
        </w:rPr>
        <w:t>Nonoperatng debt extnguishment and modifcaton fees</w:t>
      </w:r>
      <w:r>
        <w:rPr>
          <w:rFonts w:ascii="Calibri" w:cs="Calibri" w:eastAsia="Calibri" w:hAnsi="Calibri"/>
          <w:sz w:val="16"/>
          <w:szCs w:val="16"/>
          <w:i w:val="1"/>
          <w:iCs w:val="1"/>
          <w:color w:val="auto"/>
        </w:rPr>
        <w:t>:</w:t>
      </w:r>
      <w:r>
        <w:rPr>
          <w:rFonts w:ascii="Calibri" w:cs="Calibri" w:eastAsia="Calibri" w:hAnsi="Calibri"/>
          <w:sz w:val="16"/>
          <w:szCs w:val="16"/>
          <w:color w:val="auto"/>
        </w:rPr>
        <w:t xml:space="preserve"> During the six months ended June 30, 2024, the company recorded $35 million of charges primarily related to the refnancing of its 2021 term loans.</w:t>
      </w:r>
    </w:p>
    <w:p>
      <w:pPr>
        <w:spacing w:after="0" w:line="153" w:lineRule="exact"/>
        <w:rPr>
          <w:sz w:val="20"/>
          <w:szCs w:val="20"/>
          <w:color w:val="auto"/>
        </w:rPr>
      </w:pPr>
    </w:p>
    <w:p>
      <w:pPr>
        <w:ind w:right="80"/>
        <w:spacing w:after="0" w:line="235" w:lineRule="auto"/>
        <w:rPr>
          <w:sz w:val="20"/>
          <w:szCs w:val="20"/>
          <w:color w:val="auto"/>
        </w:rPr>
      </w:pPr>
      <w:r>
        <w:rPr>
          <w:rFonts w:ascii="Calibri" w:cs="Calibri" w:eastAsia="Calibri" w:hAnsi="Calibri"/>
          <w:sz w:val="16"/>
          <w:szCs w:val="16"/>
          <w:color w:val="auto"/>
        </w:rPr>
        <w:t>During the three and six months ended June 30, 2023, the company recorded $11 million of charges primarily related to the prepayment of $1.0 billion of the outstanding principal amount under a 2021 term loan facility.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gridSpan w:val="2"/>
          </w:tcPr>
          <w:p>
            <w:pPr>
              <w:spacing w:after="0"/>
              <w:rPr>
                <w:sz w:val="20"/>
                <w:szCs w:val="20"/>
                <w:color w:val="auto"/>
              </w:rPr>
            </w:pPr>
            <w:r>
              <w:rPr>
                <w:rFonts w:ascii="Calibri" w:cs="Calibri" w:eastAsia="Calibri" w:hAnsi="Calibri"/>
                <w:sz w:val="16"/>
                <w:szCs w:val="16"/>
                <w:b w:val="1"/>
                <w:bCs w:val="1"/>
                <w:color w:val="auto"/>
              </w:rPr>
              <w:t>Efectve tax rate: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84"/>
        </w:trPr>
        <w:tc>
          <w:tcPr>
            <w:tcW w:w="6120" w:type="dxa"/>
            <w:vAlign w:val="bottom"/>
            <w:gridSpan w:val="2"/>
          </w:tcPr>
          <w:p>
            <w:pPr>
              <w:spacing w:after="0"/>
              <w:rPr>
                <w:sz w:val="20"/>
                <w:szCs w:val="20"/>
                <w:color w:val="auto"/>
              </w:rPr>
            </w:pPr>
            <w:r>
              <w:rPr>
                <w:rFonts w:ascii="Calibri" w:cs="Calibri" w:eastAsia="Calibri" w:hAnsi="Calibri"/>
                <w:sz w:val="16"/>
                <w:szCs w:val="16"/>
                <w:color w:val="auto"/>
              </w:rPr>
              <w:t>The company's efectve tax rates were as follows: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9"/>
        </w:trPr>
        <w:tc>
          <w:tcPr>
            <w:tcW w:w="5160" w:type="dxa"/>
            <w:vAlign w:val="bottom"/>
          </w:tcPr>
          <w:p>
            <w:pPr>
              <w:spacing w:after="0"/>
              <w:rPr>
                <w:sz w:val="19"/>
                <w:szCs w:val="19"/>
                <w:color w:val="auto"/>
              </w:rPr>
            </w:pPr>
          </w:p>
        </w:tc>
        <w:tc>
          <w:tcPr>
            <w:tcW w:w="2460" w:type="dxa"/>
            <w:vAlign w:val="bottom"/>
            <w:gridSpan w:val="4"/>
          </w:tcPr>
          <w:p>
            <w:pPr>
              <w:jc w:val="right"/>
              <w:ind w:right="20"/>
              <w:spacing w:after="0"/>
              <w:rPr>
                <w:sz w:val="20"/>
                <w:szCs w:val="20"/>
                <w:color w:val="auto"/>
              </w:rPr>
            </w:pPr>
            <w:r>
              <w:rPr>
                <w:rFonts w:ascii="Calibri" w:cs="Calibri" w:eastAsia="Calibri" w:hAnsi="Calibri"/>
                <w:sz w:val="16"/>
                <w:szCs w:val="16"/>
                <w:color w:val="auto"/>
              </w:rPr>
              <w:t>Three Months Ended June 30,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3"/>
          </w:tcPr>
          <w:p>
            <w:pPr>
              <w:jc w:val="right"/>
              <w:ind w:right="519"/>
              <w:spacing w:after="0"/>
              <w:rPr>
                <w:sz w:val="20"/>
                <w:szCs w:val="20"/>
                <w:color w:val="auto"/>
              </w:rPr>
            </w:pPr>
            <w:r>
              <w:rPr>
                <w:rFonts w:ascii="Calibri" w:cs="Calibri" w:eastAsia="Calibri" w:hAnsi="Calibri"/>
                <w:sz w:val="16"/>
                <w:szCs w:val="16"/>
                <w:color w:val="auto"/>
              </w:rPr>
              <w:t>Six Months Ended June 30,</w:t>
            </w:r>
          </w:p>
        </w:tc>
      </w:tr>
      <w:tr>
        <w:trPr>
          <w:trHeight w:val="28"/>
        </w:trPr>
        <w:tc>
          <w:tcPr>
            <w:tcW w:w="6120" w:type="dxa"/>
            <w:vAlign w:val="bottom"/>
            <w:gridSpan w:val="2"/>
          </w:tcPr>
          <w:p>
            <w:pPr>
              <w:spacing w:after="0"/>
              <w:rPr>
                <w:sz w:val="2"/>
                <w:szCs w:val="2"/>
                <w:color w:val="auto"/>
              </w:rPr>
            </w:pPr>
          </w:p>
        </w:tc>
        <w:tc>
          <w:tcPr>
            <w:tcW w:w="150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7"/>
        </w:trPr>
        <w:tc>
          <w:tcPr>
            <w:tcW w:w="5160" w:type="dxa"/>
            <w:vAlign w:val="bottom"/>
          </w:tcPr>
          <w:p>
            <w:pPr>
              <w:spacing w:after="0"/>
              <w:rPr>
                <w:sz w:val="16"/>
                <w:szCs w:val="16"/>
                <w:color w:val="auto"/>
              </w:rPr>
            </w:pPr>
          </w:p>
        </w:tc>
        <w:tc>
          <w:tcPr>
            <w:tcW w:w="9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2024</w:t>
            </w:r>
          </w:p>
        </w:tc>
        <w:tc>
          <w:tcPr>
            <w:tcW w:w="1500" w:type="dxa"/>
            <w:vAlign w:val="bottom"/>
            <w:tcBorders>
              <w:top w:val="single" w:sz="8" w:color="auto"/>
            </w:tcBorders>
            <w:gridSpan w:val="3"/>
          </w:tcPr>
          <w:p>
            <w:pPr>
              <w:jc w:val="right"/>
              <w:ind w:right="40"/>
              <w:spacing w:after="0" w:line="187" w:lineRule="exact"/>
              <w:rPr>
                <w:sz w:val="20"/>
                <w:szCs w:val="20"/>
                <w:color w:val="auto"/>
              </w:rPr>
            </w:pPr>
            <w:r>
              <w:rPr>
                <w:rFonts w:ascii="Calibri" w:cs="Calibri" w:eastAsia="Calibri" w:hAnsi="Calibri"/>
                <w:sz w:val="16"/>
                <w:szCs w:val="16"/>
                <w:color w:val="auto"/>
              </w:rPr>
              <w:t>2023</w:t>
            </w:r>
          </w:p>
        </w:tc>
        <w:tc>
          <w:tcPr>
            <w:tcW w:w="4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Borders>
              <w:top w:val="single" w:sz="8" w:color="auto"/>
            </w:tcBorders>
          </w:tcPr>
          <w:p>
            <w:pPr>
              <w:jc w:val="right"/>
              <w:ind w:right="479"/>
              <w:spacing w:after="0" w:line="187" w:lineRule="exact"/>
              <w:rPr>
                <w:sz w:val="20"/>
                <w:szCs w:val="20"/>
                <w:color w:val="auto"/>
              </w:rPr>
            </w:pPr>
            <w:r>
              <w:rPr>
                <w:rFonts w:ascii="Calibri" w:cs="Calibri" w:eastAsia="Calibri" w:hAnsi="Calibri"/>
                <w:sz w:val="16"/>
                <w:szCs w:val="16"/>
                <w:color w:val="auto"/>
              </w:rPr>
              <w:t>2024</w:t>
            </w: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459"/>
              <w:spacing w:after="0" w:line="187" w:lineRule="exact"/>
              <w:rPr>
                <w:sz w:val="20"/>
                <w:szCs w:val="20"/>
                <w:color w:val="auto"/>
              </w:rPr>
            </w:pPr>
            <w:r>
              <w:rPr>
                <w:rFonts w:ascii="Calibri" w:cs="Calibri" w:eastAsia="Calibri" w:hAnsi="Calibri"/>
                <w:sz w:val="16"/>
                <w:szCs w:val="16"/>
                <w:color w:val="auto"/>
              </w:rPr>
              <w:t>2023</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7"/>
        </w:trPr>
        <w:tc>
          <w:tcPr>
            <w:tcW w:w="5160" w:type="dxa"/>
            <w:vAlign w:val="bottom"/>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Efectve tax rate</w:t>
            </w: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23.9 %</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22.5 %</w:t>
            </w: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23.9 %</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7" w:lineRule="exact"/>
              <w:rPr>
                <w:sz w:val="20"/>
                <w:szCs w:val="20"/>
                <w:color w:val="auto"/>
              </w:rPr>
            </w:pPr>
            <w:r>
              <w:rPr>
                <w:rFonts w:ascii="Calibri" w:cs="Calibri" w:eastAsia="Calibri" w:hAnsi="Calibri"/>
                <w:sz w:val="16"/>
                <w:szCs w:val="16"/>
                <w:color w:val="auto"/>
              </w:rPr>
              <w:t>22.1 %</w:t>
            </w:r>
          </w:p>
        </w:tc>
      </w:tr>
      <w:tr>
        <w:trPr>
          <w:trHeight w:val="23"/>
        </w:trPr>
        <w:tc>
          <w:tcPr>
            <w:tcW w:w="5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r>
    </w:tbl>
    <w:p>
      <w:pPr>
        <w:spacing w:after="0" w:line="238" w:lineRule="exact"/>
        <w:rPr>
          <w:sz w:val="20"/>
          <w:szCs w:val="20"/>
          <w:color w:val="auto"/>
        </w:rPr>
      </w:pPr>
    </w:p>
    <w:p>
      <w:pPr>
        <w:ind w:right="140"/>
        <w:spacing w:after="0" w:line="235" w:lineRule="auto"/>
        <w:rPr>
          <w:sz w:val="20"/>
          <w:szCs w:val="20"/>
          <w:color w:val="auto"/>
        </w:rPr>
      </w:pPr>
      <w:r>
        <w:rPr>
          <w:rFonts w:ascii="Calibri" w:cs="Calibri" w:eastAsia="Calibri" w:hAnsi="Calibri"/>
          <w:sz w:val="16"/>
          <w:szCs w:val="16"/>
          <w:color w:val="auto"/>
        </w:rPr>
        <w:t>The provision for income taxes is based on the estmated annual efectve tax rate, which represents a blend of federal, state and foreign taxes and includes the impact of certain nondeductble items.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17</w:t>
      </w:r>
    </w:p>
    <w:p>
      <w:pPr>
        <w:sectPr>
          <w:pgSz w:w="11900" w:h="16838" w:orient="portrait"/>
          <w:cols w:equalWidth="0" w:num="1">
            <w:col w:w="11240"/>
          </w:cols>
          <w:pgMar w:left="320" w:top="112"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1748790" cy="720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879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9560" w:val="left"/>
        </w:tabs>
        <w:rPr>
          <w:sz w:val="20"/>
          <w:szCs w:val="20"/>
          <w:color w:val="auto"/>
        </w:rPr>
      </w:pPr>
      <w:r>
        <w:rPr>
          <w:rFonts w:ascii="Calibri" w:cs="Calibri" w:eastAsia="Calibri" w:hAnsi="Calibri"/>
          <w:sz w:val="16"/>
          <w:szCs w:val="16"/>
          <w:b w:val="1"/>
          <w:bCs w:val="1"/>
          <w:color w:val="auto"/>
        </w:rPr>
        <w:t>Investor Update</w:t>
      </w:r>
      <w:r>
        <w:rPr>
          <w:rFonts w:ascii="Calibri" w:cs="Calibri" w:eastAsia="Calibri" w:hAnsi="Calibri"/>
          <w:sz w:val="21"/>
          <w:szCs w:val="21"/>
          <w:b w:val="1"/>
          <w:bCs w:val="1"/>
          <w:color w:val="auto"/>
          <w:vertAlign w:val="superscript"/>
        </w:rPr>
        <w:t>1</w:t>
      </w:r>
      <w:r>
        <w:rPr>
          <w:sz w:val="20"/>
          <w:szCs w:val="20"/>
          <w:color w:val="auto"/>
        </w:rPr>
        <w:tab/>
      </w:r>
      <w:r>
        <w:rPr>
          <w:rFonts w:ascii="Calibri" w:cs="Calibri" w:eastAsia="Calibri" w:hAnsi="Calibri"/>
          <w:sz w:val="16"/>
          <w:szCs w:val="16"/>
          <w:b w:val="1"/>
          <w:bCs w:val="1"/>
          <w:color w:val="auto"/>
        </w:rPr>
        <w:t>Issue Date: July 17, 2024</w:t>
      </w:r>
    </w:p>
    <w:p>
      <w:pPr>
        <w:spacing w:after="0" w:line="229" w:lineRule="exact"/>
        <w:rPr>
          <w:sz w:val="20"/>
          <w:szCs w:val="20"/>
          <w:color w:val="auto"/>
        </w:rPr>
      </w:pPr>
    </w:p>
    <w:p>
      <w:pPr>
        <w:ind w:right="220"/>
        <w:spacing w:after="0" w:line="246" w:lineRule="auto"/>
        <w:rPr>
          <w:sz w:val="20"/>
          <w:szCs w:val="20"/>
          <w:color w:val="auto"/>
        </w:rPr>
      </w:pPr>
      <w:r>
        <w:rPr>
          <w:rFonts w:ascii="Calibri" w:cs="Calibri" w:eastAsia="Calibri" w:hAnsi="Calibri"/>
          <w:sz w:val="16"/>
          <w:szCs w:val="16"/>
          <w:color w:val="auto"/>
        </w:rPr>
        <w:t>This Investor Update provides guidance and certain other forward-looking statements about United Airlines Holdings, Inc. (the "Company" or "UAL"). The informaton in this Investor Update contains the preliminary fnancial and operatonal outlook for the Company for third-quarter and full-year 2024, among other items.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80" w:type="dxa"/>
            <w:vAlign w:val="bottom"/>
          </w:tcPr>
          <w:p>
            <w:pPr>
              <w:spacing w:after="0"/>
              <w:rPr>
                <w:sz w:val="16"/>
                <w:szCs w:val="16"/>
                <w:color w:val="auto"/>
              </w:rPr>
            </w:pPr>
          </w:p>
        </w:tc>
        <w:tc>
          <w:tcPr>
            <w:tcW w:w="3820" w:type="dxa"/>
            <w:vAlign w:val="bottom"/>
            <w:gridSpan w:val="2"/>
          </w:tcPr>
          <w:p>
            <w:pPr>
              <w:ind w:left="1460"/>
              <w:spacing w:after="0"/>
              <w:rPr>
                <w:sz w:val="20"/>
                <w:szCs w:val="20"/>
                <w:color w:val="auto"/>
              </w:rPr>
            </w:pPr>
            <w:r>
              <w:rPr>
                <w:rFonts w:ascii="Calibri" w:cs="Calibri" w:eastAsia="Calibri" w:hAnsi="Calibri"/>
                <w:sz w:val="16"/>
                <w:szCs w:val="16"/>
                <w:b w:val="1"/>
                <w:bCs w:val="1"/>
                <w:color w:val="auto"/>
              </w:rPr>
              <w:t>Estmated</w:t>
            </w:r>
          </w:p>
        </w:tc>
        <w:tc>
          <w:tcPr>
            <w:tcW w:w="3600" w:type="dxa"/>
            <w:vAlign w:val="bottom"/>
          </w:tcPr>
          <w:p>
            <w:pPr>
              <w:jc w:val="center"/>
              <w:spacing w:after="0"/>
              <w:rPr>
                <w:sz w:val="20"/>
                <w:szCs w:val="20"/>
                <w:color w:val="auto"/>
              </w:rPr>
            </w:pPr>
            <w:r>
              <w:rPr>
                <w:rFonts w:ascii="Calibri" w:cs="Calibri" w:eastAsia="Calibri" w:hAnsi="Calibri"/>
                <w:sz w:val="16"/>
                <w:szCs w:val="16"/>
                <w:b w:val="1"/>
                <w:bCs w:val="1"/>
                <w:color w:val="auto"/>
              </w:rPr>
              <w:t>Estmated</w:t>
            </w:r>
          </w:p>
        </w:tc>
        <w:tc>
          <w:tcPr>
            <w:tcW w:w="0" w:type="dxa"/>
            <w:vAlign w:val="bottom"/>
          </w:tcPr>
          <w:p>
            <w:pPr>
              <w:spacing w:after="0"/>
              <w:rPr>
                <w:sz w:val="1"/>
                <w:szCs w:val="1"/>
                <w:color w:val="auto"/>
              </w:rPr>
            </w:pPr>
          </w:p>
        </w:tc>
      </w:tr>
      <w:tr>
        <w:trPr>
          <w:trHeight w:val="193"/>
        </w:trPr>
        <w:tc>
          <w:tcPr>
            <w:tcW w:w="3580" w:type="dxa"/>
            <w:vAlign w:val="bottom"/>
          </w:tcPr>
          <w:p>
            <w:pPr>
              <w:spacing w:after="0"/>
              <w:rPr>
                <w:sz w:val="16"/>
                <w:szCs w:val="16"/>
                <w:color w:val="auto"/>
              </w:rPr>
            </w:pPr>
          </w:p>
        </w:tc>
        <w:tc>
          <w:tcPr>
            <w:tcW w:w="3820" w:type="dxa"/>
            <w:vAlign w:val="bottom"/>
            <w:gridSpan w:val="2"/>
          </w:tcPr>
          <w:p>
            <w:pPr>
              <w:jc w:val="center"/>
              <w:ind w:right="220"/>
              <w:spacing w:after="0" w:line="193" w:lineRule="exact"/>
              <w:rPr>
                <w:sz w:val="20"/>
                <w:szCs w:val="20"/>
                <w:color w:val="auto"/>
              </w:rPr>
            </w:pPr>
            <w:r>
              <w:rPr>
                <w:rFonts w:ascii="Calibri" w:cs="Calibri" w:eastAsia="Calibri" w:hAnsi="Calibri"/>
                <w:sz w:val="16"/>
                <w:szCs w:val="16"/>
                <w:b w:val="1"/>
                <w:bCs w:val="1"/>
                <w:color w:val="auto"/>
              </w:rPr>
              <w:t>3Q 2024</w:t>
            </w:r>
          </w:p>
        </w:tc>
        <w:tc>
          <w:tcPr>
            <w:tcW w:w="360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FY 2024</w:t>
            </w:r>
          </w:p>
        </w:tc>
        <w:tc>
          <w:tcPr>
            <w:tcW w:w="0" w:type="dxa"/>
            <w:vAlign w:val="bottom"/>
          </w:tcPr>
          <w:p>
            <w:pPr>
              <w:spacing w:after="0"/>
              <w:rPr>
                <w:sz w:val="1"/>
                <w:szCs w:val="1"/>
                <w:color w:val="auto"/>
              </w:rPr>
            </w:pPr>
          </w:p>
        </w:tc>
      </w:tr>
      <w:tr>
        <w:trPr>
          <w:trHeight w:val="28"/>
        </w:trPr>
        <w:tc>
          <w:tcPr>
            <w:tcW w:w="358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40"/>
              <w:spacing w:after="0" w:line="210" w:lineRule="exact"/>
              <w:rPr>
                <w:sz w:val="20"/>
                <w:szCs w:val="20"/>
                <w:color w:val="auto"/>
              </w:rPr>
            </w:pPr>
            <w:r>
              <w:rPr>
                <w:rFonts w:ascii="Calibri" w:cs="Calibri" w:eastAsia="Calibri" w:hAnsi="Calibri"/>
                <w:sz w:val="16"/>
                <w:szCs w:val="16"/>
                <w:color w:val="auto"/>
              </w:rPr>
              <w:t>Adjusted diluted earnings per share</w:t>
            </w:r>
            <w:r>
              <w:rPr>
                <w:rFonts w:ascii="Calibri" w:cs="Calibri" w:eastAsia="Calibri" w:hAnsi="Calibri"/>
                <w:sz w:val="21"/>
                <w:szCs w:val="21"/>
                <w:color w:val="auto"/>
                <w:vertAlign w:val="superscript"/>
              </w:rPr>
              <w:t>2</w:t>
            </w:r>
          </w:p>
        </w:tc>
        <w:tc>
          <w:tcPr>
            <w:tcW w:w="3600" w:type="dxa"/>
            <w:vAlign w:val="bottom"/>
            <w:shd w:val="clear" w:color="auto" w:fill="CCEEFF"/>
          </w:tcPr>
          <w:p>
            <w:pPr>
              <w:jc w:val="right"/>
              <w:ind w:right="1319"/>
              <w:spacing w:after="0" w:line="193" w:lineRule="exact"/>
              <w:rPr>
                <w:sz w:val="20"/>
                <w:szCs w:val="20"/>
                <w:color w:val="auto"/>
              </w:rPr>
            </w:pPr>
            <w:r>
              <w:rPr>
                <w:rFonts w:ascii="Calibri" w:cs="Calibri" w:eastAsia="Calibri" w:hAnsi="Calibri"/>
                <w:sz w:val="16"/>
                <w:szCs w:val="16"/>
                <w:color w:val="auto"/>
              </w:rPr>
              <w:t>$2.75-$3.25</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right"/>
              <w:ind w:right="1279"/>
              <w:spacing w:after="0" w:line="193" w:lineRule="exact"/>
              <w:rPr>
                <w:sz w:val="20"/>
                <w:szCs w:val="20"/>
                <w:color w:val="auto"/>
              </w:rPr>
            </w:pPr>
            <w:r>
              <w:rPr>
                <w:rFonts w:ascii="Calibri" w:cs="Calibri" w:eastAsia="Calibri" w:hAnsi="Calibri"/>
                <w:sz w:val="16"/>
                <w:szCs w:val="16"/>
                <w:color w:val="auto"/>
              </w:rPr>
              <w:t>$9.00-$11.00</w:t>
            </w:r>
          </w:p>
        </w:tc>
        <w:tc>
          <w:tcPr>
            <w:tcW w:w="0" w:type="dxa"/>
            <w:vAlign w:val="bottom"/>
          </w:tcPr>
          <w:p>
            <w:pPr>
              <w:spacing w:after="0"/>
              <w:rPr>
                <w:sz w:val="1"/>
                <w:szCs w:val="1"/>
                <w:color w:val="auto"/>
              </w:rPr>
            </w:pPr>
          </w:p>
        </w:tc>
      </w:tr>
      <w:tr>
        <w:trPr>
          <w:trHeight w:val="157"/>
        </w:trPr>
        <w:tc>
          <w:tcPr>
            <w:tcW w:w="3580" w:type="dxa"/>
            <w:vAlign w:val="bottom"/>
          </w:tcPr>
          <w:p>
            <w:pPr>
              <w:ind w:left="40"/>
              <w:spacing w:after="0" w:line="157" w:lineRule="exact"/>
              <w:rPr>
                <w:sz w:val="20"/>
                <w:szCs w:val="20"/>
                <w:color w:val="auto"/>
              </w:rPr>
            </w:pPr>
            <w:r>
              <w:rPr>
                <w:rFonts w:ascii="Calibri" w:cs="Calibri" w:eastAsia="Calibri" w:hAnsi="Calibri"/>
                <w:sz w:val="16"/>
                <w:szCs w:val="16"/>
                <w:color w:val="auto"/>
              </w:rPr>
              <w:t>Adjusted total capital expenditures</w:t>
            </w:r>
          </w:p>
        </w:tc>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0" w:type="dxa"/>
            <w:vAlign w:val="bottom"/>
            <w:vMerge w:val="restart"/>
          </w:tcPr>
          <w:p>
            <w:pPr>
              <w:jc w:val="center"/>
              <w:spacing w:after="0"/>
              <w:rPr>
                <w:sz w:val="20"/>
                <w:szCs w:val="20"/>
                <w:color w:val="auto"/>
              </w:rPr>
            </w:pPr>
            <w:r>
              <w:rPr>
                <w:rFonts w:ascii="Calibri" w:cs="Calibri" w:eastAsia="Calibri" w:hAnsi="Calibri"/>
                <w:sz w:val="16"/>
                <w:szCs w:val="16"/>
                <w:color w:val="auto"/>
              </w:rPr>
              <w:t>&lt;$6.5B</w:t>
            </w:r>
          </w:p>
        </w:tc>
        <w:tc>
          <w:tcPr>
            <w:tcW w:w="0" w:type="dxa"/>
            <w:vAlign w:val="bottom"/>
          </w:tcPr>
          <w:p>
            <w:pPr>
              <w:spacing w:after="0"/>
              <w:rPr>
                <w:sz w:val="1"/>
                <w:szCs w:val="1"/>
                <w:color w:val="auto"/>
              </w:rPr>
            </w:pPr>
          </w:p>
        </w:tc>
      </w:tr>
      <w:tr>
        <w:trPr>
          <w:trHeight w:val="244"/>
        </w:trPr>
        <w:tc>
          <w:tcPr>
            <w:tcW w:w="3580" w:type="dxa"/>
            <w:vAlign w:val="bottom"/>
          </w:tcPr>
          <w:p>
            <w:pPr>
              <w:ind w:left="40"/>
              <w:spacing w:after="0" w:line="244" w:lineRule="exact"/>
              <w:rPr>
                <w:sz w:val="20"/>
                <w:szCs w:val="20"/>
                <w:color w:val="auto"/>
              </w:rPr>
            </w:pPr>
            <w:r>
              <w:rPr>
                <w:rFonts w:ascii="Calibri" w:cs="Calibri" w:eastAsia="Calibri" w:hAnsi="Calibri"/>
                <w:sz w:val="16"/>
                <w:szCs w:val="16"/>
                <w:color w:val="auto"/>
              </w:rPr>
              <w:t>(in billions)</w:t>
            </w:r>
            <w:r>
              <w:rPr>
                <w:rFonts w:ascii="Calibri" w:cs="Calibri" w:eastAsia="Calibri" w:hAnsi="Calibri"/>
                <w:sz w:val="21"/>
                <w:szCs w:val="21"/>
                <w:color w:val="auto"/>
                <w:vertAlign w:val="superscript"/>
              </w:rPr>
              <w:t>3</w:t>
            </w:r>
          </w:p>
        </w:tc>
        <w:tc>
          <w:tcPr>
            <w:tcW w:w="3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1714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8"/>
        <w:spacing w:after="0" w:line="215" w:lineRule="auto"/>
        <w:tabs>
          <w:tab w:leader="none" w:pos="80" w:val="left"/>
        </w:tabs>
        <w:numPr>
          <w:ilvl w:val="0"/>
          <w:numId w:val="20"/>
        </w:numPr>
        <w:rPr>
          <w:rFonts w:ascii="Calibri" w:cs="Calibri" w:eastAsia="Calibri" w:hAnsi="Calibri"/>
          <w:sz w:val="19"/>
          <w:szCs w:val="19"/>
          <w:color w:val="auto"/>
          <w:vertAlign w:val="superscript"/>
        </w:rPr>
      </w:pPr>
      <w:r>
        <w:rPr>
          <w:rFonts w:ascii="Calibri" w:cs="Calibri" w:eastAsia="Calibri" w:hAnsi="Calibri"/>
          <w:sz w:val="14"/>
          <w:szCs w:val="14"/>
          <w:color w:val="auto"/>
        </w:rPr>
        <w:t>The guidance provided in this Investor Update refects our current expectatons and our actual results and tming may vary materially based on various factors that include, but are not limited to, those discussed below under "Cautonary Statement Regarding Forward-Looking Statements" and in Part I, Item 1A. Risk Factors of the Company’s Annual Report on Form 10-K for the fscal year ended December 31, 2023 and in “Economic and Market Factors” and “Governmental Actons” in Part I, Item 2. Management’s Discussion and Analysis of Financial Conditon and Results of Operatons of our Quarterly Report on Form 10-Q for the fscal quarter ended March 31, 2024. The guidance is only efectve as of the date given and should not be considered updated or afrmed unless and untl we publicly announce updated or afrmed guidance. Management will also discuss certain business outlook items during its regularly scheduled quarterly earnings conference call on July 18, 2024. This Investor Update should be read in conjuncton with the Company's earnings release issued in connecton with this Investor Update and its flings with the U.S. Securites and Exchange Commission (the "SEC").</w:t>
      </w:r>
    </w:p>
    <w:p>
      <w:pPr>
        <w:spacing w:after="0" w:line="2" w:lineRule="exact"/>
        <w:rPr>
          <w:rFonts w:ascii="Calibri" w:cs="Calibri" w:eastAsia="Calibri" w:hAnsi="Calibri"/>
          <w:sz w:val="19"/>
          <w:szCs w:val="19"/>
          <w:color w:val="auto"/>
          <w:vertAlign w:val="superscript"/>
        </w:rPr>
      </w:pPr>
    </w:p>
    <w:p>
      <w:pPr>
        <w:ind w:right="180"/>
        <w:spacing w:after="0" w:line="201" w:lineRule="auto"/>
        <w:rPr>
          <w:rFonts w:ascii="Calibri" w:cs="Calibri" w:eastAsia="Calibri" w:hAnsi="Calibri"/>
          <w:sz w:val="19"/>
          <w:szCs w:val="19"/>
          <w:color w:val="auto"/>
          <w:vertAlign w:val="superscript"/>
        </w:rPr>
      </w:pPr>
      <w:r>
        <w:rPr>
          <w:rFonts w:ascii="Calibri" w:cs="Calibri" w:eastAsia="Calibri" w:hAnsi="Calibri"/>
          <w:sz w:val="18"/>
          <w:szCs w:val="18"/>
          <w:color w:val="auto"/>
          <w:vertAlign w:val="superscript"/>
        </w:rPr>
        <w:t>2</w:t>
      </w:r>
      <w:r>
        <w:rPr>
          <w:rFonts w:ascii="Calibri" w:cs="Calibri" w:eastAsia="Calibri" w:hAnsi="Calibri"/>
          <w:sz w:val="14"/>
          <w:szCs w:val="14"/>
          <w:color w:val="auto"/>
        </w:rPr>
        <w:t xml:space="preserve"> Adjusted diluted earnings per share is a non-GAAP fnancial measure that excludes operatng and nonoperatng special charges and unrealized (gains) losses on investments, net. We are not providing a target for or a reconciliaton to diluted earnings per share, the most directly comparable GAAP measure, because we are unable to predict the excluded items noted above contained in the GAAP measure without unreasonable eforts, and therefore we also are not able to determine the probable signifcance of such items.</w:t>
      </w:r>
    </w:p>
    <w:p>
      <w:pPr>
        <w:spacing w:after="0" w:line="2" w:lineRule="exact"/>
        <w:rPr>
          <w:rFonts w:ascii="Calibri" w:cs="Calibri" w:eastAsia="Calibri" w:hAnsi="Calibri"/>
          <w:sz w:val="19"/>
          <w:szCs w:val="19"/>
          <w:color w:val="auto"/>
          <w:vertAlign w:val="superscript"/>
        </w:rPr>
      </w:pPr>
    </w:p>
    <w:p>
      <w:pPr>
        <w:ind w:right="140"/>
        <w:spacing w:after="0" w:line="203" w:lineRule="auto"/>
        <w:rPr>
          <w:rFonts w:ascii="Calibri" w:cs="Calibri" w:eastAsia="Calibri" w:hAnsi="Calibri"/>
          <w:sz w:val="19"/>
          <w:szCs w:val="19"/>
          <w:color w:val="auto"/>
          <w:vertAlign w:val="superscript"/>
        </w:rPr>
      </w:pPr>
      <w:r>
        <w:rPr>
          <w:rFonts w:ascii="Calibri" w:cs="Calibri" w:eastAsia="Calibri" w:hAnsi="Calibri"/>
          <w:sz w:val="18"/>
          <w:szCs w:val="18"/>
          <w:color w:val="auto"/>
          <w:vertAlign w:val="superscript"/>
        </w:rPr>
        <w:t>3</w:t>
      </w:r>
      <w:r>
        <w:rPr>
          <w:rFonts w:ascii="Calibri" w:cs="Calibri" w:eastAsia="Calibri" w:hAnsi="Calibri"/>
          <w:sz w:val="14"/>
          <w:szCs w:val="14"/>
          <w:color w:val="auto"/>
        </w:rPr>
        <w:t xml:space="preserve"> Adjusted total capital expenditures is a non-GAAP fnancial measure calculated as capital expenditures, net of fight equipment purchase deposit returns, plus property and equipment acquired through the issuance of debt, fnance leases, and other fnancial liabilites. We are not providing a target for or a reconciliaton to capital expenditures, net of fight equipment purchase deposit returns, the most directly comparable GAAP measure, because we are not able to predict non-cash capital expenditures without unreasonable eforts, and therefore we also are not able to determine the probable signifcance of such items.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1</w:t>
      </w:r>
    </w:p>
    <w:p>
      <w:pPr>
        <w:sectPr>
          <w:pgSz w:w="11900" w:h="16838" w:orient="portrait"/>
          <w:cols w:equalWidth="0" w:num="1">
            <w:col w:w="11240"/>
          </w:cols>
          <w:pgMar w:left="320" w:top="104" w:right="339" w:bottom="1440" w:gutter="0" w:footer="0" w:header="0"/>
        </w:sectPr>
      </w:pPr>
    </w:p>
    <w:bookmarkStart w:id="21" w:name="page22"/>
    <w:bookmarkEnd w:id="21"/>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alibri" w:cs="Calibri" w:eastAsia="Calibri" w:hAnsi="Calibri"/>
          <w:sz w:val="16"/>
          <w:szCs w:val="16"/>
          <w:b w:val="1"/>
          <w:bCs w:val="1"/>
          <w:u w:val="single" w:color="auto"/>
          <w:color w:val="auto"/>
        </w:rPr>
        <w:t>Proft Sharing:</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Based on proft sharing plans in current labor agreements, for 2024, the Company expects to accrue the sum of:</w:t>
      </w:r>
    </w:p>
    <w:p>
      <w:pPr>
        <w:spacing w:after="0" w:line="225" w:lineRule="exact"/>
        <w:rPr>
          <w:sz w:val="20"/>
          <w:szCs w:val="20"/>
          <w:color w:val="auto"/>
        </w:rPr>
      </w:pPr>
    </w:p>
    <w:p>
      <w:pPr>
        <w:ind w:left="660" w:hanging="328"/>
        <w:spacing w:after="0" w:line="226" w:lineRule="auto"/>
        <w:tabs>
          <w:tab w:leader="none" w:pos="660" w:val="left"/>
        </w:tabs>
        <w:numPr>
          <w:ilvl w:val="0"/>
          <w:numId w:val="21"/>
        </w:numPr>
        <w:rPr>
          <w:rFonts w:ascii="Calibri" w:cs="Calibri" w:eastAsia="Calibri" w:hAnsi="Calibri"/>
          <w:sz w:val="16"/>
          <w:szCs w:val="16"/>
          <w:color w:val="auto"/>
        </w:rPr>
      </w:pPr>
      <w:r>
        <w:rPr>
          <w:rFonts w:ascii="Calibri" w:cs="Calibri" w:eastAsia="Calibri" w:hAnsi="Calibri"/>
          <w:sz w:val="16"/>
          <w:szCs w:val="16"/>
          <w:color w:val="auto"/>
        </w:rPr>
        <w:t>Approximately 3.6% of total adjusted pre-tax earnings up to a 6.9% adjusted pre-tax margin, plus approximately 3.8% of total adjusted pre-tax earnings above a 6.9% adjusted pre-tax margin.</w:t>
      </w:r>
    </w:p>
    <w:p>
      <w:pPr>
        <w:spacing w:after="0" w:line="1" w:lineRule="exact"/>
        <w:rPr>
          <w:rFonts w:ascii="Calibri" w:cs="Calibri" w:eastAsia="Calibri" w:hAnsi="Calibri"/>
          <w:sz w:val="16"/>
          <w:szCs w:val="16"/>
          <w:color w:val="auto"/>
        </w:rPr>
      </w:pPr>
    </w:p>
    <w:p>
      <w:pPr>
        <w:ind w:left="660" w:right="80" w:hanging="328"/>
        <w:spacing w:after="0" w:line="223" w:lineRule="auto"/>
        <w:tabs>
          <w:tab w:leader="none" w:pos="660" w:val="left"/>
        </w:tabs>
        <w:numPr>
          <w:ilvl w:val="0"/>
          <w:numId w:val="21"/>
        </w:numPr>
        <w:rPr>
          <w:rFonts w:ascii="Calibri" w:cs="Calibri" w:eastAsia="Calibri" w:hAnsi="Calibri"/>
          <w:sz w:val="16"/>
          <w:szCs w:val="16"/>
          <w:color w:val="auto"/>
        </w:rPr>
      </w:pPr>
      <w:r>
        <w:rPr>
          <w:rFonts w:ascii="Calibri" w:cs="Calibri" w:eastAsia="Calibri" w:hAnsi="Calibri"/>
          <w:sz w:val="16"/>
          <w:szCs w:val="16"/>
          <w:color w:val="auto"/>
        </w:rPr>
        <w:t>Approximately 5.9% of total adjusted pre-tax earnings up to $2.5 billion adjusted pre-tax earnings, plus approximately 11.6% of total adjusted pre-tax earnings above $2.5 billion adjusted pre-tax earnings.</w:t>
      </w:r>
    </w:p>
    <w:p>
      <w:pPr>
        <w:spacing w:after="0" w:line="1" w:lineRule="exact"/>
        <w:rPr>
          <w:rFonts w:ascii="Calibri" w:cs="Calibri" w:eastAsia="Calibri" w:hAnsi="Calibri"/>
          <w:sz w:val="16"/>
          <w:szCs w:val="16"/>
          <w:color w:val="auto"/>
        </w:rPr>
      </w:pPr>
    </w:p>
    <w:p>
      <w:pPr>
        <w:ind w:left="660" w:hanging="328"/>
        <w:spacing w:after="0" w:line="232" w:lineRule="auto"/>
        <w:tabs>
          <w:tab w:leader="none" w:pos="660" w:val="left"/>
        </w:tabs>
        <w:numPr>
          <w:ilvl w:val="0"/>
          <w:numId w:val="21"/>
        </w:numPr>
        <w:rPr>
          <w:rFonts w:ascii="Calibri" w:cs="Calibri" w:eastAsia="Calibri" w:hAnsi="Calibri"/>
          <w:sz w:val="16"/>
          <w:szCs w:val="16"/>
          <w:color w:val="auto"/>
        </w:rPr>
      </w:pPr>
      <w:r>
        <w:rPr>
          <w:rFonts w:ascii="Calibri" w:cs="Calibri" w:eastAsia="Calibri" w:hAnsi="Calibri"/>
          <w:sz w:val="16"/>
          <w:szCs w:val="16"/>
          <w:color w:val="auto"/>
        </w:rPr>
        <w:t>Approximately 2.9% for all adjusted pre-tax earnings above the prior year’s adjusted pre-tax earnings.</w:t>
      </w:r>
    </w:p>
    <w:p>
      <w:pPr>
        <w:spacing w:after="0" w:line="225" w:lineRule="exact"/>
        <w:rPr>
          <w:sz w:val="20"/>
          <w:szCs w:val="20"/>
          <w:color w:val="auto"/>
        </w:rPr>
      </w:pPr>
    </w:p>
    <w:p>
      <w:pPr>
        <w:ind w:right="220"/>
        <w:spacing w:after="0" w:line="228" w:lineRule="auto"/>
        <w:rPr>
          <w:sz w:val="20"/>
          <w:szCs w:val="20"/>
          <w:color w:val="auto"/>
        </w:rPr>
      </w:pPr>
      <w:r>
        <w:rPr>
          <w:rFonts w:ascii="Calibri" w:cs="Calibri" w:eastAsia="Calibri" w:hAnsi="Calibri"/>
          <w:sz w:val="16"/>
          <w:szCs w:val="16"/>
          <w:color w:val="auto"/>
        </w:rPr>
        <w:t>Proft sharing adjusted pre-tax earnings is calculated as GAAP pre-tax income (loss), excluding special charges, proft sharing expense and share-based compensaton program expense. The Company estmates that share-based compensaton expense for the purposes of the proft sharing adjusted pre-tax earnings calculaton will be approximately $32 million for the third-quarter of 2024.</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gridSpan w:val="3"/>
          </w:tcPr>
          <w:p>
            <w:pPr>
              <w:spacing w:after="0"/>
              <w:rPr>
                <w:sz w:val="20"/>
                <w:szCs w:val="20"/>
                <w:color w:val="auto"/>
              </w:rPr>
            </w:pPr>
            <w:r>
              <w:rPr>
                <w:rFonts w:ascii="Calibri" w:cs="Calibri" w:eastAsia="Calibri" w:hAnsi="Calibri"/>
                <w:sz w:val="16"/>
                <w:szCs w:val="16"/>
                <w:b w:val="1"/>
                <w:bCs w:val="1"/>
                <w:color w:val="auto"/>
              </w:rPr>
              <w:t xml:space="preserve">Fleet Plan: </w:t>
            </w:r>
            <w:r>
              <w:rPr>
                <w:rFonts w:ascii="Calibri" w:cs="Calibri" w:eastAsia="Calibri" w:hAnsi="Calibri"/>
                <w:sz w:val="16"/>
                <w:szCs w:val="16"/>
                <w:color w:val="auto"/>
              </w:rPr>
              <w:t>As of July 17, 2024, the Company's feet plan was as follows:</w:t>
            </w: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Calibri" w:cs="Calibri" w:eastAsia="Calibri" w:hAnsi="Calibri"/>
                <w:sz w:val="16"/>
                <w:szCs w:val="16"/>
                <w:b w:val="1"/>
                <w:bCs w:val="1"/>
                <w:color w:val="auto"/>
              </w:rPr>
              <w:t>1Q 2024</w:t>
            </w:r>
          </w:p>
        </w:tc>
        <w:tc>
          <w:tcPr>
            <w:tcW w:w="1500" w:type="dxa"/>
            <w:vAlign w:val="bottom"/>
            <w:gridSpan w:val="2"/>
          </w:tcPr>
          <w:p>
            <w:pPr>
              <w:jc w:val="center"/>
              <w:ind w:right="140"/>
              <w:spacing w:after="0"/>
              <w:rPr>
                <w:sz w:val="20"/>
                <w:szCs w:val="20"/>
                <w:color w:val="auto"/>
              </w:rPr>
            </w:pPr>
            <w:r>
              <w:rPr>
                <w:rFonts w:ascii="Calibri" w:cs="Calibri" w:eastAsia="Calibri" w:hAnsi="Calibri"/>
                <w:sz w:val="16"/>
                <w:szCs w:val="16"/>
                <w:b w:val="1"/>
                <w:bCs w:val="1"/>
                <w:color w:val="auto"/>
              </w:rPr>
              <w:t>2Q 2024</w:t>
            </w:r>
          </w:p>
        </w:tc>
        <w:tc>
          <w:tcPr>
            <w:tcW w:w="1520" w:type="dxa"/>
            <w:vAlign w:val="bottom"/>
            <w:gridSpan w:val="2"/>
          </w:tcPr>
          <w:p>
            <w:pPr>
              <w:jc w:val="center"/>
              <w:ind w:right="160"/>
              <w:spacing w:after="0"/>
              <w:rPr>
                <w:sz w:val="20"/>
                <w:szCs w:val="20"/>
                <w:color w:val="auto"/>
              </w:rPr>
            </w:pPr>
            <w:r>
              <w:rPr>
                <w:rFonts w:ascii="Calibri" w:cs="Calibri" w:eastAsia="Calibri" w:hAnsi="Calibri"/>
                <w:sz w:val="16"/>
                <w:szCs w:val="16"/>
                <w:b w:val="1"/>
                <w:bCs w:val="1"/>
                <w:color w:val="auto"/>
              </w:rPr>
              <w:t>3Q 2024E</w:t>
            </w:r>
          </w:p>
        </w:tc>
        <w:tc>
          <w:tcPr>
            <w:tcW w:w="1360" w:type="dxa"/>
            <w:vAlign w:val="bottom"/>
          </w:tcPr>
          <w:p>
            <w:pPr>
              <w:ind w:left="380"/>
              <w:spacing w:after="0"/>
              <w:rPr>
                <w:sz w:val="20"/>
                <w:szCs w:val="20"/>
                <w:color w:val="auto"/>
              </w:rPr>
            </w:pPr>
            <w:r>
              <w:rPr>
                <w:rFonts w:ascii="Calibri" w:cs="Calibri" w:eastAsia="Calibri" w:hAnsi="Calibri"/>
                <w:sz w:val="16"/>
                <w:szCs w:val="16"/>
                <w:b w:val="1"/>
                <w:bCs w:val="1"/>
                <w:color w:val="auto"/>
              </w:rPr>
              <w:t>YE 2024E</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5100" w:type="dxa"/>
            <w:vAlign w:val="bottom"/>
            <w:tcBorders>
              <w:bottom w:val="single" w:sz="8" w:color="CCEEFF"/>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5100" w:type="dxa"/>
            <w:vAlign w:val="bottom"/>
            <w:tcBorders>
              <w:bottom w:val="single" w:sz="8" w:color="CCEEFF"/>
            </w:tcBorders>
            <w:gridSpan w:val="2"/>
            <w:shd w:val="clear" w:color="auto" w:fill="CCEEFF"/>
          </w:tcPr>
          <w:p>
            <w:pPr>
              <w:ind w:left="20"/>
              <w:spacing w:after="0" w:line="182" w:lineRule="exact"/>
              <w:rPr>
                <w:sz w:val="20"/>
                <w:szCs w:val="20"/>
                <w:color w:val="auto"/>
              </w:rPr>
            </w:pPr>
            <w:r>
              <w:rPr>
                <w:rFonts w:ascii="Calibri" w:cs="Calibri" w:eastAsia="Calibri" w:hAnsi="Calibri"/>
                <w:sz w:val="16"/>
                <w:szCs w:val="16"/>
                <w:color w:val="auto"/>
              </w:rPr>
              <w:t>B777-200/300</w:t>
            </w:r>
          </w:p>
        </w:tc>
        <w:tc>
          <w:tcPr>
            <w:tcW w:w="1340" w:type="dxa"/>
            <w:vAlign w:val="bottom"/>
            <w:tcBorders>
              <w:bottom w:val="single" w:sz="8" w:color="CCEEFF"/>
            </w:tcBorders>
            <w:shd w:val="clear" w:color="auto" w:fill="CCEEFF"/>
          </w:tcPr>
          <w:p>
            <w:pPr>
              <w:jc w:val="center"/>
              <w:spacing w:after="0" w:line="187" w:lineRule="exact"/>
              <w:rPr>
                <w:sz w:val="20"/>
                <w:szCs w:val="20"/>
                <w:color w:val="auto"/>
              </w:rPr>
            </w:pPr>
            <w:r>
              <w:rPr>
                <w:rFonts w:ascii="Calibri" w:cs="Calibri" w:eastAsia="Calibri" w:hAnsi="Calibri"/>
                <w:sz w:val="16"/>
                <w:szCs w:val="16"/>
                <w:color w:val="auto"/>
                <w:w w:val="98"/>
              </w:rPr>
              <w:t>96</w:t>
            </w: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center"/>
              <w:spacing w:after="0" w:line="187" w:lineRule="exact"/>
              <w:rPr>
                <w:sz w:val="20"/>
                <w:szCs w:val="20"/>
                <w:color w:val="auto"/>
              </w:rPr>
            </w:pPr>
            <w:r>
              <w:rPr>
                <w:rFonts w:ascii="Calibri" w:cs="Calibri" w:eastAsia="Calibri" w:hAnsi="Calibri"/>
                <w:sz w:val="16"/>
                <w:szCs w:val="16"/>
                <w:color w:val="auto"/>
              </w:rPr>
              <w:t>96</w:t>
            </w:r>
          </w:p>
        </w:tc>
        <w:tc>
          <w:tcPr>
            <w:tcW w:w="1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center"/>
              <w:spacing w:after="0" w:line="187" w:lineRule="exact"/>
              <w:rPr>
                <w:sz w:val="20"/>
                <w:szCs w:val="20"/>
                <w:color w:val="auto"/>
              </w:rPr>
            </w:pPr>
            <w:r>
              <w:rPr>
                <w:rFonts w:ascii="Calibri" w:cs="Calibri" w:eastAsia="Calibri" w:hAnsi="Calibri"/>
                <w:sz w:val="16"/>
                <w:szCs w:val="16"/>
                <w:color w:val="auto"/>
                <w:w w:val="98"/>
              </w:rPr>
              <w:t>96</w:t>
            </w:r>
          </w:p>
        </w:tc>
        <w:tc>
          <w:tcPr>
            <w:tcW w:w="1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center"/>
              <w:spacing w:after="0" w:line="187" w:lineRule="exact"/>
              <w:rPr>
                <w:sz w:val="20"/>
                <w:szCs w:val="20"/>
                <w:color w:val="auto"/>
              </w:rPr>
            </w:pPr>
            <w:r>
              <w:rPr>
                <w:rFonts w:ascii="Calibri" w:cs="Calibri" w:eastAsia="Calibri" w:hAnsi="Calibri"/>
                <w:sz w:val="16"/>
                <w:szCs w:val="16"/>
                <w:color w:val="auto"/>
                <w:w w:val="98"/>
              </w:rPr>
              <w:t>96</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510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B787-8/9/10</w:t>
            </w:r>
          </w:p>
        </w:tc>
        <w:tc>
          <w:tcPr>
            <w:tcW w:w="1340" w:type="dxa"/>
            <w:vAlign w:val="bottom"/>
          </w:tcPr>
          <w:p>
            <w:pPr>
              <w:jc w:val="center"/>
              <w:spacing w:after="0" w:line="193" w:lineRule="exact"/>
              <w:rPr>
                <w:sz w:val="20"/>
                <w:szCs w:val="20"/>
                <w:color w:val="auto"/>
              </w:rPr>
            </w:pPr>
            <w:r>
              <w:rPr>
                <w:rFonts w:ascii="Calibri" w:cs="Calibri" w:eastAsia="Calibri" w:hAnsi="Calibri"/>
                <w:sz w:val="16"/>
                <w:szCs w:val="16"/>
                <w:color w:val="auto"/>
                <w:w w:val="98"/>
              </w:rPr>
              <w:t>71</w:t>
            </w:r>
          </w:p>
        </w:tc>
        <w:tc>
          <w:tcPr>
            <w:tcW w:w="140" w:type="dxa"/>
            <w:vAlign w:val="bottom"/>
          </w:tcPr>
          <w:p>
            <w:pPr>
              <w:spacing w:after="0"/>
              <w:rPr>
                <w:sz w:val="16"/>
                <w:szCs w:val="16"/>
                <w:color w:val="auto"/>
              </w:rPr>
            </w:pPr>
          </w:p>
        </w:tc>
        <w:tc>
          <w:tcPr>
            <w:tcW w:w="1340" w:type="dxa"/>
            <w:vAlign w:val="bottom"/>
          </w:tcPr>
          <w:p>
            <w:pPr>
              <w:jc w:val="center"/>
              <w:spacing w:after="0" w:line="193" w:lineRule="exact"/>
              <w:rPr>
                <w:sz w:val="20"/>
                <w:szCs w:val="20"/>
                <w:color w:val="auto"/>
              </w:rPr>
            </w:pPr>
            <w:r>
              <w:rPr>
                <w:rFonts w:ascii="Calibri" w:cs="Calibri" w:eastAsia="Calibri" w:hAnsi="Calibri"/>
                <w:sz w:val="16"/>
                <w:szCs w:val="16"/>
                <w:color w:val="auto"/>
              </w:rPr>
              <w:t>71</w:t>
            </w:r>
          </w:p>
        </w:tc>
        <w:tc>
          <w:tcPr>
            <w:tcW w:w="160" w:type="dxa"/>
            <w:vAlign w:val="bottom"/>
          </w:tcPr>
          <w:p>
            <w:pPr>
              <w:spacing w:after="0"/>
              <w:rPr>
                <w:sz w:val="16"/>
                <w:szCs w:val="16"/>
                <w:color w:val="auto"/>
              </w:rPr>
            </w:pPr>
          </w:p>
        </w:tc>
        <w:tc>
          <w:tcPr>
            <w:tcW w:w="1360" w:type="dxa"/>
            <w:vAlign w:val="bottom"/>
          </w:tcPr>
          <w:p>
            <w:pPr>
              <w:jc w:val="center"/>
              <w:spacing w:after="0" w:line="193" w:lineRule="exact"/>
              <w:rPr>
                <w:sz w:val="20"/>
                <w:szCs w:val="20"/>
                <w:color w:val="auto"/>
              </w:rPr>
            </w:pPr>
            <w:r>
              <w:rPr>
                <w:rFonts w:ascii="Calibri" w:cs="Calibri" w:eastAsia="Calibri" w:hAnsi="Calibri"/>
                <w:sz w:val="16"/>
                <w:szCs w:val="16"/>
                <w:color w:val="auto"/>
                <w:w w:val="98"/>
              </w:rPr>
              <w:t>71</w:t>
            </w:r>
          </w:p>
        </w:tc>
        <w:tc>
          <w:tcPr>
            <w:tcW w:w="160" w:type="dxa"/>
            <w:vAlign w:val="bottom"/>
          </w:tcPr>
          <w:p>
            <w:pPr>
              <w:spacing w:after="0"/>
              <w:rPr>
                <w:sz w:val="16"/>
                <w:szCs w:val="16"/>
                <w:color w:val="auto"/>
              </w:rPr>
            </w:pPr>
          </w:p>
        </w:tc>
        <w:tc>
          <w:tcPr>
            <w:tcW w:w="1360" w:type="dxa"/>
            <w:vAlign w:val="bottom"/>
          </w:tcPr>
          <w:p>
            <w:pPr>
              <w:jc w:val="center"/>
              <w:spacing w:after="0" w:line="193" w:lineRule="exact"/>
              <w:rPr>
                <w:sz w:val="20"/>
                <w:szCs w:val="20"/>
                <w:color w:val="auto"/>
              </w:rPr>
            </w:pPr>
            <w:r>
              <w:rPr>
                <w:rFonts w:ascii="Calibri" w:cs="Calibri" w:eastAsia="Calibri" w:hAnsi="Calibri"/>
                <w:sz w:val="16"/>
                <w:szCs w:val="16"/>
                <w:color w:val="auto"/>
                <w:w w:val="98"/>
              </w:rPr>
              <w:t>75</w:t>
            </w: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100" w:type="dxa"/>
            <w:vAlign w:val="bottom"/>
            <w:tcBorders>
              <w:bottom w:val="single" w:sz="8" w:color="CCEEFF"/>
            </w:tcBorders>
            <w:gridSpan w:val="2"/>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B767-300/400</w:t>
            </w:r>
          </w:p>
        </w:tc>
        <w:tc>
          <w:tcPr>
            <w:tcW w:w="1340" w:type="dxa"/>
            <w:vAlign w:val="bottom"/>
            <w:tcBorders>
              <w:bottom w:val="single" w:sz="8" w:color="CCEEFF"/>
            </w:tcBorders>
            <w:shd w:val="clear" w:color="auto" w:fill="CCEEFF"/>
          </w:tcPr>
          <w:p>
            <w:pPr>
              <w:jc w:val="center"/>
              <w:spacing w:after="0" w:line="193" w:lineRule="exact"/>
              <w:rPr>
                <w:sz w:val="20"/>
                <w:szCs w:val="20"/>
                <w:color w:val="auto"/>
              </w:rPr>
            </w:pPr>
            <w:r>
              <w:rPr>
                <w:rFonts w:ascii="Calibri" w:cs="Calibri" w:eastAsia="Calibri" w:hAnsi="Calibri"/>
                <w:sz w:val="16"/>
                <w:szCs w:val="16"/>
                <w:color w:val="auto"/>
                <w:w w:val="98"/>
              </w:rPr>
              <w:t>53</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center"/>
              <w:spacing w:after="0" w:line="193" w:lineRule="exact"/>
              <w:rPr>
                <w:sz w:val="20"/>
                <w:szCs w:val="20"/>
                <w:color w:val="auto"/>
              </w:rPr>
            </w:pPr>
            <w:r>
              <w:rPr>
                <w:rFonts w:ascii="Calibri" w:cs="Calibri" w:eastAsia="Calibri" w:hAnsi="Calibri"/>
                <w:sz w:val="16"/>
                <w:szCs w:val="16"/>
                <w:color w:val="auto"/>
              </w:rPr>
              <w:t>53</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spacing w:after="0" w:line="193" w:lineRule="exact"/>
              <w:rPr>
                <w:sz w:val="20"/>
                <w:szCs w:val="20"/>
                <w:color w:val="auto"/>
              </w:rPr>
            </w:pPr>
            <w:r>
              <w:rPr>
                <w:rFonts w:ascii="Calibri" w:cs="Calibri" w:eastAsia="Calibri" w:hAnsi="Calibri"/>
                <w:sz w:val="16"/>
                <w:szCs w:val="16"/>
                <w:color w:val="auto"/>
                <w:w w:val="98"/>
              </w:rPr>
              <w:t>53</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spacing w:after="0" w:line="193" w:lineRule="exact"/>
              <w:rPr>
                <w:sz w:val="20"/>
                <w:szCs w:val="20"/>
                <w:color w:val="auto"/>
              </w:rPr>
            </w:pPr>
            <w:r>
              <w:rPr>
                <w:rFonts w:ascii="Calibri" w:cs="Calibri" w:eastAsia="Calibri" w:hAnsi="Calibri"/>
                <w:sz w:val="16"/>
                <w:szCs w:val="16"/>
                <w:color w:val="auto"/>
                <w:w w:val="98"/>
              </w:rPr>
              <w:t>53</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510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B757-200/300</w:t>
            </w:r>
          </w:p>
        </w:tc>
        <w:tc>
          <w:tcPr>
            <w:tcW w:w="1340" w:type="dxa"/>
            <w:vAlign w:val="bottom"/>
          </w:tcPr>
          <w:p>
            <w:pPr>
              <w:jc w:val="center"/>
              <w:spacing w:after="0" w:line="193" w:lineRule="exact"/>
              <w:rPr>
                <w:sz w:val="20"/>
                <w:szCs w:val="20"/>
                <w:color w:val="auto"/>
              </w:rPr>
            </w:pPr>
            <w:r>
              <w:rPr>
                <w:rFonts w:ascii="Calibri" w:cs="Calibri" w:eastAsia="Calibri" w:hAnsi="Calibri"/>
                <w:sz w:val="16"/>
                <w:szCs w:val="16"/>
                <w:color w:val="auto"/>
                <w:w w:val="98"/>
              </w:rPr>
              <w:t>61</w:t>
            </w:r>
          </w:p>
        </w:tc>
        <w:tc>
          <w:tcPr>
            <w:tcW w:w="140" w:type="dxa"/>
            <w:vAlign w:val="bottom"/>
          </w:tcPr>
          <w:p>
            <w:pPr>
              <w:spacing w:after="0"/>
              <w:rPr>
                <w:sz w:val="16"/>
                <w:szCs w:val="16"/>
                <w:color w:val="auto"/>
              </w:rPr>
            </w:pPr>
          </w:p>
        </w:tc>
        <w:tc>
          <w:tcPr>
            <w:tcW w:w="1340" w:type="dxa"/>
            <w:vAlign w:val="bottom"/>
          </w:tcPr>
          <w:p>
            <w:pPr>
              <w:jc w:val="center"/>
              <w:spacing w:after="0" w:line="193" w:lineRule="exact"/>
              <w:rPr>
                <w:sz w:val="20"/>
                <w:szCs w:val="20"/>
                <w:color w:val="auto"/>
              </w:rPr>
            </w:pPr>
            <w:r>
              <w:rPr>
                <w:rFonts w:ascii="Calibri" w:cs="Calibri" w:eastAsia="Calibri" w:hAnsi="Calibri"/>
                <w:sz w:val="16"/>
                <w:szCs w:val="16"/>
                <w:color w:val="auto"/>
              </w:rPr>
              <w:t>61</w:t>
            </w:r>
          </w:p>
        </w:tc>
        <w:tc>
          <w:tcPr>
            <w:tcW w:w="160" w:type="dxa"/>
            <w:vAlign w:val="bottom"/>
          </w:tcPr>
          <w:p>
            <w:pPr>
              <w:spacing w:after="0"/>
              <w:rPr>
                <w:sz w:val="16"/>
                <w:szCs w:val="16"/>
                <w:color w:val="auto"/>
              </w:rPr>
            </w:pPr>
          </w:p>
        </w:tc>
        <w:tc>
          <w:tcPr>
            <w:tcW w:w="1360" w:type="dxa"/>
            <w:vAlign w:val="bottom"/>
          </w:tcPr>
          <w:p>
            <w:pPr>
              <w:jc w:val="center"/>
              <w:spacing w:after="0" w:line="193" w:lineRule="exact"/>
              <w:rPr>
                <w:sz w:val="20"/>
                <w:szCs w:val="20"/>
                <w:color w:val="auto"/>
              </w:rPr>
            </w:pPr>
            <w:r>
              <w:rPr>
                <w:rFonts w:ascii="Calibri" w:cs="Calibri" w:eastAsia="Calibri" w:hAnsi="Calibri"/>
                <w:sz w:val="16"/>
                <w:szCs w:val="16"/>
                <w:color w:val="auto"/>
                <w:w w:val="98"/>
              </w:rPr>
              <w:t>61</w:t>
            </w:r>
          </w:p>
        </w:tc>
        <w:tc>
          <w:tcPr>
            <w:tcW w:w="160" w:type="dxa"/>
            <w:vAlign w:val="bottom"/>
          </w:tcPr>
          <w:p>
            <w:pPr>
              <w:spacing w:after="0"/>
              <w:rPr>
                <w:sz w:val="16"/>
                <w:szCs w:val="16"/>
                <w:color w:val="auto"/>
              </w:rPr>
            </w:pPr>
          </w:p>
        </w:tc>
        <w:tc>
          <w:tcPr>
            <w:tcW w:w="1360" w:type="dxa"/>
            <w:vAlign w:val="bottom"/>
          </w:tcPr>
          <w:p>
            <w:pPr>
              <w:jc w:val="center"/>
              <w:spacing w:after="0" w:line="193" w:lineRule="exact"/>
              <w:rPr>
                <w:sz w:val="20"/>
                <w:szCs w:val="20"/>
                <w:color w:val="auto"/>
              </w:rPr>
            </w:pPr>
            <w:r>
              <w:rPr>
                <w:rFonts w:ascii="Calibri" w:cs="Calibri" w:eastAsia="Calibri" w:hAnsi="Calibri"/>
                <w:sz w:val="16"/>
                <w:szCs w:val="16"/>
                <w:color w:val="auto"/>
                <w:w w:val="98"/>
              </w:rPr>
              <w:t>61</w:t>
            </w: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 w:type="dxa"/>
            <w:vAlign w:val="bottom"/>
          </w:tcPr>
          <w:p>
            <w:pPr>
              <w:spacing w:after="0"/>
              <w:rPr>
                <w:sz w:val="21"/>
                <w:szCs w:val="21"/>
                <w:color w:val="auto"/>
              </w:rPr>
            </w:pPr>
          </w:p>
        </w:tc>
        <w:tc>
          <w:tcPr>
            <w:tcW w:w="5100" w:type="dxa"/>
            <w:vAlign w:val="bottom"/>
            <w:gridSpan w:val="2"/>
            <w:shd w:val="clear" w:color="auto" w:fill="CCEEFF"/>
          </w:tcPr>
          <w:p>
            <w:pPr>
              <w:ind w:left="20"/>
              <w:spacing w:after="0"/>
              <w:rPr>
                <w:sz w:val="20"/>
                <w:szCs w:val="20"/>
                <w:color w:val="auto"/>
              </w:rPr>
            </w:pPr>
            <w:r>
              <w:rPr>
                <w:rFonts w:ascii="Calibri" w:cs="Calibri" w:eastAsia="Calibri" w:hAnsi="Calibri"/>
                <w:sz w:val="16"/>
                <w:szCs w:val="16"/>
                <w:color w:val="auto"/>
              </w:rPr>
              <w:t>B737 MAX</w:t>
            </w:r>
          </w:p>
        </w:tc>
        <w:tc>
          <w:tcPr>
            <w:tcW w:w="1340" w:type="dxa"/>
            <w:vAlign w:val="bottom"/>
            <w:vMerge w:val="restart"/>
            <w:shd w:val="clear" w:color="auto" w:fill="CCEEFF"/>
          </w:tcPr>
          <w:p>
            <w:pPr>
              <w:jc w:val="center"/>
              <w:spacing w:after="0"/>
              <w:rPr>
                <w:sz w:val="20"/>
                <w:szCs w:val="20"/>
                <w:color w:val="auto"/>
              </w:rPr>
            </w:pPr>
            <w:r>
              <w:rPr>
                <w:rFonts w:ascii="Calibri" w:cs="Calibri" w:eastAsia="Calibri" w:hAnsi="Calibri"/>
                <w:sz w:val="16"/>
                <w:szCs w:val="16"/>
                <w:color w:val="auto"/>
                <w:w w:val="98"/>
              </w:rPr>
              <w:t>166</w:t>
            </w:r>
          </w:p>
        </w:tc>
        <w:tc>
          <w:tcPr>
            <w:tcW w:w="140" w:type="dxa"/>
            <w:vAlign w:val="bottom"/>
            <w:shd w:val="clear" w:color="auto" w:fill="CCEEFF"/>
          </w:tcPr>
          <w:p>
            <w:pPr>
              <w:spacing w:after="0"/>
              <w:rPr>
                <w:sz w:val="21"/>
                <w:szCs w:val="21"/>
                <w:color w:val="auto"/>
              </w:rPr>
            </w:pPr>
          </w:p>
        </w:tc>
        <w:tc>
          <w:tcPr>
            <w:tcW w:w="1340" w:type="dxa"/>
            <w:vAlign w:val="bottom"/>
            <w:vMerge w:val="restart"/>
            <w:shd w:val="clear" w:color="auto" w:fill="CCEEFF"/>
          </w:tcPr>
          <w:p>
            <w:pPr>
              <w:jc w:val="center"/>
              <w:spacing w:after="0"/>
              <w:rPr>
                <w:sz w:val="20"/>
                <w:szCs w:val="20"/>
                <w:color w:val="auto"/>
              </w:rPr>
            </w:pPr>
            <w:r>
              <w:rPr>
                <w:rFonts w:ascii="Calibri" w:cs="Calibri" w:eastAsia="Calibri" w:hAnsi="Calibri"/>
                <w:sz w:val="16"/>
                <w:szCs w:val="16"/>
                <w:color w:val="auto"/>
              </w:rPr>
              <w:t>170</w:t>
            </w:r>
          </w:p>
        </w:tc>
        <w:tc>
          <w:tcPr>
            <w:tcW w:w="160" w:type="dxa"/>
            <w:vAlign w:val="bottom"/>
            <w:shd w:val="clear" w:color="auto" w:fill="CCEEFF"/>
          </w:tcPr>
          <w:p>
            <w:pPr>
              <w:spacing w:after="0"/>
              <w:rPr>
                <w:sz w:val="21"/>
                <w:szCs w:val="21"/>
                <w:color w:val="auto"/>
              </w:rPr>
            </w:pPr>
          </w:p>
        </w:tc>
        <w:tc>
          <w:tcPr>
            <w:tcW w:w="1360" w:type="dxa"/>
            <w:vAlign w:val="bottom"/>
            <w:vMerge w:val="restart"/>
            <w:shd w:val="clear" w:color="auto" w:fill="CCEEFF"/>
          </w:tcPr>
          <w:p>
            <w:pPr>
              <w:jc w:val="center"/>
              <w:spacing w:after="0"/>
              <w:rPr>
                <w:sz w:val="20"/>
                <w:szCs w:val="20"/>
                <w:color w:val="auto"/>
              </w:rPr>
            </w:pPr>
            <w:r>
              <w:rPr>
                <w:rFonts w:ascii="Calibri" w:cs="Calibri" w:eastAsia="Calibri" w:hAnsi="Calibri"/>
                <w:sz w:val="16"/>
                <w:szCs w:val="16"/>
                <w:color w:val="auto"/>
                <w:w w:val="98"/>
              </w:rPr>
              <w:t>182</w:t>
            </w:r>
          </w:p>
        </w:tc>
        <w:tc>
          <w:tcPr>
            <w:tcW w:w="160" w:type="dxa"/>
            <w:vAlign w:val="bottom"/>
            <w:shd w:val="clear" w:color="auto" w:fill="CCEEFF"/>
          </w:tcPr>
          <w:p>
            <w:pPr>
              <w:spacing w:after="0"/>
              <w:rPr>
                <w:sz w:val="21"/>
                <w:szCs w:val="21"/>
                <w:color w:val="auto"/>
              </w:rPr>
            </w:pPr>
          </w:p>
        </w:tc>
        <w:tc>
          <w:tcPr>
            <w:tcW w:w="1360" w:type="dxa"/>
            <w:vAlign w:val="bottom"/>
            <w:vMerge w:val="restart"/>
            <w:shd w:val="clear" w:color="auto" w:fill="CCEEFF"/>
          </w:tcPr>
          <w:p>
            <w:pPr>
              <w:jc w:val="center"/>
              <w:spacing w:after="0"/>
              <w:rPr>
                <w:sz w:val="20"/>
                <w:szCs w:val="20"/>
                <w:color w:val="auto"/>
              </w:rPr>
            </w:pPr>
            <w:r>
              <w:rPr>
                <w:rFonts w:ascii="Calibri" w:cs="Calibri" w:eastAsia="Calibri" w:hAnsi="Calibri"/>
                <w:sz w:val="16"/>
                <w:szCs w:val="16"/>
                <w:color w:val="auto"/>
                <w:w w:val="98"/>
              </w:rPr>
              <w:t>195</w:t>
            </w:r>
          </w:p>
        </w:tc>
        <w:tc>
          <w:tcPr>
            <w:tcW w:w="0" w:type="dxa"/>
            <w:vAlign w:val="bottom"/>
          </w:tcPr>
          <w:p>
            <w:pPr>
              <w:spacing w:after="0"/>
              <w:rPr>
                <w:sz w:val="1"/>
                <w:szCs w:val="1"/>
                <w:color w:val="auto"/>
              </w:rPr>
            </w:pPr>
          </w:p>
        </w:tc>
      </w:tr>
      <w:tr>
        <w:trPr>
          <w:trHeight w:val="62"/>
        </w:trPr>
        <w:tc>
          <w:tcPr>
            <w:tcW w:w="60" w:type="dxa"/>
            <w:vAlign w:val="bottom"/>
          </w:tcPr>
          <w:p>
            <w:pPr>
              <w:spacing w:after="0"/>
              <w:rPr>
                <w:sz w:val="5"/>
                <w:szCs w:val="5"/>
                <w:color w:val="auto"/>
              </w:rPr>
            </w:pPr>
          </w:p>
        </w:tc>
        <w:tc>
          <w:tcPr>
            <w:tcW w:w="660" w:type="dxa"/>
            <w:vAlign w:val="bottom"/>
            <w:tcBorders>
              <w:bottom w:val="single" w:sz="8" w:color="CCEEFF"/>
            </w:tcBorders>
            <w:shd w:val="clear" w:color="auto" w:fill="CCEEFF"/>
          </w:tcPr>
          <w:p>
            <w:pPr>
              <w:spacing w:after="0"/>
              <w:rPr>
                <w:sz w:val="5"/>
                <w:szCs w:val="5"/>
                <w:color w:val="auto"/>
              </w:rPr>
            </w:pPr>
          </w:p>
        </w:tc>
        <w:tc>
          <w:tcPr>
            <w:tcW w:w="444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36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3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510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B737-700/800/900</w:t>
            </w:r>
          </w:p>
        </w:tc>
        <w:tc>
          <w:tcPr>
            <w:tcW w:w="1340" w:type="dxa"/>
            <w:vAlign w:val="bottom"/>
          </w:tcPr>
          <w:p>
            <w:pPr>
              <w:jc w:val="center"/>
              <w:spacing w:after="0" w:line="193" w:lineRule="exact"/>
              <w:rPr>
                <w:sz w:val="20"/>
                <w:szCs w:val="20"/>
                <w:color w:val="auto"/>
              </w:rPr>
            </w:pPr>
            <w:r>
              <w:rPr>
                <w:rFonts w:ascii="Calibri" w:cs="Calibri" w:eastAsia="Calibri" w:hAnsi="Calibri"/>
                <w:sz w:val="16"/>
                <w:szCs w:val="16"/>
                <w:color w:val="auto"/>
                <w:w w:val="98"/>
              </w:rPr>
              <w:t>329</w:t>
            </w:r>
          </w:p>
        </w:tc>
        <w:tc>
          <w:tcPr>
            <w:tcW w:w="140" w:type="dxa"/>
            <w:vAlign w:val="bottom"/>
          </w:tcPr>
          <w:p>
            <w:pPr>
              <w:spacing w:after="0"/>
              <w:rPr>
                <w:sz w:val="16"/>
                <w:szCs w:val="16"/>
                <w:color w:val="auto"/>
              </w:rPr>
            </w:pPr>
          </w:p>
        </w:tc>
        <w:tc>
          <w:tcPr>
            <w:tcW w:w="1340" w:type="dxa"/>
            <w:vAlign w:val="bottom"/>
          </w:tcPr>
          <w:p>
            <w:pPr>
              <w:jc w:val="center"/>
              <w:spacing w:after="0" w:line="193" w:lineRule="exact"/>
              <w:rPr>
                <w:sz w:val="20"/>
                <w:szCs w:val="20"/>
                <w:color w:val="auto"/>
              </w:rPr>
            </w:pPr>
            <w:r>
              <w:rPr>
                <w:rFonts w:ascii="Calibri" w:cs="Calibri" w:eastAsia="Calibri" w:hAnsi="Calibri"/>
                <w:sz w:val="16"/>
                <w:szCs w:val="16"/>
                <w:color w:val="auto"/>
              </w:rPr>
              <w:t>329</w:t>
            </w:r>
          </w:p>
        </w:tc>
        <w:tc>
          <w:tcPr>
            <w:tcW w:w="160" w:type="dxa"/>
            <w:vAlign w:val="bottom"/>
          </w:tcPr>
          <w:p>
            <w:pPr>
              <w:spacing w:after="0"/>
              <w:rPr>
                <w:sz w:val="16"/>
                <w:szCs w:val="16"/>
                <w:color w:val="auto"/>
              </w:rPr>
            </w:pPr>
          </w:p>
        </w:tc>
        <w:tc>
          <w:tcPr>
            <w:tcW w:w="1360" w:type="dxa"/>
            <w:vAlign w:val="bottom"/>
          </w:tcPr>
          <w:p>
            <w:pPr>
              <w:jc w:val="center"/>
              <w:spacing w:after="0" w:line="193" w:lineRule="exact"/>
              <w:rPr>
                <w:sz w:val="20"/>
                <w:szCs w:val="20"/>
                <w:color w:val="auto"/>
              </w:rPr>
            </w:pPr>
            <w:r>
              <w:rPr>
                <w:rFonts w:ascii="Calibri" w:cs="Calibri" w:eastAsia="Calibri" w:hAnsi="Calibri"/>
                <w:sz w:val="16"/>
                <w:szCs w:val="16"/>
                <w:color w:val="auto"/>
                <w:w w:val="98"/>
              </w:rPr>
              <w:t>329</w:t>
            </w:r>
          </w:p>
        </w:tc>
        <w:tc>
          <w:tcPr>
            <w:tcW w:w="160" w:type="dxa"/>
            <w:vAlign w:val="bottom"/>
          </w:tcPr>
          <w:p>
            <w:pPr>
              <w:spacing w:after="0"/>
              <w:rPr>
                <w:sz w:val="16"/>
                <w:szCs w:val="16"/>
                <w:color w:val="auto"/>
              </w:rPr>
            </w:pPr>
          </w:p>
        </w:tc>
        <w:tc>
          <w:tcPr>
            <w:tcW w:w="1360" w:type="dxa"/>
            <w:vAlign w:val="bottom"/>
          </w:tcPr>
          <w:p>
            <w:pPr>
              <w:jc w:val="center"/>
              <w:spacing w:after="0" w:line="193" w:lineRule="exact"/>
              <w:rPr>
                <w:sz w:val="20"/>
                <w:szCs w:val="20"/>
                <w:color w:val="auto"/>
              </w:rPr>
            </w:pPr>
            <w:r>
              <w:rPr>
                <w:rFonts w:ascii="Calibri" w:cs="Calibri" w:eastAsia="Calibri" w:hAnsi="Calibri"/>
                <w:sz w:val="16"/>
                <w:szCs w:val="16"/>
                <w:color w:val="auto"/>
                <w:w w:val="98"/>
              </w:rPr>
              <w:t>329</w:t>
            </w: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100" w:type="dxa"/>
            <w:vAlign w:val="bottom"/>
            <w:tcBorders>
              <w:bottom w:val="single" w:sz="8" w:color="CCEEFF"/>
            </w:tcBorders>
            <w:gridSpan w:val="2"/>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A319/A320</w:t>
            </w:r>
          </w:p>
        </w:tc>
        <w:tc>
          <w:tcPr>
            <w:tcW w:w="1340" w:type="dxa"/>
            <w:vAlign w:val="bottom"/>
            <w:tcBorders>
              <w:bottom w:val="single" w:sz="8" w:color="CCEEFF"/>
            </w:tcBorders>
            <w:shd w:val="clear" w:color="auto" w:fill="CCEEFF"/>
          </w:tcPr>
          <w:p>
            <w:pPr>
              <w:jc w:val="center"/>
              <w:spacing w:after="0" w:line="193" w:lineRule="exact"/>
              <w:rPr>
                <w:sz w:val="20"/>
                <w:szCs w:val="20"/>
                <w:color w:val="auto"/>
              </w:rPr>
            </w:pPr>
            <w:r>
              <w:rPr>
                <w:rFonts w:ascii="Calibri" w:cs="Calibri" w:eastAsia="Calibri" w:hAnsi="Calibri"/>
                <w:sz w:val="16"/>
                <w:szCs w:val="16"/>
                <w:color w:val="auto"/>
                <w:w w:val="98"/>
              </w:rPr>
              <w:t>170</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center"/>
              <w:spacing w:after="0" w:line="193" w:lineRule="exact"/>
              <w:rPr>
                <w:sz w:val="20"/>
                <w:szCs w:val="20"/>
                <w:color w:val="auto"/>
              </w:rPr>
            </w:pPr>
            <w:r>
              <w:rPr>
                <w:rFonts w:ascii="Calibri" w:cs="Calibri" w:eastAsia="Calibri" w:hAnsi="Calibri"/>
                <w:sz w:val="16"/>
                <w:szCs w:val="16"/>
                <w:color w:val="auto"/>
              </w:rPr>
              <w:t>166</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spacing w:after="0" w:line="193" w:lineRule="exact"/>
              <w:rPr>
                <w:sz w:val="20"/>
                <w:szCs w:val="20"/>
                <w:color w:val="auto"/>
              </w:rPr>
            </w:pPr>
            <w:r>
              <w:rPr>
                <w:rFonts w:ascii="Calibri" w:cs="Calibri" w:eastAsia="Calibri" w:hAnsi="Calibri"/>
                <w:sz w:val="16"/>
                <w:szCs w:val="16"/>
                <w:color w:val="auto"/>
                <w:w w:val="98"/>
              </w:rPr>
              <w:t>158</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spacing w:after="0" w:line="193" w:lineRule="exact"/>
              <w:rPr>
                <w:sz w:val="20"/>
                <w:szCs w:val="20"/>
                <w:color w:val="auto"/>
              </w:rPr>
            </w:pPr>
            <w:r>
              <w:rPr>
                <w:rFonts w:ascii="Calibri" w:cs="Calibri" w:eastAsia="Calibri" w:hAnsi="Calibri"/>
                <w:sz w:val="16"/>
                <w:szCs w:val="16"/>
                <w:color w:val="auto"/>
                <w:w w:val="98"/>
              </w:rPr>
              <w:t>157</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510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A321neo/XLR</w:t>
            </w:r>
          </w:p>
        </w:tc>
        <w:tc>
          <w:tcPr>
            <w:tcW w:w="1340" w:type="dxa"/>
            <w:vAlign w:val="bottom"/>
          </w:tcPr>
          <w:p>
            <w:pPr>
              <w:jc w:val="center"/>
              <w:spacing w:after="0" w:line="193" w:lineRule="exact"/>
              <w:rPr>
                <w:sz w:val="20"/>
                <w:szCs w:val="20"/>
                <w:color w:val="auto"/>
              </w:rPr>
            </w:pPr>
            <w:r>
              <w:rPr>
                <w:rFonts w:ascii="Calibri" w:cs="Calibri" w:eastAsia="Calibri" w:hAnsi="Calibri"/>
                <w:sz w:val="16"/>
                <w:szCs w:val="16"/>
                <w:color w:val="auto"/>
                <w:w w:val="97"/>
              </w:rPr>
              <w:t>7</w:t>
            </w:r>
          </w:p>
        </w:tc>
        <w:tc>
          <w:tcPr>
            <w:tcW w:w="140" w:type="dxa"/>
            <w:vAlign w:val="bottom"/>
          </w:tcPr>
          <w:p>
            <w:pPr>
              <w:spacing w:after="0"/>
              <w:rPr>
                <w:sz w:val="16"/>
                <w:szCs w:val="16"/>
                <w:color w:val="auto"/>
              </w:rPr>
            </w:pPr>
          </w:p>
        </w:tc>
        <w:tc>
          <w:tcPr>
            <w:tcW w:w="1340" w:type="dxa"/>
            <w:vAlign w:val="bottom"/>
          </w:tcPr>
          <w:p>
            <w:pPr>
              <w:jc w:val="center"/>
              <w:spacing w:after="0" w:line="193" w:lineRule="exact"/>
              <w:rPr>
                <w:sz w:val="20"/>
                <w:szCs w:val="20"/>
                <w:color w:val="auto"/>
              </w:rPr>
            </w:pPr>
            <w:r>
              <w:rPr>
                <w:rFonts w:ascii="Calibri" w:cs="Calibri" w:eastAsia="Calibri" w:hAnsi="Calibri"/>
                <w:sz w:val="16"/>
                <w:szCs w:val="16"/>
                <w:color w:val="auto"/>
              </w:rPr>
              <w:t>12</w:t>
            </w:r>
          </w:p>
        </w:tc>
        <w:tc>
          <w:tcPr>
            <w:tcW w:w="160" w:type="dxa"/>
            <w:vAlign w:val="bottom"/>
          </w:tcPr>
          <w:p>
            <w:pPr>
              <w:spacing w:after="0"/>
              <w:rPr>
                <w:sz w:val="16"/>
                <w:szCs w:val="16"/>
                <w:color w:val="auto"/>
              </w:rPr>
            </w:pPr>
          </w:p>
        </w:tc>
        <w:tc>
          <w:tcPr>
            <w:tcW w:w="1360" w:type="dxa"/>
            <w:vAlign w:val="bottom"/>
          </w:tcPr>
          <w:p>
            <w:pPr>
              <w:jc w:val="center"/>
              <w:spacing w:after="0" w:line="193" w:lineRule="exact"/>
              <w:rPr>
                <w:sz w:val="20"/>
                <w:szCs w:val="20"/>
                <w:color w:val="auto"/>
              </w:rPr>
            </w:pPr>
            <w:r>
              <w:rPr>
                <w:rFonts w:ascii="Calibri" w:cs="Calibri" w:eastAsia="Calibri" w:hAnsi="Calibri"/>
                <w:sz w:val="16"/>
                <w:szCs w:val="16"/>
                <w:color w:val="auto"/>
                <w:w w:val="98"/>
              </w:rPr>
              <w:t>21</w:t>
            </w:r>
          </w:p>
        </w:tc>
        <w:tc>
          <w:tcPr>
            <w:tcW w:w="160" w:type="dxa"/>
            <w:vAlign w:val="bottom"/>
          </w:tcPr>
          <w:p>
            <w:pPr>
              <w:spacing w:after="0"/>
              <w:rPr>
                <w:sz w:val="16"/>
                <w:szCs w:val="16"/>
                <w:color w:val="auto"/>
              </w:rPr>
            </w:pPr>
          </w:p>
        </w:tc>
        <w:tc>
          <w:tcPr>
            <w:tcW w:w="1360" w:type="dxa"/>
            <w:vAlign w:val="bottom"/>
          </w:tcPr>
          <w:p>
            <w:pPr>
              <w:jc w:val="center"/>
              <w:spacing w:after="0" w:line="193" w:lineRule="exact"/>
              <w:rPr>
                <w:sz w:val="20"/>
                <w:szCs w:val="20"/>
                <w:color w:val="auto"/>
              </w:rPr>
            </w:pPr>
            <w:r>
              <w:rPr>
                <w:rFonts w:ascii="Calibri" w:cs="Calibri" w:eastAsia="Calibri" w:hAnsi="Calibri"/>
                <w:sz w:val="16"/>
                <w:szCs w:val="16"/>
                <w:color w:val="auto"/>
                <w:w w:val="98"/>
              </w:rPr>
              <w:t>30</w:t>
            </w: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510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Total Mainline Aircraf</w:t>
            </w: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5100" w:type="dxa"/>
            <w:vAlign w:val="bottom"/>
            <w:gridSpan w:val="2"/>
            <w:vMerge w:val="continue"/>
          </w:tcPr>
          <w:p>
            <w:pPr>
              <w:spacing w:after="0"/>
              <w:rPr>
                <w:sz w:val="16"/>
                <w:szCs w:val="16"/>
                <w:color w:val="auto"/>
              </w:rPr>
            </w:pPr>
          </w:p>
        </w:tc>
        <w:tc>
          <w:tcPr>
            <w:tcW w:w="134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w w:val="98"/>
              </w:rPr>
              <w:t>953</w:t>
            </w:r>
          </w:p>
        </w:tc>
        <w:tc>
          <w:tcPr>
            <w:tcW w:w="140" w:type="dxa"/>
            <w:vAlign w:val="bottom"/>
          </w:tcPr>
          <w:p>
            <w:pPr>
              <w:spacing w:after="0"/>
              <w:rPr>
                <w:sz w:val="16"/>
                <w:szCs w:val="16"/>
                <w:color w:val="auto"/>
              </w:rPr>
            </w:pPr>
          </w:p>
        </w:tc>
        <w:tc>
          <w:tcPr>
            <w:tcW w:w="134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958</w:t>
            </w:r>
          </w:p>
        </w:tc>
        <w:tc>
          <w:tcPr>
            <w:tcW w:w="160" w:type="dxa"/>
            <w:vAlign w:val="bottom"/>
          </w:tcPr>
          <w:p>
            <w:pPr>
              <w:spacing w:after="0"/>
              <w:rPr>
                <w:sz w:val="16"/>
                <w:szCs w:val="16"/>
                <w:color w:val="auto"/>
              </w:rPr>
            </w:pPr>
          </w:p>
        </w:tc>
        <w:tc>
          <w:tcPr>
            <w:tcW w:w="136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w w:val="98"/>
              </w:rPr>
              <w:t>971</w:t>
            </w:r>
          </w:p>
        </w:tc>
        <w:tc>
          <w:tcPr>
            <w:tcW w:w="160" w:type="dxa"/>
            <w:vAlign w:val="bottom"/>
          </w:tcPr>
          <w:p>
            <w:pPr>
              <w:spacing w:after="0"/>
              <w:rPr>
                <w:sz w:val="16"/>
                <w:szCs w:val="16"/>
                <w:color w:val="auto"/>
              </w:rPr>
            </w:pPr>
          </w:p>
        </w:tc>
        <w:tc>
          <w:tcPr>
            <w:tcW w:w="136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w w:val="98"/>
              </w:rPr>
              <w:t>996</w:t>
            </w: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100" w:type="dxa"/>
            <w:vAlign w:val="bottom"/>
            <w:tcBorders>
              <w:bottom w:val="single" w:sz="8" w:color="CCEEFF"/>
            </w:tcBorders>
            <w:gridSpan w:val="2"/>
            <w:shd w:val="clear" w:color="auto" w:fill="CCEEFF"/>
          </w:tcPr>
          <w:p>
            <w:pPr>
              <w:ind w:left="20"/>
              <w:spacing w:after="0" w:line="193" w:lineRule="exact"/>
              <w:rPr>
                <w:sz w:val="20"/>
                <w:szCs w:val="20"/>
                <w:color w:val="auto"/>
              </w:rPr>
            </w:pPr>
            <w:r>
              <w:rPr>
                <w:rFonts w:ascii="Calibri" w:cs="Calibri" w:eastAsia="Calibri" w:hAnsi="Calibri"/>
                <w:sz w:val="16"/>
                <w:szCs w:val="16"/>
                <w:color w:val="auto"/>
              </w:rPr>
              <w:t>50-seat (ERJ-145, CRJ-200, CRJ-550)</w:t>
            </w:r>
          </w:p>
        </w:tc>
        <w:tc>
          <w:tcPr>
            <w:tcW w:w="1340" w:type="dxa"/>
            <w:vAlign w:val="bottom"/>
            <w:tcBorders>
              <w:bottom w:val="single" w:sz="8" w:color="CCEEFF"/>
            </w:tcBorders>
            <w:shd w:val="clear" w:color="auto" w:fill="CCEEFF"/>
          </w:tcPr>
          <w:p>
            <w:pPr>
              <w:jc w:val="center"/>
              <w:spacing w:after="0" w:line="193" w:lineRule="exact"/>
              <w:rPr>
                <w:sz w:val="20"/>
                <w:szCs w:val="20"/>
                <w:color w:val="auto"/>
              </w:rPr>
            </w:pPr>
            <w:r>
              <w:rPr>
                <w:rFonts w:ascii="Calibri" w:cs="Calibri" w:eastAsia="Calibri" w:hAnsi="Calibri"/>
                <w:sz w:val="16"/>
                <w:szCs w:val="16"/>
                <w:color w:val="auto"/>
                <w:w w:val="98"/>
              </w:rPr>
              <w:t>158</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center"/>
              <w:spacing w:after="0" w:line="193" w:lineRule="exact"/>
              <w:rPr>
                <w:sz w:val="20"/>
                <w:szCs w:val="20"/>
                <w:color w:val="auto"/>
              </w:rPr>
            </w:pPr>
            <w:r>
              <w:rPr>
                <w:rFonts w:ascii="Calibri" w:cs="Calibri" w:eastAsia="Calibri" w:hAnsi="Calibri"/>
                <w:sz w:val="16"/>
                <w:szCs w:val="16"/>
                <w:color w:val="auto"/>
              </w:rPr>
              <w:t>156</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spacing w:after="0" w:line="193" w:lineRule="exact"/>
              <w:rPr>
                <w:sz w:val="20"/>
                <w:szCs w:val="20"/>
                <w:color w:val="auto"/>
              </w:rPr>
            </w:pPr>
            <w:r>
              <w:rPr>
                <w:rFonts w:ascii="Calibri" w:cs="Calibri" w:eastAsia="Calibri" w:hAnsi="Calibri"/>
                <w:sz w:val="16"/>
                <w:szCs w:val="16"/>
                <w:color w:val="auto"/>
                <w:w w:val="98"/>
              </w:rPr>
              <w:t>154</w:t>
            </w:r>
          </w:p>
        </w:tc>
        <w:tc>
          <w:tcPr>
            <w:tcW w:w="1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spacing w:after="0" w:line="193" w:lineRule="exact"/>
              <w:rPr>
                <w:sz w:val="20"/>
                <w:szCs w:val="20"/>
                <w:color w:val="auto"/>
              </w:rPr>
            </w:pPr>
            <w:r>
              <w:rPr>
                <w:rFonts w:ascii="Calibri" w:cs="Calibri" w:eastAsia="Calibri" w:hAnsi="Calibri"/>
                <w:sz w:val="16"/>
                <w:szCs w:val="16"/>
                <w:color w:val="auto"/>
                <w:w w:val="98"/>
              </w:rPr>
              <w:t>145</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510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70/76-seat (CRJ-700, CRJ-900, EMB-170, EMB-175, EMB-175LL)</w:t>
            </w:r>
          </w:p>
        </w:tc>
        <w:tc>
          <w:tcPr>
            <w:tcW w:w="1340" w:type="dxa"/>
            <w:vAlign w:val="bottom"/>
          </w:tcPr>
          <w:p>
            <w:pPr>
              <w:jc w:val="center"/>
              <w:spacing w:after="0" w:line="193" w:lineRule="exact"/>
              <w:rPr>
                <w:sz w:val="20"/>
                <w:szCs w:val="20"/>
                <w:color w:val="auto"/>
              </w:rPr>
            </w:pPr>
            <w:r>
              <w:rPr>
                <w:rFonts w:ascii="Calibri" w:cs="Calibri" w:eastAsia="Calibri" w:hAnsi="Calibri"/>
                <w:sz w:val="16"/>
                <w:szCs w:val="16"/>
                <w:color w:val="auto"/>
                <w:w w:val="98"/>
              </w:rPr>
              <w:t>255</w:t>
            </w:r>
          </w:p>
        </w:tc>
        <w:tc>
          <w:tcPr>
            <w:tcW w:w="140" w:type="dxa"/>
            <w:vAlign w:val="bottom"/>
          </w:tcPr>
          <w:p>
            <w:pPr>
              <w:spacing w:after="0"/>
              <w:rPr>
                <w:sz w:val="16"/>
                <w:szCs w:val="16"/>
                <w:color w:val="auto"/>
              </w:rPr>
            </w:pPr>
          </w:p>
        </w:tc>
        <w:tc>
          <w:tcPr>
            <w:tcW w:w="1340" w:type="dxa"/>
            <w:vAlign w:val="bottom"/>
          </w:tcPr>
          <w:p>
            <w:pPr>
              <w:jc w:val="center"/>
              <w:spacing w:after="0" w:line="193" w:lineRule="exact"/>
              <w:rPr>
                <w:sz w:val="20"/>
                <w:szCs w:val="20"/>
                <w:color w:val="auto"/>
              </w:rPr>
            </w:pPr>
            <w:r>
              <w:rPr>
                <w:rFonts w:ascii="Calibri" w:cs="Calibri" w:eastAsia="Calibri" w:hAnsi="Calibri"/>
                <w:sz w:val="16"/>
                <w:szCs w:val="16"/>
                <w:color w:val="auto"/>
              </w:rPr>
              <w:t>255</w:t>
            </w:r>
          </w:p>
        </w:tc>
        <w:tc>
          <w:tcPr>
            <w:tcW w:w="160" w:type="dxa"/>
            <w:vAlign w:val="bottom"/>
          </w:tcPr>
          <w:p>
            <w:pPr>
              <w:spacing w:after="0"/>
              <w:rPr>
                <w:sz w:val="16"/>
                <w:szCs w:val="16"/>
                <w:color w:val="auto"/>
              </w:rPr>
            </w:pPr>
          </w:p>
        </w:tc>
        <w:tc>
          <w:tcPr>
            <w:tcW w:w="1360" w:type="dxa"/>
            <w:vAlign w:val="bottom"/>
          </w:tcPr>
          <w:p>
            <w:pPr>
              <w:jc w:val="center"/>
              <w:spacing w:after="0" w:line="193" w:lineRule="exact"/>
              <w:rPr>
                <w:sz w:val="20"/>
                <w:szCs w:val="20"/>
                <w:color w:val="auto"/>
              </w:rPr>
            </w:pPr>
            <w:r>
              <w:rPr>
                <w:rFonts w:ascii="Calibri" w:cs="Calibri" w:eastAsia="Calibri" w:hAnsi="Calibri"/>
                <w:sz w:val="16"/>
                <w:szCs w:val="16"/>
                <w:color w:val="auto"/>
                <w:w w:val="98"/>
              </w:rPr>
              <w:t>255</w:t>
            </w:r>
          </w:p>
        </w:tc>
        <w:tc>
          <w:tcPr>
            <w:tcW w:w="160" w:type="dxa"/>
            <w:vAlign w:val="bottom"/>
          </w:tcPr>
          <w:p>
            <w:pPr>
              <w:spacing w:after="0"/>
              <w:rPr>
                <w:sz w:val="16"/>
                <w:szCs w:val="16"/>
                <w:color w:val="auto"/>
              </w:rPr>
            </w:pPr>
          </w:p>
        </w:tc>
        <w:tc>
          <w:tcPr>
            <w:tcW w:w="1360" w:type="dxa"/>
            <w:vAlign w:val="bottom"/>
          </w:tcPr>
          <w:p>
            <w:pPr>
              <w:jc w:val="center"/>
              <w:spacing w:after="0" w:line="193" w:lineRule="exact"/>
              <w:rPr>
                <w:sz w:val="20"/>
                <w:szCs w:val="20"/>
                <w:color w:val="auto"/>
              </w:rPr>
            </w:pPr>
            <w:r>
              <w:rPr>
                <w:rFonts w:ascii="Calibri" w:cs="Calibri" w:eastAsia="Calibri" w:hAnsi="Calibri"/>
                <w:sz w:val="16"/>
                <w:szCs w:val="16"/>
                <w:color w:val="auto"/>
                <w:w w:val="98"/>
              </w:rPr>
              <w:t>255</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510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Total Regional Aircraf</w:t>
            </w: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5100" w:type="dxa"/>
            <w:vAlign w:val="bottom"/>
            <w:gridSpan w:val="2"/>
            <w:vMerge w:val="continue"/>
          </w:tcPr>
          <w:p>
            <w:pPr>
              <w:spacing w:after="0"/>
              <w:rPr>
                <w:sz w:val="16"/>
                <w:szCs w:val="16"/>
                <w:color w:val="auto"/>
              </w:rPr>
            </w:pPr>
          </w:p>
        </w:tc>
        <w:tc>
          <w:tcPr>
            <w:tcW w:w="134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w w:val="98"/>
              </w:rPr>
              <w:t>413</w:t>
            </w:r>
          </w:p>
        </w:tc>
        <w:tc>
          <w:tcPr>
            <w:tcW w:w="140" w:type="dxa"/>
            <w:vAlign w:val="bottom"/>
          </w:tcPr>
          <w:p>
            <w:pPr>
              <w:spacing w:after="0"/>
              <w:rPr>
                <w:sz w:val="16"/>
                <w:szCs w:val="16"/>
                <w:color w:val="auto"/>
              </w:rPr>
            </w:pPr>
          </w:p>
        </w:tc>
        <w:tc>
          <w:tcPr>
            <w:tcW w:w="134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411</w:t>
            </w:r>
          </w:p>
        </w:tc>
        <w:tc>
          <w:tcPr>
            <w:tcW w:w="160" w:type="dxa"/>
            <w:vAlign w:val="bottom"/>
          </w:tcPr>
          <w:p>
            <w:pPr>
              <w:spacing w:after="0"/>
              <w:rPr>
                <w:sz w:val="16"/>
                <w:szCs w:val="16"/>
                <w:color w:val="auto"/>
              </w:rPr>
            </w:pPr>
          </w:p>
        </w:tc>
        <w:tc>
          <w:tcPr>
            <w:tcW w:w="136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w w:val="98"/>
              </w:rPr>
              <w:t>409</w:t>
            </w:r>
          </w:p>
        </w:tc>
        <w:tc>
          <w:tcPr>
            <w:tcW w:w="160" w:type="dxa"/>
            <w:vAlign w:val="bottom"/>
          </w:tcPr>
          <w:p>
            <w:pPr>
              <w:spacing w:after="0"/>
              <w:rPr>
                <w:sz w:val="16"/>
                <w:szCs w:val="16"/>
                <w:color w:val="auto"/>
              </w:rPr>
            </w:pPr>
          </w:p>
        </w:tc>
        <w:tc>
          <w:tcPr>
            <w:tcW w:w="136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w w:val="98"/>
              </w:rPr>
              <w:t>400</w:t>
            </w: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60"/>
        <w:spacing w:after="0"/>
        <w:rPr>
          <w:sz w:val="20"/>
          <w:szCs w:val="20"/>
          <w:color w:val="auto"/>
        </w:rPr>
      </w:pPr>
      <w:r>
        <w:rPr>
          <w:rFonts w:ascii="Calibri" w:cs="Calibri" w:eastAsia="Calibri" w:hAnsi="Calibri"/>
          <w:sz w:val="16"/>
          <w:szCs w:val="16"/>
          <w:color w:val="auto"/>
        </w:rPr>
        <w:t>Note: Above fgures correspond with current expectatons for future delivery dates, which are subject to change.</w:t>
      </w: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Calibri" w:cs="Calibri" w:eastAsia="Calibri" w:hAnsi="Calibri"/>
          <w:sz w:val="16"/>
          <w:szCs w:val="16"/>
          <w:color w:val="auto"/>
        </w:rPr>
        <w:t>2</w:t>
      </w:r>
    </w:p>
    <w:p>
      <w:pPr>
        <w:sectPr>
          <w:pgSz w:w="11900" w:h="16838" w:orient="portrait"/>
          <w:cols w:equalWidth="0" w:num="1">
            <w:col w:w="11100"/>
          </w:cols>
          <w:pgMar w:left="320" w:top="1440" w:right="479" w:bottom="1440" w:gutter="0" w:footer="0" w:header="0"/>
        </w:sectPr>
      </w:pPr>
    </w:p>
    <w:bookmarkStart w:id="22" w:name="page23"/>
    <w:bookmarkEnd w:id="22"/>
    <w:p>
      <w:pPr>
        <w:spacing w:after="0"/>
        <w:rPr>
          <w:sz w:val="20"/>
          <w:szCs w:val="20"/>
          <w:color w:val="auto"/>
        </w:rPr>
      </w:pPr>
      <w:r>
        <w:rPr>
          <w:rFonts w:ascii="Calibri" w:cs="Calibri" w:eastAsia="Calibri" w:hAnsi="Calibri"/>
          <w:sz w:val="16"/>
          <w:szCs w:val="16"/>
          <w:b w:val="1"/>
          <w:bCs w:val="1"/>
          <w:color w:val="auto"/>
        </w:rPr>
        <w:t>Cautonary Statement Regarding Forward-Looking Statements</w:t>
      </w:r>
    </w:p>
    <w:p>
      <w:pPr>
        <w:spacing w:after="0" w:line="9" w:lineRule="exact"/>
        <w:rPr>
          <w:sz w:val="20"/>
          <w:szCs w:val="20"/>
          <w:color w:val="auto"/>
        </w:rPr>
      </w:pPr>
    </w:p>
    <w:p>
      <w:pPr>
        <w:ind w:right="120"/>
        <w:spacing w:after="0" w:line="238" w:lineRule="auto"/>
        <w:rPr>
          <w:sz w:val="20"/>
          <w:szCs w:val="20"/>
          <w:color w:val="auto"/>
        </w:rPr>
      </w:pPr>
      <w:r>
        <w:rPr>
          <w:rFonts w:ascii="Calibri" w:cs="Calibri" w:eastAsia="Calibri" w:hAnsi="Calibri"/>
          <w:sz w:val="16"/>
          <w:szCs w:val="16"/>
          <w:color w:val="auto"/>
        </w:rPr>
        <w:t>This Investor Update contains certain "forward-looking statements," within the meaning of Secton 27A of the Securites Act of 1933, as amended, and Secton 21E of the Securites Exchange Act of 1934, as amended, relatng to, among other things, the Company’s antcipated fnancial results, proft sharing payouts and feet plans. Such forward-looking statements are based on historical performance and current expectatons, estmates, forecasts and projectons about the Company's future fnancial results, goals, plans, commitments, strategies and objectves and involve inherent risks, assumptons and uncertaintes, known or unknown, including internal or external factors that could delay, divert or change any of them, that are difcult to predict, may be beyond the Company's control and could cause the Company's future fnancial results, goals, plans, commitments, strategies and objectves to difer materially from those expressed in, or implied by, the statements. Words such as "should," "could," "would," "will," "may," "expects," "plans," "intends," "antcipates," "indicates," "remains," "believes," "estmates," "projects," "forecast," "guidance," "outlook," "goals," "targets," "pledge," "confdent," "optmistc," "dedicated," "positoned", "on track" and other words and terms of similar meaning and expression are intended to identfy forward-looking statements, although not all forward-looking statements contain such terms. All statements, other than those that relate solely to historical facts, are forward-looking statements. Additonally, forward-looking statements include conditonal statements and statements that identfy uncertaintes or trends, discuss the possible future efects of known trends or uncertaintes, or that indicate that the future efects of known trends or uncertaintes cannot be predicted, guaranteed or assured. All forward-looking statements in this Investor Update are based upon informaton available to the Company on the date of this Investor Update. The Company undertakes no obligaton to publicly update or revise any forward-looking statement, whether as a result of new informaton, future events, changed circumstances or otherwise, except as required by applicable law or regulaton.</w:t>
      </w:r>
    </w:p>
    <w:p>
      <w:pPr>
        <w:spacing w:after="0" w:line="6" w:lineRule="exact"/>
        <w:rPr>
          <w:sz w:val="20"/>
          <w:szCs w:val="20"/>
          <w:color w:val="auto"/>
        </w:rPr>
      </w:pPr>
    </w:p>
    <w:p>
      <w:pPr>
        <w:spacing w:after="0" w:line="222" w:lineRule="auto"/>
        <w:rPr>
          <w:sz w:val="20"/>
          <w:szCs w:val="20"/>
          <w:color w:val="auto"/>
        </w:rPr>
      </w:pPr>
      <w:r>
        <w:rPr>
          <w:rFonts w:ascii="Calibri" w:cs="Calibri" w:eastAsia="Calibri" w:hAnsi="Calibri"/>
          <w:sz w:val="16"/>
          <w:szCs w:val="16"/>
          <w:color w:val="auto"/>
        </w:rPr>
        <w:t>The Company’s actual results could difer materially from these forward-looking statements due to numerous factors including, without limitaton, the following: executon risks associated with our strategic operatng plan; changes in our feet and network strategy or other factors outside our control resultng in less economic aircraf orders, costs related to modifcaton or terminaton of aircraf orders or entry into aircraf orders on less favorable terms, as well as any inability to accept or integrate new aircraf into our feet as planned, including as a result of any mandatory groundings of aircraf; any failure to efectvely manage, and receive antcipated benefts and returns from, acquisitons, divesttures, investments, joint ventures and other portolio actons, or related exposures to unknown liabilites or other issues or underperformance as compared to our expectatons; adverse publicity, harm to our brand, reduced travel demand, potental tort liability and operatonal restrictons as a result of an accident, catastrophe or incident involving us, our regional carriers, our codeshare partners or another airline; the highly compettve nature of the global airline industry and susceptbility of the industry to price discountng and changes in capacity, including as a result of alliances, joint business arrangements or other consolidatons; our reliance on a limited number of suppliers to source a majority of our aircraf, engines and certain parts, and the impact of any failure to obtain tmely deliveries, additonal equipment or support from any of these suppliers; disruptons to our regional network and United Express fights provided by third-party regional carriers; unfavorable economic and politcal conditons in the United States and globally; reliance on third-party service providers and the impact of any signifcant failure of these partes to perform as expected, or interruptons in our relatonships with these providers or their provision of services; extended interruptons or disruptons in service at major airports where we operate and space, facility and infrastructure constraints at our hubs or other airports; geopolitcal confict, terrorist atacks or security events (including the suspension of our overfying in Russian airspace as a result of the Russia-Ukraine military confict and interruptons of our fying to Tel Aviv as a result of the Israeli-Hamas military confict, as well as any escalaton of the broader economic consequences of these conficts beyond their current scope); any damage to our reputaton or brand image; our reliance on technology and automated systems to operate our business and the impact of any signifcant failure or disrupton of, or failure to efectvely integrate and implement, these technologies or systems; increasing privacy, data security and cybersecurity obligatons or a signifcant data breach; increased use of social media platorms by us, our employees and others; the impacts of union disputes, employee strikes or slowdowns, and other labor-related disruptons or regulatory compliance costs on our operatons or fnancial performance; any failure to atract, train or retain skilled personnel, including our senior management team or other key employees; the monetary and operatonal costs of compliance with extensive government regulaton of the airline industry; current or future litgaton and regulatory actons, or failure to comply with the terms of any setlement, order or agreement relatng to these actons; costs, liabilites and risks associated with environmental regulaton and climate change, and any failure to achieve or demonstrate progress towards our climate goals; high and/or volatle fuel prices or signifcant disruptons in the supply of aircraf fuel; the impacts of our signifcant amount of fnancial leverage from fxed obligatons and the impacts of insufcient liquidity on our fnancial conditon and business; failure to comply with fnancial and other covenants governing our debt, including our MileagePlus® fnancing agreements; limitatons on our ability to use our net operatng loss carryforwards and certain other tax atributes to ofset future taxable income for U.S. federal income tax purposes; our failure to realize the full value of our intangible assets or our long-lived assets, causing us to record impairments; fuctuatons in the price of our common stock; the impacts of seasonality and other factors associated with the airline industry; increases in insurance costs or inadequate insurance coverage; and other risks and uncertaintes set forth in Part I, Item 1A. Risk Factors of our Annual Report on Form 10-K for the fscal year ended December 31, 2023, and in “Economic and Market Factors” and “Governmental Actons” in Part I, Item 2. Management’s Discussion and Analysis of Financial Conditon and Results of Operatons of our Quarterly Report on Form 10-Q for the fscal quarter ended March 31, 2024, as well as other risks and uncertaintes set forth from tme to tme in the reports we fle with the SEC.</w:t>
      </w:r>
    </w:p>
    <w:p>
      <w:pPr>
        <w:spacing w:after="0" w:line="20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Non-GAAP Financial Informaton and Financial Guidance</w:t>
      </w:r>
    </w:p>
    <w:p>
      <w:pPr>
        <w:spacing w:after="0" w:line="22" w:lineRule="exact"/>
        <w:rPr>
          <w:sz w:val="20"/>
          <w:szCs w:val="20"/>
          <w:color w:val="auto"/>
        </w:rPr>
      </w:pPr>
    </w:p>
    <w:p>
      <w:pPr>
        <w:ind w:right="60"/>
        <w:spacing w:after="0" w:line="238" w:lineRule="auto"/>
        <w:rPr>
          <w:sz w:val="20"/>
          <w:szCs w:val="20"/>
          <w:color w:val="auto"/>
        </w:rPr>
      </w:pPr>
      <w:r>
        <w:rPr>
          <w:rFonts w:ascii="Calibri" w:cs="Calibri" w:eastAsia="Calibri" w:hAnsi="Calibri"/>
          <w:sz w:val="16"/>
          <w:szCs w:val="16"/>
          <w:color w:val="auto"/>
        </w:rPr>
        <w:t>The Company refers to fnancial measures that are not in accordance with GAAP. The non-GAAP fnancial measures are provided as supplemental informaton to the fnancial measures presented in this Investor Update that are calculated and presented in accordance with GAAP and are presented because management believes that they supplement or enhance management's, analysts' and investors' overall understanding of the Company's underlying fnancial performance and trends and facilitate comparisons among current, past and future periods. Because the non-GAAP fnancial measures are not calculated in accordance with GAAP, they should not be considered superior to and are not intended to be considered in isolaton or as a substtute for the related GAAP fnancial measures presented in the Company’s flings with the SEC and may not be the same as or comparable to similarly ttled measures presented by other companies due to possible diferences in method and in the items being adjusted. The Company encourages investors to review its fnancial statements and publicly-fled reports in their entrety and not to rely on any single fnancial measure. The Company does not provide a reconciliaton of forward-looking measures where the Company believes such a reconciliaton would imply a degree of precision and certainty that could be confusing</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color w:val="auto"/>
        </w:rPr>
        <w:t>3</w:t>
      </w:r>
    </w:p>
    <w:p>
      <w:pPr>
        <w:sectPr>
          <w:pgSz w:w="11900" w:h="16838" w:orient="portrait"/>
          <w:cols w:equalWidth="0" w:num="1">
            <w:col w:w="11240"/>
          </w:cols>
          <w:pgMar w:left="320" w:top="916" w:right="339" w:bottom="1440" w:gutter="0" w:footer="0" w:header="0"/>
        </w:sectPr>
      </w:pPr>
    </w:p>
    <w:bookmarkStart w:id="23" w:name="page24"/>
    <w:bookmarkEnd w:id="23"/>
    <w:p>
      <w:pPr>
        <w:spacing w:after="0" w:line="237" w:lineRule="auto"/>
        <w:rPr>
          <w:sz w:val="20"/>
          <w:szCs w:val="20"/>
          <w:color w:val="auto"/>
        </w:rPr>
      </w:pPr>
      <w:r>
        <w:rPr>
          <w:rFonts w:ascii="Calibri" w:cs="Calibri" w:eastAsia="Calibri" w:hAnsi="Calibri"/>
          <w:sz w:val="16"/>
          <w:szCs w:val="16"/>
          <w:color w:val="auto"/>
        </w:rPr>
        <w:t>to investors and is unable to reasonably predict certain items contained in the GAAP measures without unreasonable eforts. This is due to the inherent difculty of forecastng the tming or amount of various items that have not yet occurred and are out of the Company's control or cannot be reasonably predicted. For the same reasons, the Company is unable to address the probable signifcance of the unavailable informaton. Forward-looking non-GAAP fnancial measures provided without the most directly comparable GAAP fnancial measures may vary materially from the corresponding GAAP fnancial measures.</w:t>
      </w:r>
    </w:p>
    <w:p>
      <w:pPr>
        <w:spacing w:after="0" w:line="10" w:lineRule="exact"/>
        <w:rPr>
          <w:sz w:val="20"/>
          <w:szCs w:val="20"/>
          <w:color w:val="auto"/>
        </w:rPr>
      </w:pPr>
    </w:p>
    <w:p>
      <w:pPr>
        <w:jc w:val="center"/>
        <w:ind w:right="-159"/>
        <w:spacing w:after="0"/>
        <w:rPr>
          <w:sz w:val="20"/>
          <w:szCs w:val="20"/>
          <w:color w:val="auto"/>
        </w:rPr>
      </w:pPr>
      <w:r>
        <w:rPr>
          <w:rFonts w:ascii="Calibri" w:cs="Calibri" w:eastAsia="Calibri" w:hAnsi="Calibri"/>
          <w:sz w:val="16"/>
          <w:szCs w:val="16"/>
          <w:color w:val="auto"/>
        </w:rPr>
        <w:t>####</w:t>
      </w:r>
    </w:p>
    <w:p>
      <w:pPr>
        <w:spacing w:after="0" w:line="200" w:lineRule="exact"/>
        <w:rPr>
          <w:sz w:val="20"/>
          <w:szCs w:val="20"/>
          <w:color w:val="auto"/>
        </w:rPr>
      </w:pPr>
    </w:p>
    <w:p>
      <w:pPr>
        <w:spacing w:after="0" w:line="388" w:lineRule="exact"/>
        <w:rPr>
          <w:sz w:val="20"/>
          <w:szCs w:val="20"/>
          <w:color w:val="auto"/>
        </w:rPr>
      </w:pPr>
    </w:p>
    <w:p>
      <w:pPr>
        <w:jc w:val="center"/>
        <w:ind w:right="-159"/>
        <w:spacing w:after="0"/>
        <w:rPr>
          <w:sz w:val="20"/>
          <w:szCs w:val="20"/>
          <w:color w:val="auto"/>
        </w:rPr>
      </w:pPr>
      <w:r>
        <w:rPr>
          <w:rFonts w:ascii="Calibri" w:cs="Calibri" w:eastAsia="Calibri" w:hAnsi="Calibri"/>
          <w:sz w:val="16"/>
          <w:szCs w:val="16"/>
          <w:color w:val="auto"/>
        </w:rPr>
        <w:t>4</w:t>
      </w:r>
    </w:p>
    <w:sectPr>
      <w:pgSz w:w="11900" w:h="16838" w:orient="portrait"/>
      <w:cols w:equalWidth="0" w:num="1">
        <w:col w:w="11080"/>
      </w:cols>
      <w:pgMar w:left="320" w:top="90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872"/>
    </w:lvl>
  </w:abstractNum>
  <w:abstractNum w:abstractNumId="1">
    <w:nsid w:val="1190CDE7"/>
    <w:multiLevelType w:val="hybridMultilevel"/>
    <w:lvl w:ilvl="0">
      <w:lvlJc w:val="left"/>
      <w:lvlText w:val="(%1)"/>
      <w:numFmt w:val="decimal"/>
      <w:start w:val="872"/>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bullet"/>
      <w:start w:val="1"/>
    </w:lvl>
  </w:abstractNum>
  <w:abstractNum w:abstractNumId="4">
    <w:nsid w:val="3352255A"/>
    <w:multiLevelType w:val="hybridMultilevel"/>
    <w:lvl w:ilvl="0">
      <w:lvlJc w:val="left"/>
      <w:lvlText w:val="2"/>
      <w:numFmt w:val="bullet"/>
      <w:start w:val="1"/>
    </w:lvl>
  </w:abstractNum>
  <w:abstractNum w:abstractNumId="5">
    <w:nsid w:val="109CF92E"/>
    <w:multiLevelType w:val="hybridMultilevel"/>
    <w:lvl w:ilvl="0">
      <w:lvlJc w:val="left"/>
      <w:lvlText w:val="3"/>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4"/>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bullet"/>
      <w:start w:val="1"/>
    </w:lvl>
  </w:abstractNum>
  <w:abstractNum w:abstractNumId="19">
    <w:nsid w:val="436C6125"/>
    <w:multiLevelType w:val="hybridMultilevel"/>
    <w:lvl w:ilvl="0">
      <w:lvlJc w:val="left"/>
      <w:lvlText w:val="1"/>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2024-07-17T15:08:36Z</dcterms:created>
  <dcterms:modified xsi:type="dcterms:W3CDTF">2024-07-17T15:08:36Z</dcterms:modified>
</cp:coreProperties>
</file>