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Gebo Kate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66100 HDQLD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United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EVP HR and Labor Relations</w:t>
      </w:r>
    </w:p>
    <w:p>
      <w:pPr>
        <w:spacing w:after="0" w:line="333" w:lineRule="exact"/>
        <w:rPr>
          <w:sz w:val="24"/>
          <w:szCs w:val="24"/>
          <w:color w:val="auto"/>
        </w:rPr>
      </w:pPr>
    </w:p>
    <w:p>
      <w:pPr>
        <w:sectPr>
          <w:pgSz w:w="11900" w:h="16838" w:orient="portrait"/>
          <w:cols w:equalWidth="0" w:num="3">
            <w:col w:w="3200" w:space="720"/>
            <w:col w:w="3240" w:space="575"/>
            <w:col w:w="3345"/>
          </w:cols>
          <w:pgMar w:left="460" w:top="219" w:right="359" w:bottom="1006"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35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540" w:type="dxa"/>
            <w:vAlign w:val="bottom"/>
            <w:gridSpan w:val="8"/>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60666</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tcPr>
          <w:p>
            <w:pPr>
              <w:ind w:left="3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90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1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jc w:val="center"/>
              <w:ind w:right="1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60" w:type="dxa"/>
            <w:vAlign w:val="bottom"/>
            <w:gridSpan w:val="2"/>
          </w:tcPr>
          <w:p>
            <w:pPr>
              <w:jc w:val="center"/>
              <w:ind w:left="30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 or</w:t>
            </w:r>
          </w:p>
        </w:tc>
        <w:tc>
          <w:tcPr>
            <w:tcW w:w="38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3"/>
                <w:szCs w:val="13"/>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80" w:type="dxa"/>
            <w:vAlign w:val="bottom"/>
          </w:tcPr>
          <w:p>
            <w:pPr>
              <w:spacing w:after="0"/>
              <w:rPr>
                <w:sz w:val="13"/>
                <w:szCs w:val="13"/>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3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8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tcPr>
          <w:p>
            <w:pPr>
              <w:jc w:val="center"/>
              <w:ind w:right="19"/>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3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26"/>
              <w:spacing w:after="0"/>
              <w:rPr>
                <w:sz w:val="20"/>
                <w:szCs w:val="20"/>
                <w:color w:val="auto"/>
              </w:rPr>
            </w:pPr>
            <w:r>
              <w:rPr>
                <w:rFonts w:ascii="Times New Roman" w:cs="Times New Roman" w:eastAsia="Times New Roman" w:hAnsi="Times New Roman"/>
                <w:sz w:val="17"/>
                <w:szCs w:val="17"/>
                <w:color w:val="0000FF"/>
              </w:rPr>
              <w:t>05/26/2026</w:t>
            </w: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34,669</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2"/>
          </w:tcPr>
          <w:p>
            <w:pPr>
              <w:jc w:val="center"/>
              <w:ind w:left="7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105.414</w:t>
            </w:r>
            <w:r>
              <w:rPr>
                <w:rFonts w:ascii="Times New Roman" w:cs="Times New Roman" w:eastAsia="Times New Roman" w:hAnsi="Times New Roman"/>
                <w:sz w:val="22"/>
                <w:szCs w:val="22"/>
                <w:color w:val="008000"/>
                <w:w w:val="95"/>
                <w:vertAlign w:val="superscript"/>
              </w:rPr>
              <w:t>(1)</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67,707</w:t>
            </w:r>
          </w:p>
        </w:tc>
        <w:tc>
          <w:tcPr>
            <w:tcW w:w="480" w:type="dxa"/>
            <w:vAlign w:val="bottom"/>
            <w:tcBorders>
              <w:bottom w:val="single" w:sz="8" w:color="2C2C2C"/>
            </w:tcBorders>
          </w:tcPr>
          <w:p>
            <w:pPr>
              <w:jc w:val="center"/>
              <w:ind w:left="213"/>
              <w:spacing w:after="0"/>
              <w:rPr>
                <w:sz w:val="20"/>
                <w:szCs w:val="20"/>
                <w:color w:val="auto"/>
              </w:rPr>
            </w:pPr>
            <w:r>
              <w:rPr>
                <w:rFonts w:ascii="Times New Roman" w:cs="Times New Roman" w:eastAsia="Times New Roman" w:hAnsi="Times New Roman"/>
                <w:sz w:val="17"/>
                <w:szCs w:val="17"/>
                <w:color w:val="0000FF"/>
                <w:w w:val="97"/>
              </w:rPr>
              <w:t>D</w:t>
            </w:r>
          </w:p>
        </w:tc>
        <w:tc>
          <w:tcPr>
            <w:tcW w:w="3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jc w:val="center"/>
              <w:ind w:left="326"/>
              <w:spacing w:after="0"/>
              <w:rPr>
                <w:sz w:val="20"/>
                <w:szCs w:val="20"/>
                <w:color w:val="auto"/>
              </w:rPr>
            </w:pPr>
            <w:r>
              <w:rPr>
                <w:rFonts w:ascii="Times New Roman" w:cs="Times New Roman" w:eastAsia="Times New Roman" w:hAnsi="Times New Roman"/>
                <w:sz w:val="17"/>
                <w:szCs w:val="17"/>
                <w:color w:val="0000FF"/>
              </w:rPr>
              <w:t>05/27/2026</w:t>
            </w: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G</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3,657</w:t>
            </w:r>
          </w:p>
        </w:tc>
        <w:tc>
          <w:tcPr>
            <w:tcW w:w="4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3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17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64,050</w:t>
            </w:r>
          </w:p>
        </w:tc>
        <w:tc>
          <w:tcPr>
            <w:tcW w:w="860" w:type="dxa"/>
            <w:vAlign w:val="bottom"/>
            <w:tcBorders>
              <w:bottom w:val="single" w:sz="8" w:color="2C2C2C"/>
            </w:tcBorders>
            <w:gridSpan w:val="2"/>
          </w:tcPr>
          <w:p>
            <w:pPr>
              <w:jc w:val="center"/>
              <w:ind w:right="40"/>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(2)</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rPr>
              <w:t>05/26/2026</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5,331</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2"/>
            <w:vMerge w:val="restart"/>
          </w:tcPr>
          <w:p>
            <w:pPr>
              <w:jc w:val="center"/>
              <w:ind w:left="7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105.51</w:t>
            </w:r>
          </w:p>
        </w:tc>
        <w:tc>
          <w:tcPr>
            <w:tcW w:w="80" w:type="dxa"/>
            <w:vAlign w:val="bottom"/>
          </w:tcPr>
          <w:p>
            <w:pPr>
              <w:spacing w:after="0"/>
              <w:rPr>
                <w:sz w:val="21"/>
                <w:szCs w:val="21"/>
                <w:color w:val="auto"/>
              </w:rPr>
            </w:pP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60,393</w:t>
            </w:r>
          </w:p>
        </w:tc>
        <w:tc>
          <w:tcPr>
            <w:tcW w:w="480" w:type="dxa"/>
            <w:vAlign w:val="bottom"/>
            <w:vMerge w:val="restart"/>
          </w:tcPr>
          <w:p>
            <w:pPr>
              <w:jc w:val="center"/>
              <w:ind w:left="213"/>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rPr>
              <w:t>05/27/2026</w:t>
            </w:r>
          </w:p>
        </w:tc>
        <w:tc>
          <w:tcPr>
            <w:tcW w:w="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G</w:t>
            </w:r>
          </w:p>
        </w:tc>
        <w:tc>
          <w:tcPr>
            <w:tcW w:w="40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V</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3,657</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17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64,050</w:t>
            </w:r>
          </w:p>
        </w:tc>
        <w:tc>
          <w:tcPr>
            <w:tcW w:w="480" w:type="dxa"/>
            <w:vAlign w:val="bottom"/>
            <w:tcBorders>
              <w:top w:val="single" w:sz="8" w:color="2C2C2C"/>
            </w:tcBorders>
            <w:vMerge w:val="restart"/>
          </w:tcPr>
          <w:p>
            <w:pPr>
              <w:jc w:val="center"/>
              <w:ind w:left="213"/>
              <w:spacing w:after="0"/>
              <w:rPr>
                <w:sz w:val="20"/>
                <w:szCs w:val="20"/>
                <w:color w:val="auto"/>
              </w:rPr>
            </w:pPr>
            <w:r>
              <w:rPr>
                <w:rFonts w:ascii="Times New Roman" w:cs="Times New Roman" w:eastAsia="Times New Roman" w:hAnsi="Times New Roman"/>
                <w:sz w:val="16"/>
                <w:szCs w:val="16"/>
                <w:color w:val="0000FF"/>
                <w:w w:val="74"/>
              </w:rPr>
              <w:t>I</w:t>
            </w:r>
          </w:p>
        </w:tc>
        <w:tc>
          <w:tcPr>
            <w:tcW w:w="3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1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700" w:type="dxa"/>
            <w:vAlign w:val="bottom"/>
            <w:gridSpan w:val="14"/>
          </w:tcPr>
          <w:p>
            <w:pPr>
              <w:jc w:val="center"/>
              <w:ind w:righ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2"/>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$105.00 to $105.905, inclusive. The reporting person undertakes to provide to United Airlines Holdings, Inc., any security holder of United Airlines Holdings, Inc. or the staff of the Securities and Exchange Commission, upon request, full information regarding the number of shares sold at each separate price within the ranges set forth in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held in a revocable trust in the name of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spouse of the reporting person.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held in a revocable trust in the name of the spouse of the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Cotton for Kate</w:t>
            </w:r>
          </w:p>
        </w:tc>
        <w:tc>
          <w:tcPr>
            <w:tcW w:w="3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Gebo</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4931" TargetMode="External"/><Relationship Id="rId14" Type="http://schemas.openxmlformats.org/officeDocument/2006/relationships/hyperlink" Target="http://www.sec.gov/cgi-bin/browse-edgar?action=getcompany&amp;CIK=0000100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2026-05-28T19:17:36Z</dcterms:created>
  <dcterms:modified xsi:type="dcterms:W3CDTF">2026-05-28T19:17:36Z</dcterms:modified>
</cp:coreProperties>
</file>