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2424" w:type="dxa"/>
        <w:jc w:val="center"/>
        <w:tblInd w:w="0" w:type="dxa"/>
        <w:tblLayout w:type="fixed"/>
        <w:tblCellMar>
          <w:top w:w="28" w:type="dxa"/>
          <w:left w:w="28" w:type="dxa"/>
          <w:bottom w:w="28" w:type="dxa"/>
          <w:right w:w="28" w:type="dxa"/>
        </w:tblCellMar>
      </w:tblPr>
      <w:tblGrid>
        <w:gridCol w:w="124"/>
        <w:gridCol w:w="109"/>
        <w:gridCol w:w="109"/>
        <w:gridCol w:w="330"/>
        <w:gridCol w:w="330"/>
        <w:gridCol w:w="331"/>
        <w:gridCol w:w="239"/>
        <w:gridCol w:w="239"/>
        <w:gridCol w:w="2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FORM</w:t>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before="100" w:after="283"/>
        <w:jc w:val="center"/>
        <w:rPr/>
      </w:pPr>
      <w:r>
        <w:rPr/>
        <w:drawing>
          <wp:inline distT="0" distB="0" distL="0" distR="0">
            <wp:extent cx="3429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638175"/>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0"/>
        <w:gridCol w:w="280"/>
        <w:gridCol w:w="281"/>
        <w:gridCol w:w="109"/>
        <w:gridCol w:w="109"/>
        <w:gridCol w:w="109"/>
        <w:gridCol w:w="681"/>
        <w:gridCol w:w="681"/>
        <w:gridCol w:w="684"/>
        <w:gridCol w:w="109"/>
        <w:gridCol w:w="109"/>
        <w:gridCol w:w="109"/>
        <w:gridCol w:w="241"/>
        <w:gridCol w:w="238"/>
        <w:gridCol w:w="179"/>
        <w:gridCol w:w="241"/>
        <w:gridCol w:w="217"/>
        <w:gridCol w:w="179"/>
        <w:gridCol w:w="241"/>
        <w:gridCol w:w="190"/>
        <w:gridCol w:w="179"/>
        <w:gridCol w:w="109"/>
        <w:gridCol w:w="109"/>
        <w:gridCol w:w="109"/>
        <w:gridCol w:w="171"/>
        <w:gridCol w:w="164"/>
        <w:gridCol w:w="164"/>
        <w:gridCol w:w="196"/>
        <w:gridCol w:w="175"/>
        <w:gridCol w:w="177"/>
        <w:gridCol w:w="109"/>
        <w:gridCol w:w="109"/>
        <w:gridCol w:w="109"/>
        <w:gridCol w:w="320"/>
        <w:gridCol w:w="320"/>
        <w:gridCol w:w="321"/>
        <w:gridCol w:w="109"/>
        <w:gridCol w:w="109"/>
        <w:gridCol w:w="109"/>
        <w:gridCol w:w="385"/>
        <w:gridCol w:w="385"/>
        <w:gridCol w:w="386"/>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Principal Executive Office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001-06033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233 South Wacker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(872)</w:t>
            </w:r>
          </w:p>
        </w:tc>
        <w:tc>
          <w:tcPr>
            <w:tcW w:w="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36-2675207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Illinois</w:t>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60606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001-10323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233 South Wacker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(872)</w:t>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74-2099724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w:t>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Illinois</w:t>
            </w:r>
          </w:p>
        </w:tc>
        <w:tc>
          <w:tcPr>
            <w:tcW w:w="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60606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Securities registered pursuant to Section 12(b) of the Act:</w:t>
      </w:r>
    </w:p>
    <w:tbl>
      <w:tblPr>
        <w:tblW w:w="8676"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644"/>
        <w:gridCol w:w="644"/>
        <w:gridCol w:w="648"/>
        <w:gridCol w:w="109"/>
        <w:gridCol w:w="109"/>
        <w:gridCol w:w="109"/>
        <w:gridCol w:w="359"/>
        <w:gridCol w:w="359"/>
        <w:gridCol w:w="361"/>
        <w:gridCol w:w="109"/>
        <w:gridCol w:w="109"/>
        <w:gridCol w:w="109"/>
        <w:gridCol w:w="830"/>
        <w:gridCol w:w="830"/>
        <w:gridCol w:w="11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Nasdaq Stock Market LLC</w:t>
            </w:r>
          </w:p>
        </w:tc>
      </w:tr>
      <w:tr>
        <w:trPr/>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None</w:t>
            </w:r>
          </w:p>
        </w:tc>
      </w:tr>
    </w:tbl>
    <w:p>
      <w:pPr>
        <w:pStyle w:val="TextBody"/>
        <w:bidi w:val="0"/>
        <w:spacing w:lineRule="auto" w:line="288" w:before="100" w:after="10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25"/>
        <w:gridCol w:w="550"/>
        <w:gridCol w:w="553"/>
        <w:gridCol w:w="449"/>
        <w:gridCol w:w="449"/>
        <w:gridCol w:w="453"/>
        <w:gridCol w:w="109"/>
        <w:gridCol w:w="109"/>
        <w:gridCol w:w="109"/>
        <w:gridCol w:w="345"/>
        <w:gridCol w:w="345"/>
        <w:gridCol w:w="346"/>
        <w:gridCol w:w="109"/>
        <w:gridCol w:w="109"/>
        <w:gridCol w:w="109"/>
        <w:gridCol w:w="430"/>
        <w:gridCol w:w="430"/>
        <w:gridCol w:w="431"/>
        <w:gridCol w:w="109"/>
        <w:gridCol w:w="109"/>
        <w:gridCol w:w="109"/>
        <w:gridCol w:w="520"/>
        <w:gridCol w:w="520"/>
        <w:gridCol w:w="523"/>
        <w:gridCol w:w="109"/>
        <w:gridCol w:w="109"/>
        <w:gridCol w:w="109"/>
        <w:gridCol w:w="516"/>
        <w:gridCol w:w="516"/>
        <w:gridCol w:w="518"/>
        <w:gridCol w:w="109"/>
        <w:gridCol w:w="109"/>
        <w:gridCol w:w="16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254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p>
    <w:tbl>
      <w:tblPr>
        <w:tblW w:w="352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16"/>
        </w:rPr>
        <w:t>The number of shares outstanding of each of the issuer's classes of common stock as of April 10, 2025 is shown below:</w:t>
      </w:r>
      <w:r>
        <w:rPr>
          <w:color w:val="000000"/>
        </w:rPr>
        <w:t xml:space="preserve"> </w:t>
      </w:r>
    </w:p>
    <w:tbl>
      <w:tblPr>
        <w:tblW w:w="84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35"/>
        <w:gridCol w:w="436"/>
        <w:gridCol w:w="109"/>
        <w:gridCol w:w="1557"/>
        <w:gridCol w:w="1557"/>
        <w:gridCol w:w="22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326,600,570 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shares of common stock ($0.01 par value)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($0.01 par value) (100% owned by United Airlines Holdings, Inc.)</w:t>
            </w:r>
          </w:p>
        </w:tc>
      </w:tr>
    </w:tbl>
    <w:p>
      <w:pPr>
        <w:pStyle w:val="TextBody"/>
        <w:bidi w:val="0"/>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 xml:space="preserve">OMISSION OF CERTAIN INFORMATION </w:t>
      </w:r>
    </w:p>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Holdings,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Quarterly Report on 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385" w:type="dxa"/>
        <w:jc w:val="center"/>
        <w:tblInd w:w="0" w:type="dxa"/>
        <w:tblLayout w:type="fixed"/>
        <w:tblCellMar>
          <w:top w:w="28" w:type="dxa"/>
          <w:left w:w="28" w:type="dxa"/>
          <w:bottom w:w="28" w:type="dxa"/>
          <w:right w:w="28" w:type="dxa"/>
        </w:tblCellMar>
      </w:tblPr>
      <w:tblGrid>
        <w:gridCol w:w="2877"/>
        <w:gridCol w:w="2534"/>
        <w:gridCol w:w="2538"/>
        <w:gridCol w:w="127"/>
        <w:gridCol w:w="127"/>
        <w:gridCol w:w="182"/>
      </w:tblGrid>
      <w:tr>
        <w:trPr/>
        <w:tc>
          <w:tcPr>
            <w:tcW w:w="287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Page</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0">
              <w:r>
                <w:rPr>
                  <w:rStyle w:val="InternetLink"/>
                  <w:rFonts w:ascii="Times New Roman;sans-serif" w:hAnsi="Times New Roman;sans-serif"/>
                  <w:b w:val="false"/>
                  <w:color w:val="0000FF"/>
                  <w:sz w:val="20"/>
                  <w:u w:val="single"/>
                </w:rPr>
                <w:t>PART I. FINANCIAL INFORMATION</w:t>
              </w:r>
            </w:hyperlink>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3">
              <w:r>
                <w:rPr>
                  <w:rStyle w:val="InternetLink"/>
                  <w:rFonts w:ascii="Times New Roman;sans-serif" w:hAnsi="Times New Roman;sans-serif"/>
                  <w:b w:val="false"/>
                  <w:color w:val="0000FF"/>
                  <w:sz w:val="20"/>
                  <w:u w:val="single"/>
                </w:rPr>
                <w:t>Item 1. Financial Statements</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6">
              <w:r>
                <w:rPr>
                  <w:rStyle w:val="InternetLink"/>
                  <w:rFonts w:ascii="Times New Roman;sans-serif" w:hAnsi="Times New Roman;sans-serif"/>
                  <w:b w:val="false"/>
                  <w:color w:val="0000FF"/>
                  <w:sz w:val="20"/>
                  <w:u w:val="single"/>
                </w:rPr>
                <w:t>United Airlines Holdings,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9">
              <w:r>
                <w:rPr>
                  <w:rStyle w:val="InternetLink"/>
                  <w:rFonts w:ascii="Times New Roman;sans-serif" w:hAnsi="Times New Roman;sans-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9">
              <w:r>
                <w:rPr>
                  <w:rStyle w:val="InternetLink"/>
                  <w:rFonts w:ascii="Times New Roman;sans-serif" w:hAnsi="Times New Roman;sans-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22">
              <w:r>
                <w:rPr>
                  <w:rStyle w:val="InternetLink"/>
                  <w:rFonts w:ascii="Times New Roman;sans-serif" w:hAnsi="Times New Roman;sans-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22">
              <w:r>
                <w:rPr>
                  <w:rStyle w:val="InternetLink"/>
                  <w:rFonts w:ascii="Times New Roman;sans-serif" w:hAnsi="Times New Roman;sans-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25">
              <w:r>
                <w:rPr>
                  <w:rStyle w:val="InternetLink"/>
                  <w:rFonts w:ascii="Times New Roman;sans-serif" w:hAnsi="Times New Roman;sans-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25">
              <w:r>
                <w:rPr>
                  <w:rStyle w:val="InternetLink"/>
                  <w:rFonts w:ascii="Times New Roman;sans-serif" w:hAnsi="Times New Roman;sans-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28">
              <w:r>
                <w:rPr>
                  <w:rStyle w:val="InternetLink"/>
                  <w:rFonts w:ascii="Times New Roman;sans-serif" w:hAnsi="Times New Roman;sans-serif"/>
                  <w:b w:val="false"/>
                  <w:color w:val="0000FF"/>
                  <w:sz w:val="20"/>
                  <w:u w:val="single"/>
                </w:rPr>
                <w:t xml:space="preserve">Condensed Statements of Consolidated Cash Flows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28">
              <w:r>
                <w:rPr>
                  <w:rStyle w:val="InternetLink"/>
                  <w:rFonts w:ascii="Times New Roman;sans-serif" w:hAnsi="Times New Roman;sans-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31">
              <w:r>
                <w:rPr>
                  <w:rStyle w:val="InternetLink"/>
                  <w:rFonts w:ascii="Times New Roman;sans-serif" w:hAnsi="Times New Roman;sans-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31">
              <w:r>
                <w:rPr>
                  <w:rStyle w:val="InternetLink"/>
                  <w:rFonts w:ascii="Times New Roman;sans-serif" w:hAnsi="Times New Roman;sans-serif"/>
                  <w:b w:val="false"/>
                  <w:color w:val="0000FF"/>
                  <w:sz w:val="20"/>
                  <w:u w:val="single"/>
                </w:rPr>
                <w:t>7</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34">
              <w:r>
                <w:rPr>
                  <w:rStyle w:val="InternetLink"/>
                  <w:rFonts w:ascii="Times New Roman;sans-serif" w:hAnsi="Times New Roman;sans-serif"/>
                  <w:b w:val="false"/>
                  <w:color w:val="0000FF"/>
                  <w:sz w:val="20"/>
                  <w:u w:val="single"/>
                </w:rPr>
                <w:t>United Airlines,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37">
              <w:r>
                <w:rPr>
                  <w:rStyle w:val="InternetLink"/>
                  <w:rFonts w:ascii="Times New Roman;sans-serif" w:hAnsi="Times New Roman;sans-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37">
              <w:r>
                <w:rPr>
                  <w:rStyle w:val="InternetLink"/>
                  <w:rFonts w:ascii="Times New Roman;sans-serif" w:hAnsi="Times New Roman;sans-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40">
              <w:r>
                <w:rPr>
                  <w:rStyle w:val="InternetLink"/>
                  <w:rFonts w:ascii="Times New Roman;sans-serif" w:hAnsi="Times New Roman;sans-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40">
              <w:r>
                <w:rPr>
                  <w:rStyle w:val="InternetLink"/>
                  <w:rFonts w:ascii="Times New Roman;sans-serif" w:hAnsi="Times New Roman;sans-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43">
              <w:r>
                <w:rPr>
                  <w:rStyle w:val="InternetLink"/>
                  <w:rFonts w:ascii="Times New Roman;sans-serif" w:hAnsi="Times New Roman;sans-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43">
              <w:r>
                <w:rPr>
                  <w:rStyle w:val="InternetLink"/>
                  <w:rFonts w:ascii="Times New Roman;sans-serif" w:hAnsi="Times New Roman;sans-serif"/>
                  <w:b w:val="false"/>
                  <w:color w:val="0000FF"/>
                  <w:sz w:val="20"/>
                  <w:u w:val="single"/>
                </w:rPr>
                <w:t>10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46">
              <w:r>
                <w:rPr>
                  <w:rStyle w:val="InternetLink"/>
                  <w:rFonts w:ascii="Times New Roman;sans-serif" w:hAnsi="Times New Roman;sans-serif"/>
                  <w:b w:val="false"/>
                  <w:color w:val="0000FF"/>
                  <w:sz w:val="20"/>
                  <w:u w:val="single"/>
                </w:rPr>
                <w:t>Condensed Statements of Consolidated Cash Flows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46">
              <w:r>
                <w:rPr>
                  <w:rStyle w:val="InternetLink"/>
                  <w:rFonts w:ascii="Times New Roman;sans-serif" w:hAnsi="Times New Roman;sans-serif"/>
                  <w:b w:val="false"/>
                  <w:color w:val="0000FF"/>
                  <w:sz w:val="20"/>
                  <w:u w:val="single"/>
                </w:rPr>
                <w:t>11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49">
              <w:r>
                <w:rPr>
                  <w:rStyle w:val="InternetLink"/>
                  <w:rFonts w:ascii="Times New Roman;sans-serif" w:hAnsi="Times New Roman;sans-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49">
              <w:r>
                <w:rPr>
                  <w:rStyle w:val="InternetLink"/>
                  <w:rFonts w:ascii="Times New Roman;sans-serif" w:hAnsi="Times New Roman;sans-serif"/>
                  <w:b w:val="false"/>
                  <w:color w:val="0000FF"/>
                  <w:sz w:val="20"/>
                  <w:u w:val="single"/>
                </w:rPr>
                <w:t>12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52">
              <w:r>
                <w:rPr>
                  <w:rStyle w:val="InternetLink"/>
                  <w:rFonts w:ascii="Times New Roman;sans-serif" w:hAnsi="Times New Roman;sans-serif"/>
                  <w:b w:val="false"/>
                  <w:color w:val="000080"/>
                  <w:sz w:val="20"/>
                  <w:u w:val="single"/>
                </w:rPr>
                <w:t>Combined Notes to Condensed Consolidated Financial Statements</w:t>
              </w:r>
            </w:hyperlink>
            <w:hyperlink w:anchor="i17f6477d95c74c12ace3bc27037f1e66_52">
              <w:r>
                <w:rPr>
                  <w:rStyle w:val="InternetLink"/>
                  <w:rFonts w:ascii="Times New Roman;sans-serif" w:hAnsi="Times New Roman;sans-serif"/>
                  <w:b w:val="false"/>
                  <w:color w:val="000080"/>
                  <w:sz w:val="20"/>
                  <w:u w:val="single"/>
                </w:rPr>
                <w:br/>
              </w:r>
            </w:hyperlink>
            <w:hyperlink w:anchor="i17f6477d95c74c12ace3bc27037f1e66_52">
              <w:r>
                <w:rPr>
                  <w:rStyle w:val="InternetLink"/>
                  <w:rFonts w:ascii="Times New Roman;sans-serif" w:hAnsi="Times New Roman;sans-serif"/>
                  <w:b w:val="false"/>
                  <w:color w:val="000080"/>
                  <w:sz w:val="20"/>
                  <w:u w:val="single"/>
                </w:rPr>
                <w:t>(United Airlines Holdings, Inc. and United Airlines, Inc.)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52">
              <w:r>
                <w:rPr>
                  <w:rStyle w:val="InternetLink"/>
                  <w:rFonts w:ascii="Times New Roman;sans-serif" w:hAnsi="Times New Roman;sans-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168">
              <w:r>
                <w:rPr>
                  <w:rStyle w:val="InternetLink"/>
                  <w:rFonts w:ascii="Times New Roman;sans-serif" w:hAnsi="Times New Roman;sans-serif"/>
                  <w:b w:val="false"/>
                  <w:color w:val="0000FF"/>
                  <w:sz w:val="20"/>
                  <w:u w:val="single"/>
                </w:rPr>
                <w:t>Note 1 - Basis of Presentation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168">
              <w:r>
                <w:rPr>
                  <w:rStyle w:val="InternetLink"/>
                  <w:rFonts w:ascii="Times New Roman;sans-serif" w:hAnsi="Times New Roman;sans-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55">
              <w:r>
                <w:rPr>
                  <w:rStyle w:val="InternetLink"/>
                  <w:rFonts w:ascii="Times New Roman;sans-serif" w:hAnsi="Times New Roman;sans-serif"/>
                  <w:b w:val="false"/>
                  <w:color w:val="0000FF"/>
                  <w:sz w:val="20"/>
                  <w:u w:val="single"/>
                </w:rPr>
                <w:t>Note 2 - Revenue Recognition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55">
              <w:r>
                <w:rPr>
                  <w:rStyle w:val="InternetLink"/>
                  <w:rFonts w:ascii="Times New Roman;sans-serif" w:hAnsi="Times New Roman;sans-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58">
              <w:r>
                <w:rPr>
                  <w:rStyle w:val="InternetLink"/>
                  <w:rFonts w:ascii="Times New Roman;sans-serif" w:hAnsi="Times New Roman;sans-serif"/>
                  <w:b w:val="false"/>
                  <w:color w:val="0000FF"/>
                  <w:sz w:val="20"/>
                  <w:u w:val="single"/>
                </w:rPr>
                <w:t>Note 3 - Earnings (loss) Per Share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58">
              <w:r>
                <w:rPr>
                  <w:rStyle w:val="InternetLink"/>
                  <w:rFonts w:ascii="Times New Roman;sans-serif" w:hAnsi="Times New Roman;sans-serif"/>
                  <w:b w:val="false"/>
                  <w:color w:val="0000FF"/>
                  <w:sz w:val="20"/>
                  <w:u w:val="single"/>
                </w:rPr>
                <w:t>14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61">
              <w:r>
                <w:rPr>
                  <w:rStyle w:val="InternetLink"/>
                  <w:rFonts w:ascii="Times New Roman;sans-serif" w:hAnsi="Times New Roman;sans-serif"/>
                  <w:b w:val="false"/>
                  <w:color w:val="0000FF"/>
                  <w:sz w:val="20"/>
                  <w:u w:val="single"/>
                </w:rPr>
                <w:t>Note 4 - Accumulated Other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61">
              <w:r>
                <w:rPr>
                  <w:rStyle w:val="InternetLink"/>
                  <w:rFonts w:ascii="Times New Roman;sans-serif" w:hAnsi="Times New Roman;sans-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64">
              <w:r>
                <w:rPr>
                  <w:rStyle w:val="InternetLink"/>
                  <w:rFonts w:ascii="Times New Roman;sans-serif" w:hAnsi="Times New Roman;sans-serif"/>
                  <w:b w:val="false"/>
                  <w:color w:val="0000FF"/>
                  <w:sz w:val="20"/>
                  <w:u w:val="single"/>
                </w:rPr>
                <w:t>Note 5 - Income Taxes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64">
              <w:r>
                <w:rPr>
                  <w:rStyle w:val="InternetLink"/>
                  <w:rFonts w:ascii="Times New Roman;sans-serif" w:hAnsi="Times New Roman;sans-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67">
              <w:r>
                <w:rPr>
                  <w:rStyle w:val="InternetLink"/>
                  <w:rFonts w:ascii="Times New Roman;sans-serif" w:hAnsi="Times New Roman;sans-serif"/>
                  <w:b w:val="false"/>
                  <w:color w:val="0000FF"/>
                  <w:sz w:val="20"/>
                  <w:u w:val="single"/>
                </w:rPr>
                <w:t>Note 6 - Pension and Other Postretirement Benefit Plans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67">
              <w:r>
                <w:rPr>
                  <w:rStyle w:val="InternetLink"/>
                  <w:rFonts w:ascii="Times New Roman;sans-serif" w:hAnsi="Times New Roman;sans-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0">
              <w:r>
                <w:rPr>
                  <w:rStyle w:val="InternetLink"/>
                  <w:rFonts w:ascii="Times New Roman;sans-serif" w:hAnsi="Times New Roman;sans-serif"/>
                  <w:b w:val="false"/>
                  <w:color w:val="0000FF"/>
                  <w:sz w:val="20"/>
                  <w:u w:val="single"/>
                </w:rPr>
                <w:t>Note 7 - Fair Value Measurements, Investments and Notes Receivable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70">
              <w:r>
                <w:rPr>
                  <w:rStyle w:val="InternetLink"/>
                  <w:rFonts w:ascii="Times New Roman;sans-serif" w:hAnsi="Times New Roman;sans-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6">
              <w:r>
                <w:rPr>
                  <w:rStyle w:val="InternetLink"/>
                  <w:rFonts w:ascii="Times New Roman;sans-serif" w:hAnsi="Times New Roman;sans-serif"/>
                  <w:b w:val="false"/>
                  <w:color w:val="0000FF"/>
                  <w:sz w:val="20"/>
                  <w:u w:val="single"/>
                </w:rPr>
                <w:t>Note 8 - Debt</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76">
              <w:r>
                <w:rPr>
                  <w:rStyle w:val="InternetLink"/>
                  <w:rFonts w:ascii="Times New Roman;sans-serif" w:hAnsi="Times New Roman;sans-serif"/>
                  <w:b w:val="false"/>
                  <w:color w:val="0000FF"/>
                  <w:sz w:val="20"/>
                  <w:u w:val="single"/>
                </w:rPr>
                <w:t>17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3">
              <w:r>
                <w:rPr>
                  <w:rStyle w:val="InternetLink"/>
                  <w:rFonts w:ascii="Times New Roman;sans-serif" w:hAnsi="Times New Roman;sans-serif"/>
                  <w:b w:val="false"/>
                  <w:color w:val="0000FF"/>
                  <w:sz w:val="20"/>
                  <w:u w:val="single"/>
                </w:rPr>
                <w:t>Note 9 - Commitments, Contingencies and Guarantees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73">
              <w:r>
                <w:rPr>
                  <w:rStyle w:val="InternetLink"/>
                  <w:rFonts w:ascii="Times New Roman;sans-serif" w:hAnsi="Times New Roman;sans-serif"/>
                  <w:b w:val="false"/>
                  <w:color w:val="0000FF"/>
                  <w:sz w:val="20"/>
                  <w:u w:val="single"/>
                </w:rPr>
                <w:t>17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9">
              <w:r>
                <w:rPr>
                  <w:rStyle w:val="InternetLink"/>
                  <w:rFonts w:ascii="Times New Roman;sans-serif" w:hAnsi="Times New Roman;sans-serif"/>
                  <w:b w:val="false"/>
                  <w:color w:val="0000FF"/>
                  <w:sz w:val="20"/>
                  <w:u w:val="single"/>
                </w:rPr>
                <w:t>Note 10 - Special Charges (Credits)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79">
              <w:r>
                <w:rPr>
                  <w:rStyle w:val="InternetLink"/>
                  <w:rFonts w:ascii="Times New Roman;sans-serif" w:hAnsi="Times New Roman;sans-serif"/>
                  <w:b w:val="false"/>
                  <w:color w:val="0000FF"/>
                  <w:sz w:val="20"/>
                  <w:u w:val="single"/>
                </w:rPr>
                <w:t>18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8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82">
              <w:r>
                <w:rPr>
                  <w:rStyle w:val="InternetLink"/>
                  <w:rFonts w:ascii="Times New Roman;sans-serif" w:hAnsi="Times New Roman;sans-serif"/>
                  <w:b w:val="false"/>
                  <w:color w:val="0000FF"/>
                  <w:sz w:val="20"/>
                  <w:u w:val="single"/>
                </w:rPr>
                <w:t>19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03">
              <w:r>
                <w:rPr>
                  <w:rStyle w:val="InternetLink"/>
                  <w:rFonts w:ascii="Times New Roman;sans-serif" w:hAnsi="Times New Roman;sans-serif"/>
                  <w:b w:val="false"/>
                  <w:color w:val="0000FF"/>
                  <w:sz w:val="20"/>
                  <w:u w:val="single"/>
                </w:rPr>
                <w:t>Item 3. 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03">
              <w:r>
                <w:rPr>
                  <w:rStyle w:val="InternetLink"/>
                  <w:rFonts w:ascii="Times New Roman;sans-serif" w:hAnsi="Times New Roman;sans-serif"/>
                  <w:b w:val="false"/>
                  <w:color w:val="0000FF"/>
                  <w:sz w:val="20"/>
                  <w:u w:val="single"/>
                </w:rPr>
                <w:t>27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06">
              <w:r>
                <w:rPr>
                  <w:rStyle w:val="InternetLink"/>
                  <w:rFonts w:ascii="Times New Roman;sans-serif" w:hAnsi="Times New Roman;sans-serif"/>
                  <w:b w:val="false"/>
                  <w:color w:val="0000FF"/>
                  <w:sz w:val="20"/>
                  <w:u w:val="single"/>
                </w:rPr>
                <w:t>Item 4. 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06">
              <w:r>
                <w:rPr>
                  <w:rStyle w:val="InternetLink"/>
                  <w:rFonts w:ascii="Times New Roman;sans-serif" w:hAnsi="Times New Roman;sans-serif"/>
                  <w:b w:val="false"/>
                  <w:color w:val="0000FF"/>
                  <w:sz w:val="20"/>
                  <w:u w:val="single"/>
                </w:rPr>
                <w:t>27</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09">
              <w:r>
                <w:rPr>
                  <w:rStyle w:val="InternetLink"/>
                  <w:rFonts w:ascii="Times New Roman;sans-serif" w:hAnsi="Times New Roman;sans-serif"/>
                  <w:b w:val="false"/>
                  <w:color w:val="0000FF"/>
                  <w:sz w:val="20"/>
                  <w:u w:val="single"/>
                </w:rPr>
                <w:t>PART II. 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12">
              <w:r>
                <w:rPr>
                  <w:rStyle w:val="InternetLink"/>
                  <w:rFonts w:ascii="Times New Roman;sans-serif" w:hAnsi="Times New Roman;sans-serif"/>
                  <w:b w:val="false"/>
                  <w:color w:val="0000FF"/>
                  <w:sz w:val="20"/>
                  <w:u w:val="single"/>
                </w:rPr>
                <w:t>Item 1. 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12">
              <w:r>
                <w:rPr>
                  <w:rStyle w:val="InternetLink"/>
                  <w:rFonts w:ascii="Times New Roman;sans-serif" w:hAnsi="Times New Roman;sans-serif"/>
                  <w:b w:val="false"/>
                  <w:color w:val="0000FF"/>
                  <w:sz w:val="20"/>
                  <w:u w:val="single"/>
                </w:rPr>
                <w:t>27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15">
              <w:r>
                <w:rPr>
                  <w:rStyle w:val="InternetLink"/>
                  <w:rFonts w:ascii="Times New Roman;sans-serif" w:hAnsi="Times New Roman;sans-serif"/>
                  <w:b w:val="false"/>
                  <w:color w:val="0000FF"/>
                  <w:sz w:val="20"/>
                  <w:u w:val="single"/>
                </w:rPr>
                <w:t>Item 1A. 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09">
              <w:r>
                <w:rPr>
                  <w:rStyle w:val="InternetLink"/>
                  <w:rFonts w:ascii="Times New Roman;sans-serif" w:hAnsi="Times New Roman;sans-serif"/>
                  <w:b w:val="false"/>
                  <w:color w:val="0000FF"/>
                  <w:sz w:val="20"/>
                  <w:u w:val="single"/>
                </w:rPr>
                <w:t>27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18">
              <w:r>
                <w:rPr>
                  <w:rStyle w:val="InternetLink"/>
                  <w:rFonts w:ascii="Times New Roman;sans-serif" w:hAnsi="Times New Roman;sans-serif"/>
                  <w:b w:val="false"/>
                  <w:color w:val="0000FF"/>
                  <w:sz w:val="20"/>
                  <w:u w:val="single"/>
                </w:rPr>
                <w:t>Item 2. 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18">
              <w:r>
                <w:rPr>
                  <w:rStyle w:val="InternetLink"/>
                  <w:rFonts w:ascii="Times New Roman;sans-serif" w:hAnsi="Times New Roman;sans-serif"/>
                  <w:b w:val="false"/>
                  <w:color w:val="0000FF"/>
                  <w:sz w:val="20"/>
                  <w:u w:val="single"/>
                </w:rPr>
                <w:t>27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21">
              <w:r>
                <w:rPr>
                  <w:rStyle w:val="InternetLink"/>
                  <w:rFonts w:ascii="Times New Roman;sans-serif" w:hAnsi="Times New Roman;sans-serif"/>
                  <w:b w:val="false"/>
                  <w:color w:val="0000FF"/>
                  <w:sz w:val="20"/>
                  <w:u w:val="single"/>
                </w:rPr>
                <w:t>Item 5. 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21">
              <w:r>
                <w:rPr>
                  <w:rStyle w:val="InternetLink"/>
                  <w:rFonts w:ascii="Times New Roman;sans-serif" w:hAnsi="Times New Roman;sans-serif"/>
                  <w:b w:val="false"/>
                  <w:color w:val="0000FF"/>
                  <w:sz w:val="20"/>
                  <w:u w:val="single"/>
                </w:rPr>
                <w:t>28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24">
              <w:r>
                <w:rPr>
                  <w:rStyle w:val="InternetLink"/>
                  <w:rFonts w:ascii="Times New Roman;sans-serif" w:hAnsi="Times New Roman;sans-serif"/>
                  <w:b w:val="false"/>
                  <w:color w:val="0000FF"/>
                  <w:sz w:val="20"/>
                  <w:u w:val="single"/>
                </w:rPr>
                <w:t>Item 6. 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24">
              <w:r>
                <w:rPr>
                  <w:rStyle w:val="InternetLink"/>
                  <w:rFonts w:ascii="Times New Roman;sans-serif" w:hAnsi="Times New Roman;sans-serif"/>
                  <w:b w:val="false"/>
                  <w:color w:val="0000FF"/>
                  <w:sz w:val="20"/>
                  <w:u w:val="single"/>
                </w:rPr>
                <w:t>29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27">
              <w:r>
                <w:rPr>
                  <w:rStyle w:val="InternetLink"/>
                  <w:rFonts w:ascii="Times New Roman;sans-serif" w:hAnsi="Times New Roman;sans-serif"/>
                  <w:b w:val="false"/>
                  <w:color w:val="0000FF"/>
                  <w:sz w:val="20"/>
                  <w:u w:val="single"/>
                </w:rPr>
                <w:t>Exhibit Index</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27">
              <w:r>
                <w:rPr>
                  <w:rStyle w:val="InternetLink"/>
                  <w:rFonts w:ascii="Times New Roman;sans-serif" w:hAnsi="Times New Roman;sans-serif"/>
                  <w:b w:val="false"/>
                  <w:color w:val="0000FF"/>
                  <w:sz w:val="20"/>
                  <w:u w:val="single"/>
                </w:rPr>
                <w:t>29</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130">
              <w:r>
                <w:rPr>
                  <w:rStyle w:val="InternetLink"/>
                  <w:rFonts w:ascii="Times New Roman;sans-serif" w:hAnsi="Times New Roman;sans-serif"/>
                  <w:b w:val="false"/>
                  <w:color w:val="0000FF"/>
                  <w:sz w:val="20"/>
                  <w:u w:val="single"/>
                </w:rPr>
                <w:t>Signatures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f6477d95c74c12ace3bc27037f1e66_130">
              <w:r>
                <w:rPr>
                  <w:rStyle w:val="InternetLink"/>
                  <w:rFonts w:ascii="Times New Roman;sans-serif" w:hAnsi="Times New Roman;sans-serif"/>
                  <w:b w:val="false"/>
                  <w:color w:val="0000FF"/>
                  <w:sz w:val="20"/>
                  <w:u w:val="single"/>
                </w:rPr>
                <w:t>30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HOLDINGS, INC.</w:t>
      </w:r>
    </w:p>
    <w:p>
      <w:pPr>
        <w:pStyle w:val="TextBody"/>
        <w:bidi w:val="0"/>
        <w:spacing w:lineRule="auto" w:line="288" w:before="0" w:after="0"/>
        <w:jc w:val="center"/>
        <w:rPr/>
      </w:pPr>
      <w:r>
        <w:rPr>
          <w:rFonts w:ascii="Times New Roman;sans-serif" w:hAnsi="Times New Roman;sans-serif"/>
          <w:b/>
          <w:color w:val="000000"/>
          <w:sz w:val="20"/>
        </w:rPr>
        <w:t>STATEMENTS OF CONSOLIDATED OPERATIONS (UNAUDITED</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tbl>
      <w:tblPr>
        <w:tblW w:w="7226" w:type="dxa"/>
        <w:jc w:val="center"/>
        <w:tblInd w:w="0" w:type="dxa"/>
        <w:tblLayout w:type="fixed"/>
        <w:tblCellMar>
          <w:top w:w="28" w:type="dxa"/>
          <w:left w:w="28" w:type="dxa"/>
          <w:bottom w:w="28" w:type="dxa"/>
          <w:right w:w="28" w:type="dxa"/>
        </w:tblCellMar>
      </w:tblPr>
      <w:tblGrid>
        <w:gridCol w:w="1508"/>
        <w:gridCol w:w="1326"/>
        <w:gridCol w:w="1335"/>
        <w:gridCol w:w="226"/>
        <w:gridCol w:w="772"/>
        <w:gridCol w:w="116"/>
        <w:gridCol w:w="116"/>
        <w:gridCol w:w="116"/>
        <w:gridCol w:w="116"/>
        <w:gridCol w:w="226"/>
        <w:gridCol w:w="772"/>
        <w:gridCol w:w="116"/>
        <w:gridCol w:w="109"/>
        <w:gridCol w:w="109"/>
        <w:gridCol w:w="109"/>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Cargo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Landing fees and other rent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maintenance materials and outside repairs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capacity purchase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rent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(credits)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investments,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Miscellaneous, net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expense, net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CONSOLIDATED COMPREHENSIVE INCOME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7915" w:type="dxa"/>
        <w:jc w:val="center"/>
        <w:tblInd w:w="0" w:type="dxa"/>
        <w:tblLayout w:type="fixed"/>
        <w:tblCellMar>
          <w:top w:w="28" w:type="dxa"/>
          <w:left w:w="28" w:type="dxa"/>
          <w:bottom w:w="28" w:type="dxa"/>
          <w:right w:w="28" w:type="dxa"/>
        </w:tblCellMar>
      </w:tblPr>
      <w:tblGrid>
        <w:gridCol w:w="1407"/>
        <w:gridCol w:w="1234"/>
        <w:gridCol w:w="1244"/>
        <w:gridCol w:w="109"/>
        <w:gridCol w:w="109"/>
        <w:gridCol w:w="280"/>
        <w:gridCol w:w="280"/>
        <w:gridCol w:w="542"/>
        <w:gridCol w:w="1197"/>
        <w:gridCol w:w="280"/>
        <w:gridCol w:w="109"/>
        <w:gridCol w:w="109"/>
        <w:gridCol w:w="109"/>
        <w:gridCol w:w="211"/>
        <w:gridCol w:w="54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2"/>
        <w:gridCol w:w="2204"/>
        <w:gridCol w:w="2221"/>
        <w:gridCol w:w="232"/>
        <w:gridCol w:w="795"/>
        <w:gridCol w:w="120"/>
        <w:gridCol w:w="109"/>
        <w:gridCol w:w="109"/>
        <w:gridCol w:w="109"/>
        <w:gridCol w:w="268"/>
        <w:gridCol w:w="917"/>
        <w:gridCol w:w="199"/>
      </w:tblGrid>
      <w:tr>
        <w:trPr/>
        <w:tc>
          <w:tcPr>
            <w:tcW w:w="2922"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 spare parts and supplies,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property and equipment, net</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affiliates and other,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ticket sales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Frequent flyer deferred revenue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finance leases, and other financial liabilities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finance leases, and other financial liabilities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obligations under operating leases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Frequent flyer deferred revenue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liability</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at par, $0.01 par value; authorized 1,000,000,000 shares; outstanding 327,494,648 and 327,899,771 shares at March 31, 2025 and December 31, 2024, respectively</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capital invested</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held in treasury, at cost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829"/>
        <w:gridCol w:w="2420"/>
        <w:gridCol w:w="2436"/>
        <w:gridCol w:w="236"/>
        <w:gridCol w:w="691"/>
        <w:gridCol w:w="122"/>
        <w:gridCol w:w="122"/>
        <w:gridCol w:w="122"/>
        <w:gridCol w:w="122"/>
        <w:gridCol w:w="236"/>
        <w:gridCol w:w="691"/>
        <w:gridCol w:w="178"/>
      </w:tblGrid>
      <w:tr>
        <w:trPr/>
        <w:tc>
          <w:tcPr>
            <w:tcW w:w="2829"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flight equipment purchase deposit returns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and other investments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and other investments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 and other financial liabilities, net of discounts and fees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 finance leases and other financial liabilities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 (a)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and Financing Activities Not Affecting Cash:</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or modified through operating leases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through the issuance or modification of debt, finance leases and other financial liabilities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 The following table provides a reconciliation of cash, cash equivalents and restricted cash to amounts reported within the consolidated balance sheets:</w:t>
      </w:r>
    </w:p>
    <w:tbl>
      <w:tblPr>
        <w:tblW w:w="6939" w:type="dxa"/>
        <w:jc w:val="center"/>
        <w:tblInd w:w="0" w:type="dxa"/>
        <w:tblLayout w:type="fixed"/>
        <w:tblCellMar>
          <w:top w:w="28" w:type="dxa"/>
          <w:left w:w="28" w:type="dxa"/>
          <w:bottom w:w="28" w:type="dxa"/>
          <w:right w:w="28" w:type="dxa"/>
        </w:tblCellMar>
      </w:tblPr>
      <w:tblGrid>
        <w:gridCol w:w="1701"/>
        <w:gridCol w:w="1493"/>
        <w:gridCol w:w="1501"/>
        <w:gridCol w:w="211"/>
        <w:gridCol w:w="616"/>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 Prepaid expenses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 Investments in affiliates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AIRLINES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CONSOLIDATED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773"/>
        <w:gridCol w:w="315"/>
        <w:gridCol w:w="318"/>
        <w:gridCol w:w="308"/>
        <w:gridCol w:w="308"/>
        <w:gridCol w:w="211"/>
        <w:gridCol w:w="109"/>
        <w:gridCol w:w="109"/>
        <w:gridCol w:w="109"/>
        <w:gridCol w:w="275"/>
        <w:gridCol w:w="333"/>
        <w:gridCol w:w="143"/>
        <w:gridCol w:w="109"/>
        <w:gridCol w:w="109"/>
        <w:gridCol w:w="109"/>
        <w:gridCol w:w="212"/>
        <w:gridCol w:w="620"/>
        <w:gridCol w:w="109"/>
        <w:gridCol w:w="109"/>
        <w:gridCol w:w="109"/>
        <w:gridCol w:w="109"/>
        <w:gridCol w:w="211"/>
        <w:gridCol w:w="634"/>
        <w:gridCol w:w="109"/>
        <w:gridCol w:w="109"/>
        <w:gridCol w:w="109"/>
        <w:gridCol w:w="109"/>
        <w:gridCol w:w="212"/>
        <w:gridCol w:w="621"/>
        <w:gridCol w:w="109"/>
        <w:gridCol w:w="109"/>
        <w:gridCol w:w="109"/>
        <w:gridCol w:w="109"/>
        <w:gridCol w:w="356"/>
        <w:gridCol w:w="787"/>
        <w:gridCol w:w="185"/>
        <w:gridCol w:w="109"/>
        <w:gridCol w:w="109"/>
        <w:gridCol w:w="109"/>
        <w:gridCol w:w="211"/>
        <w:gridCol w:w="721"/>
        <w:gridCol w:w="162"/>
      </w:tblGrid>
      <w:tr>
        <w:trPr/>
        <w:tc>
          <w:tcPr>
            <w:tcW w:w="7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Capital Invested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for settlement of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CONSOLIDATED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7226" w:type="dxa"/>
        <w:jc w:val="center"/>
        <w:tblInd w:w="0" w:type="dxa"/>
        <w:tblLayout w:type="fixed"/>
        <w:tblCellMar>
          <w:top w:w="28" w:type="dxa"/>
          <w:left w:w="28" w:type="dxa"/>
          <w:bottom w:w="28" w:type="dxa"/>
          <w:right w:w="28" w:type="dxa"/>
        </w:tblCellMar>
      </w:tblPr>
      <w:tblGrid>
        <w:gridCol w:w="1508"/>
        <w:gridCol w:w="1326"/>
        <w:gridCol w:w="1335"/>
        <w:gridCol w:w="226"/>
        <w:gridCol w:w="772"/>
        <w:gridCol w:w="116"/>
        <w:gridCol w:w="116"/>
        <w:gridCol w:w="116"/>
        <w:gridCol w:w="116"/>
        <w:gridCol w:w="226"/>
        <w:gridCol w:w="772"/>
        <w:gridCol w:w="116"/>
        <w:gridCol w:w="109"/>
        <w:gridCol w:w="109"/>
        <w:gridCol w:w="109"/>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Cargo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Landing fees and other rent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maintenance materials and outside repairs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capacity purchase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rent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(credits)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investments,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Miscellaneous, net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expense, net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CONSOLIDATED COMPREHENSIVE INCOME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p>
      <w:pPr>
        <w:pStyle w:val="TextBody"/>
        <w:bidi w:val="0"/>
        <w:spacing w:before="0" w:after="0"/>
        <w:jc w:val="left"/>
        <w:rPr/>
      </w:pPr>
      <w:r>
        <w:rPr/>
      </w:r>
    </w:p>
    <w:tbl>
      <w:tblPr>
        <w:tblW w:w="6942" w:type="dxa"/>
        <w:jc w:val="left"/>
        <w:tblInd w:w="0" w:type="dxa"/>
        <w:tblLayout w:type="fixed"/>
        <w:tblCellMar>
          <w:top w:w="28" w:type="dxa"/>
          <w:left w:w="28" w:type="dxa"/>
          <w:bottom w:w="28" w:type="dxa"/>
          <w:right w:w="28" w:type="dxa"/>
        </w:tblCellMar>
      </w:tblPr>
      <w:tblGrid>
        <w:gridCol w:w="1407"/>
        <w:gridCol w:w="1234"/>
        <w:gridCol w:w="1244"/>
        <w:gridCol w:w="275"/>
        <w:gridCol w:w="609"/>
        <w:gridCol w:w="142"/>
        <w:gridCol w:w="142"/>
        <w:gridCol w:w="142"/>
        <w:gridCol w:w="142"/>
        <w:gridCol w:w="275"/>
        <w:gridCol w:w="707"/>
        <w:gridCol w:w="142"/>
        <w:gridCol w:w="109"/>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other</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net of tax</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shares)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73"/>
        <w:gridCol w:w="2228"/>
        <w:gridCol w:w="2245"/>
        <w:gridCol w:w="237"/>
        <w:gridCol w:w="813"/>
        <w:gridCol w:w="122"/>
        <w:gridCol w:w="109"/>
        <w:gridCol w:w="109"/>
        <w:gridCol w:w="109"/>
        <w:gridCol w:w="263"/>
        <w:gridCol w:w="900"/>
        <w:gridCol w:w="197"/>
      </w:tblGrid>
      <w:tr>
        <w:trPr/>
        <w:tc>
          <w:tcPr>
            <w:tcW w:w="2873"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 spare parts and supplies,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property and equipment, net</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affiliates and 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ticket sales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Frequent flyer 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finance leases, and other financial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finance leases, and other financial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obligations under operating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Frequent flyer deferred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liability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at par, $0.01 par value; authorized 1,000 shares; issued and outstanding 1,000 shares at both March 31, 2025 and December 31, 2024</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capital invested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parent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STATEMENTS OF CONSOLIDATED CASH FLOWS (UNAUDITED)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829"/>
        <w:gridCol w:w="2420"/>
        <w:gridCol w:w="2436"/>
        <w:gridCol w:w="236"/>
        <w:gridCol w:w="691"/>
        <w:gridCol w:w="122"/>
        <w:gridCol w:w="122"/>
        <w:gridCol w:w="122"/>
        <w:gridCol w:w="122"/>
        <w:gridCol w:w="236"/>
        <w:gridCol w:w="691"/>
        <w:gridCol w:w="178"/>
      </w:tblGrid>
      <w:tr>
        <w:trPr/>
        <w:tc>
          <w:tcPr>
            <w:tcW w:w="2829"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flight equipment purchase deposit returns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and other investments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and other investments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 and other financial liabilities, net of discounts and fees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 finance leases and other financial liabilities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 (a)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and Financing Activities Not Affecting Cash:</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or modified through operating leases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through the issuance or modification of debt, finance leases and other financial liabilities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 The following table provides a reconciliation of cash, cash equivalents and restricted cash to amounts reported within the consolidated balance sheets:</w:t>
      </w:r>
    </w:p>
    <w:tbl>
      <w:tblPr>
        <w:tblW w:w="6939" w:type="dxa"/>
        <w:jc w:val="center"/>
        <w:tblInd w:w="0" w:type="dxa"/>
        <w:tblLayout w:type="fixed"/>
        <w:tblCellMar>
          <w:top w:w="28" w:type="dxa"/>
          <w:left w:w="28" w:type="dxa"/>
          <w:bottom w:w="28" w:type="dxa"/>
          <w:right w:w="28" w:type="dxa"/>
        </w:tblCellMar>
      </w:tblPr>
      <w:tblGrid>
        <w:gridCol w:w="1701"/>
        <w:gridCol w:w="1493"/>
        <w:gridCol w:w="1501"/>
        <w:gridCol w:w="211"/>
        <w:gridCol w:w="616"/>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 Prepaid expenses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 Investments in affiliates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AIRLINES,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CONSOLIDATED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90"/>
        <w:gridCol w:w="520"/>
        <w:gridCol w:w="523"/>
        <w:gridCol w:w="283"/>
        <w:gridCol w:w="628"/>
        <w:gridCol w:w="149"/>
        <w:gridCol w:w="109"/>
        <w:gridCol w:w="109"/>
        <w:gridCol w:w="109"/>
        <w:gridCol w:w="250"/>
        <w:gridCol w:w="732"/>
        <w:gridCol w:w="129"/>
        <w:gridCol w:w="109"/>
        <w:gridCol w:w="109"/>
        <w:gridCol w:w="109"/>
        <w:gridCol w:w="477"/>
        <w:gridCol w:w="1055"/>
        <w:gridCol w:w="247"/>
        <w:gridCol w:w="109"/>
        <w:gridCol w:w="109"/>
        <w:gridCol w:w="109"/>
        <w:gridCol w:w="408"/>
        <w:gridCol w:w="1192"/>
        <w:gridCol w:w="211"/>
        <w:gridCol w:w="109"/>
        <w:gridCol w:w="109"/>
        <w:gridCol w:w="109"/>
        <w:gridCol w:w="211"/>
        <w:gridCol w:w="721"/>
        <w:gridCol w:w="109"/>
        <w:gridCol w:w="162"/>
      </w:tblGrid>
      <w:tr>
        <w:trPr/>
        <w:tc>
          <w:tcPr>
            <w:tcW w:w="8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Capital Invested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(Receivable from) Payable to Related Parties,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vMerge w:val="continue"/>
            <w:tcBorders/>
            <w:tcMar>
              <w:top w:w="0" w:type="dxa"/>
              <w:left w:w="0" w:type="dxa"/>
              <w:bottom w:w="0" w:type="dxa"/>
              <w:right w:w="0" w:type="dxa"/>
            </w:tcMar>
            <w:vAlign w:val="center"/>
          </w:tcPr>
          <w:p>
            <w:pPr>
              <w:pStyle w:val="Normal"/>
              <w:bidi w:val="0"/>
              <w:jc w:val="left"/>
              <w:rPr/>
            </w:pPr>
            <w:r>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Stock-settled share-based compensation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UAL share repurchase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Stock-settled share-based compensation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AIRLINES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AIRLINES,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COMBINED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UAL and United unaudited condensed consolidated financial statements shown here have been prepared as required by the U.S. Securities and Exchange Commission (the "SEC"). Some information and footnote disclosures normally included in financial statements that comply with accounting principles generally accepted in the United States ("GAAP") have been condensed or omitted as permitted by the SEC. The financial statements include all adjustments, including normal recurring adjustments and other adjustments, which are considered necessary for a fair presentation of the Company's financial position and results of operations for the interim periods presented. The UAL and United financial statements should be read together with the information included in the Company's Annual Report on Form 10-K for the fiscal year ended December 31, 2024 (the "2024 Form 10-K"). </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variable interest entities where it has been determined that the Company is the primary beneficiary of those entities' operations. All significant intercompany accounts and transactions have been eliminated in consolidation. Certain prior period amounts have been reclassified to conform to the current period presentation.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financial data is subject to seasonal fluctuations, and its second and third quarter financial results have historically reflected higher travel demand than its first and fourth quarter financial results. Due to these fluctuations, quarterly financial results are not necessarily indicative of financial results for the entire year.</w:t>
      </w:r>
    </w:p>
    <w:p>
      <w:pPr>
        <w:pStyle w:val="TextBody"/>
        <w:bidi w:val="0"/>
        <w:spacing w:lineRule="auto" w:line="288" w:before="180" w:after="100"/>
        <w:jc w:val="left"/>
        <w:rPr/>
      </w:pPr>
      <w:r>
        <w:rPr>
          <w:rFonts w:ascii="Times New Roman;sans-serif" w:hAnsi="Times New Roman;sans-serif"/>
          <w:b w:val="false"/>
          <w:i/>
          <w:color w:val="000000"/>
          <w:sz w:val="20"/>
        </w:rPr>
        <w:t xml:space="preserve">Change in Presentation. </w:t>
      </w:r>
      <w:r>
        <w:rPr>
          <w:rFonts w:ascii="Times New Roman;sans-serif" w:hAnsi="Times New Roman;sans-serif"/>
          <w:b w:val="false"/>
          <w:color w:val="000000"/>
          <w:sz w:val="20"/>
        </w:rPr>
        <w:t>In the first quarter of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pStyle w:val="TextBody"/>
        <w:bidi w:val="0"/>
        <w:spacing w:lineRule="auto" w:line="288" w:before="180" w:after="100"/>
        <w:jc w:val="left"/>
        <w:rPr/>
      </w:pPr>
      <w:r>
        <w:rPr>
          <w:rFonts w:ascii="Times New Roman;sans-serif" w:hAnsi="Times New Roman;sans-serif"/>
          <w:b w:val="false"/>
          <w:i/>
          <w:color w:val="000000"/>
          <w:sz w:val="20"/>
        </w:rPr>
        <w:t>Segments.</w:t>
      </w:r>
      <w:r>
        <w:rPr>
          <w:color w:val="000000"/>
        </w:rPr>
        <w:t xml:space="preserve"> </w:t>
      </w:r>
      <w:r>
        <w:rPr>
          <w:rFonts w:ascii="Times New Roman;sans-serif" w:hAnsi="Times New Roman;sans-serif"/>
          <w:b w:val="false"/>
          <w:color w:val="000000"/>
          <w:sz w:val="20"/>
        </w:rPr>
        <w:t>The Company manages it operations as one segment. The Company's chief executive officer is its chief operating decision maker ("CODM"). The CODM assesses performance of the Company and makes resource allocation decisions based on Net income as reported in the Company's statement of consolidated operations. The measure of segment assets is reported on the consolidated balance sheet as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2 - REVENUE RECOGNITION</w:t>
      </w:r>
    </w:p>
    <w:p>
      <w:pPr>
        <w:pStyle w:val="TextBody"/>
        <w:bidi w:val="0"/>
        <w:spacing w:lineRule="auto" w:line="288" w:before="180" w:after="100"/>
        <w:jc w:val="left"/>
        <w:rPr/>
      </w:pPr>
      <w:r>
        <w:rPr>
          <w:rFonts w:ascii="Times New Roman;sans-serif" w:hAnsi="Times New Roman;sans-serif"/>
          <w:b w:val="false"/>
          <w:i/>
          <w:color w:val="000000"/>
          <w:sz w:val="20"/>
        </w:rPr>
        <w:t>Revenue by Geography.</w:t>
      </w:r>
      <w:r>
        <w:rPr>
          <w:color w:val="000000"/>
        </w:rPr>
        <w:t xml:space="preserve"> </w:t>
      </w:r>
      <w:r>
        <w:rPr>
          <w:rFonts w:ascii="Times New Roman;sans-serif" w:hAnsi="Times New Roman;sans-serif"/>
          <w:b w:val="false"/>
          <w:color w:val="000000"/>
          <w:sz w:val="20"/>
        </w:rPr>
        <w:t>The table below presents the Company's operating revenue by principal geographic region (in millions):</w:t>
      </w:r>
    </w:p>
    <w:tbl>
      <w:tblPr>
        <w:tblW w:w="5654" w:type="dxa"/>
        <w:jc w:val="center"/>
        <w:tblInd w:w="0" w:type="dxa"/>
        <w:tblLayout w:type="fixed"/>
        <w:tblCellMar>
          <w:top w:w="28" w:type="dxa"/>
          <w:left w:w="28" w:type="dxa"/>
          <w:bottom w:w="28" w:type="dxa"/>
          <w:right w:w="28" w:type="dxa"/>
        </w:tblCellMar>
      </w:tblPr>
      <w:tblGrid>
        <w:gridCol w:w="864"/>
        <w:gridCol w:w="759"/>
        <w:gridCol w:w="762"/>
        <w:gridCol w:w="244"/>
        <w:gridCol w:w="835"/>
        <w:gridCol w:w="126"/>
        <w:gridCol w:w="126"/>
        <w:gridCol w:w="126"/>
        <w:gridCol w:w="126"/>
        <w:gridCol w:w="244"/>
        <w:gridCol w:w="835"/>
        <w:gridCol w:w="126"/>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(U.S. and Canada)</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Atlantic</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ans-serif" w:hAnsi="Times New Roman;sans-serif"/>
          <w:b w:val="false"/>
          <w:i/>
          <w:color w:val="000000"/>
          <w:sz w:val="20"/>
        </w:rPr>
        <w:t>Advance ticket sales.</w:t>
      </w:r>
      <w:r>
        <w:rPr>
          <w:color w:val="000000"/>
        </w:rPr>
        <w:t xml:space="preserve"> </w:t>
      </w:r>
      <w:r>
        <w:rPr>
          <w:rFonts w:ascii="Times New Roman;sans-serif" w:hAnsi="Times New Roman;sans-serif"/>
          <w:b w:val="false"/>
          <w:color w:val="000000"/>
          <w:sz w:val="20"/>
        </w:rPr>
        <w:t xml:space="preserve">In the three months ended March 31, 2025 and 2024, the Company recognized approximately $4.3 billion and $4.0 billion, respectively, of passenger revenue for tickets that were included in Advance ticket sales at the beginning of those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ans-serif" w:hAnsi="Times New Roman;sans-serif"/>
          <w:b w:val="false"/>
          <w:i/>
          <w:color w:val="000000"/>
          <w:sz w:val="20"/>
        </w:rPr>
        <w:t>Ancillary services.</w:t>
      </w:r>
      <w:r>
        <w:rPr>
          <w:color w:val="000000"/>
        </w:rPr>
        <w:t xml:space="preserve"> </w:t>
      </w:r>
      <w:r>
        <w:rPr>
          <w:rFonts w:ascii="Times New Roman;sans-serif" w:hAnsi="Times New Roman;sans-serif"/>
          <w:b w:val="false"/>
          <w:color w:val="000000"/>
          <w:sz w:val="20"/>
        </w:rPr>
        <w:t>The Company recorded approximately $1.0 billion and $984 million of ancillary fees within passenger revenue in the three months ended March 31, 2025 and 2024, respectively.</w:t>
      </w:r>
    </w:p>
    <w:p>
      <w:pPr>
        <w:pStyle w:val="TextBody"/>
        <w:bidi w:val="0"/>
        <w:spacing w:lineRule="auto" w:line="288" w:before="180" w:after="100"/>
        <w:jc w:val="left"/>
        <w:rPr/>
      </w:pPr>
      <w:r>
        <w:rPr>
          <w:rFonts w:ascii="Times New Roman;sans-serif" w:hAnsi="Times New Roman;sans-serif"/>
          <w:b w:val="false"/>
          <w:i/>
          <w:color w:val="000000"/>
          <w:sz w:val="20"/>
        </w:rPr>
        <w:t>Frequent flyer deferred revenue.</w:t>
      </w:r>
      <w:r>
        <w:rPr>
          <w:color w:val="000000"/>
        </w:rPr>
        <w:t xml:space="preserve"> </w:t>
      </w:r>
      <w:r>
        <w:rPr>
          <w:rFonts w:ascii="Times New Roman;sans-serif" w:hAnsi="Times New Roman;sans-serif"/>
          <w:b w:val="false"/>
          <w:color w:val="000000"/>
          <w:sz w:val="20"/>
        </w:rPr>
        <w:t>The table below presents a roll forward of Frequent flyer deferred revenue (in millions):</w:t>
      </w:r>
    </w:p>
    <w:tbl>
      <w:tblPr>
        <w:tblW w:w="4974" w:type="dxa"/>
        <w:jc w:val="left"/>
        <w:tblInd w:w="0" w:type="dxa"/>
        <w:tblLayout w:type="fixed"/>
        <w:tblCellMar>
          <w:top w:w="28" w:type="dxa"/>
          <w:left w:w="28" w:type="dxa"/>
          <w:bottom w:w="28" w:type="dxa"/>
          <w:right w:w="28" w:type="dxa"/>
        </w:tblCellMar>
      </w:tblPr>
      <w:tblGrid>
        <w:gridCol w:w="832"/>
        <w:gridCol w:w="728"/>
        <w:gridCol w:w="734"/>
        <w:gridCol w:w="211"/>
        <w:gridCol w:w="616"/>
        <w:gridCol w:w="109"/>
        <w:gridCol w:w="109"/>
        <w:gridCol w:w="109"/>
        <w:gridCol w:w="109"/>
        <w:gridCol w:w="211"/>
        <w:gridCol w:w="616"/>
        <w:gridCol w:w="109"/>
        <w:gridCol w:w="109"/>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miles redeemed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Non-travel miles redeemed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and 2024, the Company recognized, in Other operating revenue, $774 million and $714 million, respectively, related to the marketing, advertising, non-travel miles redeemed (net of related costs) and other travel-related benefits of the mileage revenue associated with our various partner agreements including, but not limited to, our JPMorgan Chase Bank, N.A. MileagePlus co-brand agreement. The portion related to the MileagePlus miles awarded of the total amounts received from our various partner agreements is deferred and presented in the table above as an increase to Frequent flyer deferred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 xml:space="preserve">NOTE 3 - EARNINGS (LOSS) PER SHARE </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UAL's basic and diluted earnings per share, the latter of which uses the treasury stock method to calculate the dilutive effect of UAL's potential common stock (in millions, except per share amounts):</w:t>
      </w:r>
    </w:p>
    <w:tbl>
      <w:tblPr>
        <w:tblW w:w="10205" w:type="dxa"/>
        <w:jc w:val="left"/>
        <w:tblInd w:w="0" w:type="dxa"/>
        <w:tblLayout w:type="fixed"/>
        <w:tblCellMar>
          <w:top w:w="28" w:type="dxa"/>
          <w:left w:w="28" w:type="dxa"/>
          <w:bottom w:w="28" w:type="dxa"/>
          <w:right w:w="28" w:type="dxa"/>
        </w:tblCellMar>
      </w:tblPr>
      <w:tblGrid>
        <w:gridCol w:w="2127"/>
        <w:gridCol w:w="1747"/>
        <w:gridCol w:w="1751"/>
        <w:gridCol w:w="421"/>
        <w:gridCol w:w="1019"/>
        <w:gridCol w:w="217"/>
        <w:gridCol w:w="217"/>
        <w:gridCol w:w="217"/>
        <w:gridCol w:w="217"/>
        <w:gridCol w:w="421"/>
        <w:gridCol w:w="1150"/>
        <w:gridCol w:w="217"/>
        <w:gridCol w:w="109"/>
        <w:gridCol w:w="109"/>
        <w:gridCol w:w="109"/>
        <w:gridCol w:w="157"/>
      </w:tblGrid>
      <w:tr>
        <w:trPr/>
        <w:tc>
          <w:tcPr>
            <w:tcW w:w="212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available to common stockholders</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Warrants (a)</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stock awards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basic</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diluted</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Potentially dilutive securities (b)</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Warrants (a)</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awards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See discussion below for more information about these Warrants.</w:t>
            </w:r>
          </w:p>
        </w:tc>
        <w:tc>
          <w:tcPr>
            <w:tcW w:w="484" w:type="dxa"/>
            <w:gridSpan w:val="4"/>
            <w:tcBorders/>
          </w:tcPr>
          <w:p>
            <w:pPr>
              <w:pStyle w:val="TableContents"/>
              <w:bidi w:val="0"/>
              <w:spacing w:before="0" w:after="283"/>
              <w:jc w:val="left"/>
              <w:rPr>
                <w:sz w:val="4"/>
                <w:szCs w:val="4"/>
              </w:rPr>
            </w:pPr>
            <w:r>
              <w:rPr>
                <w:sz w:val="4"/>
                <w:szCs w:val="4"/>
              </w:rPr>
            </w:r>
          </w:p>
        </w:tc>
      </w:tr>
      <w:tr>
        <w:trPr/>
        <w:tc>
          <w:tcPr>
            <w:tcW w:w="972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Weighted-average potentially dilutive securities outstanding are excluded from the computation of diluted earnings per share because the securities would have an antidilutive effect.</w:t>
            </w:r>
          </w:p>
        </w:tc>
        <w:tc>
          <w:tcPr>
            <w:tcW w:w="484"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2020 and 2021, the Company issued to the United States Department of the Treasury (the "U.S. Treasury") warrants (the "Warrants") to purchase 9,928,349 shares of UAL common stock in connection with the Payroll Support Program established under Division A, Title IV, Subtitle B of the Coronavirus Aid, Relief, and Economic Security ("CARES") Act, the Payroll Support Program Extension established under Division N, Title IV, Subtitle A of the Consolidated Appropriations Act, 2021, the Payroll Support Program 3 established under Title VII, Subtitle C of the American Rescue Plan Act of 2021, and the Airline Loan Program established under Division A, Title IV, Subtitle A of the CARES Act. In August 2024, the holder of the Warrants exercised 6,414,635 of the Warrants in a net share settlement for 2,043,906 shares of UAL common stock. In March 2025, the remaining 3,513,714 Warrants were exercised in a net share settlement for 1,801,430 shares of UAL common stock.</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the Company repurchased, through open market purchases, approximately 4.0 million shares of UAL common stock for a total of approximately $0.4 billion as part of its share repurchase program. As of April 10, 2025, the dollar value of shares that may yet be purchased under the program is approximately $1.0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4 - ACCUMULATED OTHER COMPREHENSIVE INCOME (LOSS)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components of the Company's accumulated other comprehensive income (loss), net of tax ("AOCI") (in millions):</w:t>
      </w:r>
    </w:p>
    <w:tbl>
      <w:tblPr>
        <w:tblW w:w="10205" w:type="dxa"/>
        <w:jc w:val="left"/>
        <w:tblInd w:w="0" w:type="dxa"/>
        <w:tblLayout w:type="fixed"/>
        <w:tblCellMar>
          <w:top w:w="28" w:type="dxa"/>
          <w:left w:w="28" w:type="dxa"/>
          <w:bottom w:w="28" w:type="dxa"/>
          <w:right w:w="28" w:type="dxa"/>
        </w:tblCellMar>
      </w:tblPr>
      <w:tblGrid>
        <w:gridCol w:w="746"/>
        <w:gridCol w:w="581"/>
        <w:gridCol w:w="585"/>
        <w:gridCol w:w="129"/>
        <w:gridCol w:w="129"/>
        <w:gridCol w:w="129"/>
        <w:gridCol w:w="701"/>
        <w:gridCol w:w="1551"/>
        <w:gridCol w:w="366"/>
        <w:gridCol w:w="129"/>
        <w:gridCol w:w="129"/>
        <w:gridCol w:w="129"/>
        <w:gridCol w:w="486"/>
        <w:gridCol w:w="938"/>
        <w:gridCol w:w="253"/>
        <w:gridCol w:w="129"/>
        <w:gridCol w:w="129"/>
        <w:gridCol w:w="129"/>
        <w:gridCol w:w="330"/>
        <w:gridCol w:w="843"/>
        <w:gridCol w:w="170"/>
        <w:gridCol w:w="129"/>
        <w:gridCol w:w="129"/>
        <w:gridCol w:w="129"/>
        <w:gridCol w:w="251"/>
        <w:gridCol w:w="556"/>
        <w:gridCol w:w="129"/>
        <w:gridCol w:w="171"/>
      </w:tblGrid>
      <w:tr>
        <w:trPr/>
        <w:tc>
          <w:tcPr>
            <w:tcW w:w="7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and Other Postretirement Liabilities</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Investments and Other</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Taxes (a)</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2618"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677"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0034"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ans-serif" w:hAnsi="Times New Roman;sans-serif"/>
                <w:b w:val="false"/>
                <w:color w:val="000000"/>
                <w:sz w:val="16"/>
              </w:rPr>
            </w:pPr>
            <w:r>
              <w:rPr>
                <w:rFonts w:ascii="Times New Roman;sans-serif" w:hAnsi="Times New Roman;sans-serif"/>
                <w:b w:val="false"/>
                <w:color w:val="000000"/>
                <w:sz w:val="16"/>
              </w:rPr>
              <w:t>(a) 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tc>
        <w:tc>
          <w:tcPr>
            <w:tcW w:w="171" w:type="dxa"/>
            <w:tcBorders/>
          </w:tcPr>
          <w:p>
            <w:pPr>
              <w:pStyle w:val="TableContents"/>
              <w:bidi w:val="0"/>
              <w:spacing w:before="0" w:after="283"/>
              <w:jc w:val="left"/>
              <w:rPr>
                <w:sz w:val="4"/>
                <w:szCs w:val="4"/>
              </w:rPr>
            </w:pPr>
            <w:r>
              <w:rPr>
                <w:sz w:val="4"/>
                <w:szCs w:val="4"/>
              </w:rPr>
            </w:r>
          </w:p>
        </w:tc>
      </w:tr>
      <w:tr>
        <w:trPr/>
        <w:tc>
          <w:tcPr>
            <w:tcW w:w="10034"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ans-serif" w:hAnsi="Times New Roman;sans-serif"/>
                <w:b w:val="false"/>
                <w:color w:val="000000"/>
                <w:sz w:val="16"/>
              </w:rPr>
            </w:pPr>
            <w:r>
              <w:rPr>
                <w:rFonts w:ascii="Times New Roman;sans-serif" w:hAnsi="Times New Roman;sans-serif"/>
                <w:b w:val="false"/>
                <w:color w:val="000000"/>
                <w:sz w:val="16"/>
              </w:rPr>
              <w:t>(b) This AOCI component is included in the computation of net periodic pension and other postretirement costs, specifically the following components: amortization of unrecognized (gain) loss, amortization of prior service credit and other. See Note 6 of this report for additional information on pensions and other postretirement liabilities.</w:t>
            </w:r>
          </w:p>
        </w:tc>
        <w:tc>
          <w:tcPr>
            <w:tcW w:w="171"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rates for the three months ended March 31, 2025 and 2024 were 19.0% and 24.4%, respectively. The provision for income taxes is based on the estimated annual effective tax rate, which represents a blend of federal, state and foreign taxes and includes the impact of certain nondeductible items. The decrease in the effective tax rate, in the three months ended March 31, 2025 as compared to the same period in 2024, was primarily due to an increase in excess tax benefits related to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6 - PENSION AND OTHER POSTRETIREMENT BENEFIT PLANS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periodic benefit cost includes the following components for the three months ended March 31 (in millions):</w:t>
      </w:r>
    </w:p>
    <w:tbl>
      <w:tblPr>
        <w:tblW w:w="10205" w:type="dxa"/>
        <w:jc w:val="left"/>
        <w:tblInd w:w="0" w:type="dxa"/>
        <w:tblLayout w:type="fixed"/>
        <w:tblCellMar>
          <w:top w:w="28" w:type="dxa"/>
          <w:left w:w="28" w:type="dxa"/>
          <w:bottom w:w="28" w:type="dxa"/>
          <w:right w:w="28" w:type="dxa"/>
        </w:tblCellMar>
      </w:tblPr>
      <w:tblGrid>
        <w:gridCol w:w="1151"/>
        <w:gridCol w:w="928"/>
        <w:gridCol w:w="929"/>
        <w:gridCol w:w="109"/>
        <w:gridCol w:w="109"/>
        <w:gridCol w:w="109"/>
        <w:gridCol w:w="211"/>
        <w:gridCol w:w="361"/>
        <w:gridCol w:w="109"/>
        <w:gridCol w:w="109"/>
        <w:gridCol w:w="109"/>
        <w:gridCol w:w="109"/>
        <w:gridCol w:w="211"/>
        <w:gridCol w:w="361"/>
        <w:gridCol w:w="109"/>
        <w:gridCol w:w="109"/>
        <w:gridCol w:w="109"/>
        <w:gridCol w:w="109"/>
        <w:gridCol w:w="281"/>
        <w:gridCol w:w="569"/>
        <w:gridCol w:w="145"/>
        <w:gridCol w:w="145"/>
        <w:gridCol w:w="145"/>
        <w:gridCol w:w="145"/>
        <w:gridCol w:w="281"/>
        <w:gridCol w:w="569"/>
        <w:gridCol w:w="145"/>
        <w:gridCol w:w="109"/>
        <w:gridCol w:w="109"/>
        <w:gridCol w:w="109"/>
        <w:gridCol w:w="625"/>
        <w:gridCol w:w="609"/>
        <w:gridCol w:w="868"/>
      </w:tblGrid>
      <w:tr>
        <w:trPr/>
        <w:tc>
          <w:tcPr>
            <w:tcW w:w="11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Affected Line Item </w:t>
              <w:br/>
              <w:t>in the Statements of</w:t>
              <w:br/>
              <w:t> Consolidated Operations</w:t>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costs</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unrecognized (gain)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7 - FAIR VALUE MEASUREMENTS, INVESTMENTS AND NOTES RECEIVABLE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value of financial assets measured at fair value on a recurring basis in the Company's financial statements (in millions):</w:t>
      </w:r>
    </w:p>
    <w:tbl>
      <w:tblPr>
        <w:tblW w:w="10228" w:type="dxa"/>
        <w:jc w:val="center"/>
        <w:tblInd w:w="0" w:type="dxa"/>
        <w:tblLayout w:type="fixed"/>
        <w:tblCellMar>
          <w:top w:w="28" w:type="dxa"/>
          <w:left w:w="28" w:type="dxa"/>
          <w:bottom w:w="28" w:type="dxa"/>
          <w:right w:w="28" w:type="dxa"/>
        </w:tblCellMar>
      </w:tblPr>
      <w:tblGrid>
        <w:gridCol w:w="566"/>
        <w:gridCol w:w="339"/>
        <w:gridCol w:w="341"/>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placed through an account registry service (CDARS)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fixed-income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presented in the table above have the same fair value as their carrying value. </w:t>
      </w:r>
    </w:p>
    <w:p>
      <w:pPr>
        <w:pStyle w:val="TextBody"/>
        <w:bidi w:val="0"/>
        <w:spacing w:lineRule="auto" w:line="288" w:before="180" w:after="100"/>
        <w:jc w:val="left"/>
        <w:rPr/>
      </w:pPr>
      <w:r>
        <w:rPr>
          <w:rFonts w:ascii="Times New Roman;sans-serif" w:hAnsi="Times New Roman;sans-serif"/>
          <w:b/>
          <w:color w:val="000000"/>
          <w:sz w:val="20"/>
        </w:rPr>
        <w:t>Short-term investments</w:t>
      </w:r>
      <w:r>
        <w:rPr>
          <w:color w:val="000000"/>
        </w:rPr>
        <w:t xml:space="preserve"> — </w:t>
      </w:r>
      <w:r>
        <w:rPr>
          <w:rFonts w:ascii="Times New Roman;sans-serif" w:hAnsi="Times New Roman;sans-serif"/>
          <w:b w:val="false"/>
          <w:color w:val="000000"/>
          <w:sz w:val="20"/>
        </w:rPr>
        <w:t>The short-term investments shown in the table above are classified as available-for-sale and have remaining maturities of less than two years.</w:t>
      </w:r>
    </w:p>
    <w:p>
      <w:pPr>
        <w:pStyle w:val="TextBody"/>
        <w:bidi w:val="0"/>
        <w:spacing w:lineRule="auto" w:line="288" w:before="180" w:after="100"/>
        <w:jc w:val="both"/>
        <w:rPr/>
      </w:pPr>
      <w:r>
        <w:rPr>
          <w:rFonts w:ascii="Times New Roman;sans-serif" w:hAnsi="Times New Roman;sans-serif"/>
          <w:b/>
          <w:color w:val="000000"/>
          <w:sz w:val="20"/>
        </w:rPr>
        <w:t>Long-term investments: Equity securities</w:t>
      </w:r>
      <w:r>
        <w:rPr>
          <w:color w:val="000000"/>
        </w:rPr>
        <w:t xml:space="preserve"> — </w:t>
      </w:r>
      <w:r>
        <w:rPr>
          <w:rFonts w:ascii="Times New Roman;sans-serif" w:hAnsi="Times New Roman;sans-serif"/>
          <w:b w:val="false"/>
          <w:color w:val="000000"/>
          <w:sz w:val="20"/>
        </w:rPr>
        <w:t xml:space="preserve">Represents equity and equity-linked securities (such as vested warrants) that make up United's investments in Azul Linhas Aéreas Brasileiras S.A., Archer Aviation Inc., Eve Holding, Inc. and Mesa Air Group, Inc. ("Mesa"). United concluded that Mesa is a variable interest entity as of March 31, 2025. United holds a variable interest in Mesa in the form of an approximately 10% equity interest and several loans to Mesa, but United is not the primary beneficiary because it does not have power to direct the activities that most significantly impact Mesa's economic performance. </w:t>
      </w:r>
    </w:p>
    <w:p>
      <w:pPr>
        <w:pStyle w:val="TextBody"/>
        <w:bidi w:val="0"/>
        <w:spacing w:lineRule="auto" w:line="288" w:before="180" w:after="100"/>
        <w:jc w:val="left"/>
        <w:rPr/>
      </w:pPr>
      <w:r>
        <w:rPr>
          <w:rFonts w:ascii="Times New Roman;sans-serif" w:hAnsi="Times New Roman;sans-serif"/>
          <w:b/>
          <w:color w:val="000000"/>
          <w:sz w:val="20"/>
        </w:rPr>
        <w:t>Other fair value information.</w:t>
      </w:r>
      <w:r>
        <w:rPr>
          <w:color w:val="000000"/>
        </w:rPr>
        <w:t xml:space="preserve"> </w:t>
      </w:r>
      <w:r>
        <w:rPr>
          <w:rFonts w:ascii="Times New Roman;sans-serif" w:hAnsi="Times New Roman;sans-serif"/>
          <w:b w:val="false"/>
          <w:color w:val="000000"/>
          <w:sz w:val="20"/>
        </w:rPr>
        <w:t>The table below presents the carrying values and estimated fair values of financial instruments not presented in the table above (in millions). Carrying amounts include any related discounts, premiums and issuance costs.</w:t>
      </w:r>
    </w:p>
    <w:tbl>
      <w:tblPr>
        <w:tblW w:w="13534"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the financial instruments included in the tables above was determined as follows:</w:t>
      </w:r>
    </w:p>
    <w:tbl>
      <w:tblPr>
        <w:tblW w:w="10205" w:type="dxa"/>
        <w:jc w:val="left"/>
        <w:tblInd w:w="0" w:type="dxa"/>
        <w:tblLayout w:type="fixed"/>
        <w:tblCellMar>
          <w:top w:w="28" w:type="dxa"/>
          <w:left w:w="28" w:type="dxa"/>
          <w:bottom w:w="28" w:type="dxa"/>
          <w:right w:w="28" w:type="dxa"/>
        </w:tblCellMar>
      </w:tblPr>
      <w:tblGrid>
        <w:gridCol w:w="1225"/>
        <w:gridCol w:w="1076"/>
        <w:gridCol w:w="1080"/>
        <w:gridCol w:w="1993"/>
        <w:gridCol w:w="1993"/>
        <w:gridCol w:w="2838"/>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Methodology</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(current and non-current)</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these assets approximate fair value. </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and Long-term investments</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(a) the trading prices of the investment or similar instruments or (b) broker quotes obtained by third-party valuation services.</w:t>
            </w:r>
          </w:p>
        </w:tc>
      </w:tr>
      <w:tr>
        <w:trPr/>
        <w:tc>
          <w:tcPr>
            <w:tcW w:w="33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68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values are based on either market prices or the discounted amount of future cash flows using our current incremental rate of borrowing for similar liabilities.</w:t>
            </w:r>
          </w:p>
        </w:tc>
      </w:tr>
    </w:tbl>
    <w:p>
      <w:pPr>
        <w:pStyle w:val="TextBody"/>
        <w:bidi w:val="0"/>
        <w:spacing w:lineRule="auto" w:line="288" w:before="180" w:after="100"/>
        <w:jc w:val="left"/>
        <w:rPr/>
      </w:pPr>
      <w:r>
        <w:rPr>
          <w:rFonts w:ascii="Times New Roman;sans-serif" w:hAnsi="Times New Roman;sans-serif"/>
          <w:b/>
          <w:color w:val="000000"/>
          <w:sz w:val="20"/>
        </w:rPr>
        <w:t xml:space="preserve">Equity Method Investments. </w:t>
      </w:r>
      <w:r>
        <w:rPr>
          <w:rFonts w:ascii="Times New Roman;sans-serif" w:hAnsi="Times New Roman;sans-serif"/>
          <w:b w:val="false"/>
          <w:color w:val="000000"/>
          <w:sz w:val="20"/>
        </w:rPr>
        <w:t>As of March 31, 2025, United holds investments, accounted for using the equity method, with a combined carrying value of approximately $249 million, including the following:</w:t>
      </w:r>
    </w:p>
    <w:p>
      <w:pPr>
        <w:pStyle w:val="TextBody"/>
        <w:bidi w:val="0"/>
        <w:spacing w:lineRule="auto" w:line="288" w:before="180" w:after="100"/>
        <w:ind w:left="0" w:right="0" w:hanging="360"/>
        <w:jc w:val="left"/>
        <w:rPr/>
      </w:pPr>
      <w:r>
        <w:rPr>
          <w:color w:val="000000"/>
        </w:rPr>
        <w:t>•</w:t>
      </w:r>
      <w:r>
        <w:rPr>
          <w:rFonts w:ascii="Times New Roman;sans-serif" w:hAnsi="Times New Roman;sans-serif"/>
          <w:b w:val="false"/>
          <w:color w:val="000000"/>
          <w:sz w:val="20"/>
        </w:rPr>
        <w:t>Republic Airways Holdings Inc. ("Republic Airways"). United holds a 19% minority interest in Republic Airways, which is the parent company of Republic Airways Inc. ("Republic"). Republic currently operates 66 regional aircraft under capacity purchase agreements ("CPAs") with United that have terms through 2037.</w:t>
      </w:r>
    </w:p>
    <w:p>
      <w:pPr>
        <w:pStyle w:val="TextBody"/>
        <w:bidi w:val="0"/>
        <w:spacing w:lineRule="auto" w:line="288" w:before="180" w:after="100"/>
        <w:ind w:left="0" w:right="0" w:hanging="360"/>
        <w:jc w:val="left"/>
        <w:rPr/>
      </w:pPr>
      <w:r>
        <w:rPr>
          <w:color w:val="000000"/>
        </w:rPr>
        <w:t>•</w:t>
      </w:r>
      <w:r>
        <w:rPr>
          <w:rFonts w:ascii="Times New Roman;sans-serif" w:hAnsi="Times New Roman;sans-serif"/>
          <w:b w:val="false"/>
          <w:color w:val="000000"/>
          <w:sz w:val="20"/>
        </w:rPr>
        <w:t>CommuteAir LLC. United owns a 40% minority ownership stake in CommuteAir LLC. CommuteAir currently operates 59 regional aircraft under a CPA with United that has a term through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ind w:left="0" w:right="0" w:hanging="360"/>
        <w:jc w:val="left"/>
        <w:rPr/>
      </w:pPr>
      <w:r>
        <w:rPr>
          <w:color w:val="000000"/>
        </w:rPr>
        <w:t>•</w:t>
      </w:r>
      <w:r>
        <w:rPr>
          <w:rFonts w:ascii="Times New Roman;sans-serif" w:hAnsi="Times New Roman;sans-serif"/>
          <w:b w:val="false"/>
          <w:color w:val="000000"/>
          <w:sz w:val="20"/>
        </w:rPr>
        <w:t>United Airlines Ventures Sustainable Flight Fund (the "Fund"). 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pStyle w:val="TextBody"/>
        <w:bidi w:val="0"/>
        <w:spacing w:lineRule="auto" w:line="288" w:before="180" w:after="100"/>
        <w:jc w:val="left"/>
        <w:rPr/>
      </w:pPr>
      <w:r>
        <w:rPr>
          <w:rFonts w:ascii="Times New Roman;sans-serif" w:hAnsi="Times New Roman;sans-serif"/>
          <w:b/>
          <w:color w:val="000000"/>
          <w:sz w:val="20"/>
        </w:rPr>
        <w:t>Other Investments.</w:t>
      </w:r>
      <w:r>
        <w:rPr>
          <w:color w:val="000000"/>
        </w:rPr>
        <w:t xml:space="preserve"> </w:t>
      </w:r>
      <w:r>
        <w:rPr>
          <w:rFonts w:ascii="Times New Roman;sans-serif" w:hAnsi="Times New Roman;sans-serif"/>
          <w:b w:val="false"/>
          <w:color w:val="000000"/>
          <w:sz w:val="20"/>
        </w:rPr>
        <w:t>As of March 31, 2025, United has equity investments in a number of companies including a multinational airline holding company, an independent air carrier and others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March 31, 2025, the carrying value of these investments was $262 million.</w:t>
      </w:r>
    </w:p>
    <w:p>
      <w:pPr>
        <w:pStyle w:val="TextBody"/>
        <w:bidi w:val="0"/>
        <w:spacing w:lineRule="auto" w:line="288" w:before="180" w:after="100"/>
        <w:jc w:val="left"/>
        <w:rPr/>
      </w:pPr>
      <w:r>
        <w:rPr>
          <w:rFonts w:ascii="Times New Roman;sans-serif" w:hAnsi="Times New Roman;sans-serif"/>
          <w:b/>
          <w:color w:val="000000"/>
          <w:sz w:val="20"/>
        </w:rPr>
        <w:t>Notes Receivable.</w:t>
      </w:r>
      <w:r>
        <w:rPr>
          <w:color w:val="000000"/>
        </w:rPr>
        <w:t xml:space="preserve"> </w:t>
      </w:r>
      <w:r>
        <w:rPr>
          <w:rFonts w:ascii="Times New Roman;sans-serif" w:hAnsi="Times New Roman;sans-serif"/>
          <w:b w:val="false"/>
          <w:color w:val="000000"/>
          <w:sz w:val="20"/>
        </w:rPr>
        <w:t>As of March 31, 2025, the Company has $79 million of notes receivable, net of allowance for credit losses, the majority of which is from certain of its regional carriers. The current portions of the notes receivable are recorded in Receivables, net. The long-term portion of the notes receivable is recorded in Investments in affiliates and other, net on the Company's consolidated balance sheet.</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April 4, 2025, Mesa entered into an Agreement, Plan of Conversion and Plan of Merger (the "Merger Agreement") with Republic Airways. Subject to the terms and conditions of the Merger Agreement, Republic Airways will merge with and into Mesa, with Mesa continuing as the surviving corporation following the merger (the "Surviving Entity"). At the effective time of the merger, our equity holdings in both Mesa and Republic Airways will be converted into shares of the new Surviving Entity. Concurrent with the execution of the Merger Agreement, Republic Airways, Mesa and its affiliates, and United entered into a Three Party Agreement that provides for certain actions to be taken subject to the terms and conditions therein to facilitate transactions related to the merger, including United's commitment to facilitate, by making certain financial contributions to Mesa, Mesa's disposition of certain assets and its extinguishment of certain liabilities in exchange for United receiving shares of up to 6% of equity interests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8 - DEBT</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$2.965 billion undrawn and available under our revolving credit facility. </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contractual principal payments (not including $169 million of unamortized debt discount, premiums and debt issuance costs) as of March 31, 2025 under then-outstanding long-term debt agreements (in millions):</w:t>
      </w:r>
    </w:p>
    <w:tbl>
      <w:tblPr>
        <w:tblW w:w="10205"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213"/>
        <w:gridCol w:w="624"/>
        <w:gridCol w:w="11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8"/>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Last nine months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March 31, 2025, the Company was in compliance with its debt covenants under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NOTE 9 - COMMITMENTS, CONTINGENCIES, AND GUARANTEES</w:t>
      </w:r>
    </w:p>
    <w:p>
      <w:pPr>
        <w:pStyle w:val="TextBody"/>
        <w:bidi w:val="0"/>
        <w:spacing w:lineRule="auto" w:line="288" w:before="180" w:after="100"/>
        <w:jc w:val="left"/>
        <w:rPr/>
      </w:pPr>
      <w:r>
        <w:rPr>
          <w:rFonts w:ascii="Times New Roman;sans-serif" w:hAnsi="Times New Roman;sans-serif"/>
          <w:b/>
          <w:i/>
          <w:color w:val="000000"/>
          <w:sz w:val="20"/>
        </w:rPr>
        <w:t xml:space="preserve">Commitments. </w:t>
      </w:r>
      <w:r>
        <w:rPr>
          <w:rFonts w:ascii="Times New Roman;sans-serif" w:hAnsi="Times New Roman;sans-serif"/>
          <w:b w:val="false"/>
          <w:color w:val="000000"/>
          <w:sz w:val="20"/>
        </w:rPr>
        <w:t>The table below summarizes United's firm commitments as of March 31, 2025, which include aircraft and related spare engines, aircraft improvements and non-aircraft capital commitments (in billions):</w:t>
      </w:r>
    </w:p>
    <w:tbl>
      <w:tblPr>
        <w:tblW w:w="10205" w:type="dxa"/>
        <w:jc w:val="left"/>
        <w:tblInd w:w="0" w:type="dxa"/>
        <w:tblLayout w:type="fixed"/>
        <w:tblCellMar>
          <w:top w:w="28" w:type="dxa"/>
          <w:left w:w="28" w:type="dxa"/>
          <w:bottom w:w="28" w:type="dxa"/>
          <w:right w:w="28" w:type="dxa"/>
        </w:tblCellMar>
      </w:tblPr>
      <w:tblGrid>
        <w:gridCol w:w="631"/>
        <w:gridCol w:w="556"/>
        <w:gridCol w:w="558"/>
        <w:gridCol w:w="512"/>
        <w:gridCol w:w="987"/>
        <w:gridCol w:w="264"/>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41"/>
        <w:gridCol w:w="585"/>
        <w:gridCol w:w="124"/>
        <w:gridCol w:w="109"/>
        <w:gridCol w:w="109"/>
        <w:gridCol w:w="109"/>
        <w:gridCol w:w="211"/>
        <w:gridCol w:w="511"/>
        <w:gridCol w:w="159"/>
      </w:tblGrid>
      <w:tr>
        <w:trPr/>
        <w:tc>
          <w:tcPr>
            <w:tcW w:w="63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Last nine months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Aircraft commitments are based on contractual scheduled aircraft deliveries. The amount and timing of these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ans-serif" w:hAnsi="Times New Roman;sans-serif"/>
          <w:b/>
          <w:i/>
          <w:color w:val="000000"/>
          <w:sz w:val="20"/>
        </w:rPr>
        <w:t>Guarantees.</w:t>
      </w:r>
      <w:r>
        <w:rPr>
          <w:color w:val="000000"/>
        </w:rPr>
        <w:t xml:space="preserve"> </w:t>
      </w:r>
      <w:r>
        <w:rPr>
          <w:rFonts w:ascii="Times New Roman;sans-serif" w:hAnsi="Times New Roman;sans-serif"/>
          <w:b w:val="false"/>
          <w:color w:val="000000"/>
          <w:sz w:val="20"/>
        </w:rPr>
        <w:t>As of March 31, 2025, United is the guarantor of approximately $2.9 billion in aggregate principal amount of tax-exempt special facility revenue bonds and interest thereon. These bonds, which are issued by various airport authorities or other conduit issuers, are payable solely from rentals paid under long-term agreements with the respective airport authorities or from payments under loan agreements with the respective issuing authorities. The leasing arrangements associated with these obligations are accounted for as operating leases in the Company's financial statements. All of these bonds are due between 2027 and 2041.</w:t>
      </w:r>
    </w:p>
    <w:p>
      <w:pPr>
        <w:pStyle w:val="TextBody"/>
        <w:bidi w:val="0"/>
        <w:spacing w:lineRule="auto" w:line="288" w:before="180" w:after="100"/>
        <w:jc w:val="left"/>
        <w:rPr/>
      </w:pPr>
      <w:r>
        <w:rPr>
          <w:rFonts w:ascii="Times New Roman;sans-serif" w:hAnsi="Times New Roman;sans-serif"/>
          <w:b/>
          <w:i/>
          <w:color w:val="000000"/>
          <w:sz w:val="20"/>
        </w:rPr>
        <w:t xml:space="preserve">Increased Cost Provisions. </w:t>
      </w:r>
      <w:r>
        <w:rPr>
          <w:rFonts w:ascii="Times New Roman;sans-serif" w:hAnsi="Times New Roman;sans-serif"/>
          <w:b w:val="false"/>
          <w:color w:val="000000"/>
          <w:sz w:val="20"/>
        </w:rPr>
        <w:t>In United's financing transactions that include loans in which United is the borrower, United typically agrees to reimburse 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March 31, 2025, the Company had $8.4 billion of floating rate debt with remaining terms of up to approximately 12 years that are subject to these increased cost provisions. In several financing transactions involving loans or leases from non-U.S. entities, with remaining terms of up to approximately 12 years and an aggregate balance of $5.2 billion, the Company bears the risk of any change in tax laws that would subject loan or lease payments thereunder to non-U.S. entities to withholding taxes, subject to customary exclusions.</w:t>
      </w:r>
    </w:p>
    <w:p>
      <w:pPr>
        <w:pStyle w:val="TextBody"/>
        <w:bidi w:val="0"/>
        <w:spacing w:lineRule="auto" w:line="288" w:before="180" w:after="100"/>
        <w:jc w:val="left"/>
        <w:rPr/>
      </w:pPr>
      <w:r>
        <w:rPr>
          <w:rFonts w:ascii="Times New Roman;sans-serif" w:hAnsi="Times New Roman;sans-serif"/>
          <w:b/>
          <w:i/>
          <w:color w:val="000000"/>
          <w:sz w:val="20"/>
        </w:rPr>
        <w:t>Labor Relations</w:t>
      </w:r>
      <w:r>
        <w:rPr>
          <w:rFonts w:ascii="Times New Roman;sans-serif" w:hAnsi="Times New Roman;sans-serif"/>
          <w:b/>
          <w:i/>
          <w:color w:val="242424"/>
          <w:sz w:val="20"/>
        </w:rPr>
        <w:t>.</w:t>
      </w:r>
      <w:r>
        <w:rPr>
          <w:color w:val="000000"/>
        </w:rPr>
        <w:t xml:space="preserve"> </w:t>
      </w:r>
      <w:r>
        <w:rPr>
          <w:rFonts w:ascii="Times New Roman;sans-serif" w:hAnsi="Times New Roman;sans-serif"/>
          <w:b w:val="false"/>
          <w:color w:val="000000"/>
          <w:sz w:val="20"/>
        </w:rPr>
        <w:t>As of March 31, 2025, the Company had approximately 109,200 employees, of whom approximately 82% were represented by various U.S. labor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NOTE 10 - SPECIAL CHARGES (CREDITS)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operating and nonoperating special charges (credits) and unrealized losses on investments in the statements of consolidated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2730"/>
        <w:gridCol w:w="2233"/>
        <w:gridCol w:w="2254"/>
        <w:gridCol w:w="285"/>
        <w:gridCol w:w="713"/>
        <w:gridCol w:w="146"/>
        <w:gridCol w:w="146"/>
        <w:gridCol w:w="146"/>
        <w:gridCol w:w="146"/>
        <w:gridCol w:w="285"/>
        <w:gridCol w:w="488"/>
        <w:gridCol w:w="146"/>
        <w:gridCol w:w="109"/>
        <w:gridCol w:w="109"/>
        <w:gridCol w:w="109"/>
        <w:gridCol w:w="160"/>
      </w:tblGrid>
      <w:tr>
        <w:trPr/>
        <w:tc>
          <w:tcPr>
            <w:tcW w:w="273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sale of assets and other special charges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special charges (credits)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unrealized losses on investments,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debt extinguishment and modification fees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special charges and unrealized losses on investments, net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and nonoperating special charges (credits) and unrealized losses on investments, net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net of valuation allowance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and nonoperating special charges (credits) and unrealized losses on investments, net of income taxes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nonoperating special charges (credits) and unrealized losses on investments included the following:</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recorded $108 million of net gains primarily related to gains on various aircraft sale-leaseback transactions.</w:t>
      </w:r>
    </w:p>
    <w:p>
      <w:pPr>
        <w:pStyle w:val="TextBody"/>
        <w:bidi w:val="0"/>
        <w:spacing w:before="18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is provided as a supplement to and should be read in conjunction with the unaudited condensed consolidated financial statements and related notes included elsewhere in this Quarterly Report on Form 10-Q to enhance the understanding of our results of operations, financial condition and cash flows.</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pStyle w:val="TextBody"/>
        <w:bidi w:val="0"/>
        <w:spacing w:lineRule="auto" w:line="288" w:before="180" w:after="100"/>
        <w:jc w:val="left"/>
        <w:rPr/>
      </w:pPr>
      <w:r>
        <w:rPr>
          <w:rFonts w:ascii="Times New Roman;sans-serif" w:hAnsi="Times New Roman;sans-serif"/>
          <w:b w:val="false"/>
          <w:color w:val="000000"/>
          <w:sz w:val="20"/>
        </w:rPr>
        <w:t>Our shared purpose is "Connecting People. Uniting the World." We have the most comprehensive route network among North American carriers, including U.S. mainland hubs in Chicago, Denver, Houston, Los Angeles, New York/Newark, San Francisco and Washington, D.C. The Company transports people and cargo through its mainline operations, which utilize jet aircraft with at least 126 seats, and regional operations, which utilize smaller aircraft that are operated under contract by United's regional carriers. The Company serves virtually every major market around the world, either directly or through participation in Star Alliance</w:t>
      </w:r>
      <w:r>
        <w:rPr>
          <w:rFonts w:ascii="Times New Roman;sans-serif" w:hAnsi="Times New Roman;sans-serif"/>
          <w:b w:val="false"/>
          <w:color w:val="000000"/>
          <w:sz w:val="13"/>
        </w:rPr>
        <w:t>®</w:t>
      </w:r>
      <w:r>
        <w:rPr>
          <w:rFonts w:ascii="Times New Roman;sans-serif" w:hAnsi="Times New Roman;sans-serif"/>
          <w:b w:val="false"/>
          <w:color w:val="000000"/>
          <w:sz w:val="20"/>
        </w:rPr>
        <w:t>, the world's largest airline alliance network.</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expectations described below are forward-looking statements and our actual results and timing may vary materially based on various factors that include, but are not limited to, those discussed below under "Economic and Market Factors," "Governmental Actions" and "Forward-Looking Information" and in Part I, Item 1A. Risk Factors, in our Annual Report on Form 10-K for the fiscal year ended December 31, 2024 (the "2024 Form 10-K"). The results presented in this report are not necessarily indicative of future operating results.</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Economic and Market Factors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airline industry is highly competitive, marked by significant competition with respect to routes, fares, airline capacity, schedules (both timing and frequency), services, products, customer service and frequent flyer programs. We, like other companies in our industry, have been subject to these and other industry-specific competitive dynamics. In addition, our operations, supply chain, partners and suppliers have been subject to various global macroeconomic factors. We expect to continue to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and effect of our business strategies, including our United Next plan, especially relating to our focus on expanding market and product opportunities and the growth in the scale of our operations; the impact on the Company of significant operational challenges by third parties on which we rely; aircraft delivery delays; rising inflationary pressures; labor market and supply chain constraints and related costs affecting us and our partners; volatile fuel prices; increasing maintenance expenses; changes in interest rates; changes in government travel patterns; and changes in general economic conditions in the markets in which the Company operates, including an economic downturn or macroeconomic uncertainty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of the 2024 Form 10-K. Our future results of operations may be subject to volatility and our growth plans may be delayed, particularly in the short term, due to the impact of the above factors and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Governmental Actions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complex, highly regulated environments in the U.S., the European Union, the United Kingdom and other regions around the world. Compliance with laws, regulations, administrative practices and other restrictions or legal requirements in the countries in which we do business is onerous and expensive. In addition, changes to existing legal requirements or the implementation of new legal requirements and any failure to comply with such legal requirements could negatively impact our business, operations, financial condition, future results of operations, liquidity and financial flexibility by increasing the Company's costs, limiting the Company's ability to offer a product, service or feature to customers, impacting customer demand for the Company's products and services and requiring changes to the Company's supply chain and its business. Legal requirements that we currently believe are or will be most impactful to our results of operations and financial condition include the following: the closure of our flying airspace and termination of other operations due to regional conflicts,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delays in aircraft certification (especially relating to the 737 MAX 10 aircraft); increased Federal Aviation Administration oversight of the aircraft production process; any legal requirement that would result in a reshaping of the benefits that we provide to our consumers through our loyalty program or the co-branded credit cards issued by our partner; the effect of trade tariffs and any potential changes to them that we are unable to mitigate; and certain rules and regulations proposed by the U.S. Department of Transportation that would impose additional costs and operational restrictions on airlines. Changes in existing applicable legal requirements or new applicable legal requirements as well as the related interpretations and enforcement practices regarding them, create uncertainty about how such laws and regulations will be understood and applied. As a result,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provides an analysis of our results of operations and reasons for material changes therein for the three months ended March 31, 2025, as compared to the corresponding period in 2024.</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First Quarter 2025 Compared to First Quarter 2024</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net income of $387 million for the first quarter of 2025 as compared to a net loss of $124 million for the first quarter of 2024. Significant components of the Company's operating results for the three months ended March 31 are as follows (in millions, except percentage changes):</w:t>
      </w:r>
    </w:p>
    <w:tbl>
      <w:tblPr>
        <w:tblW w:w="10205" w:type="dxa"/>
        <w:jc w:val="left"/>
        <w:tblInd w:w="0" w:type="dxa"/>
        <w:tblLayout w:type="fixed"/>
        <w:tblCellMar>
          <w:top w:w="28" w:type="dxa"/>
          <w:left w:w="28" w:type="dxa"/>
          <w:bottom w:w="28" w:type="dxa"/>
          <w:right w:w="28" w:type="dxa"/>
        </w:tblCellMar>
      </w:tblPr>
      <w:tblGrid>
        <w:gridCol w:w="1469"/>
        <w:gridCol w:w="1257"/>
        <w:gridCol w:w="1252"/>
        <w:gridCol w:w="109"/>
        <w:gridCol w:w="109"/>
        <w:gridCol w:w="109"/>
        <w:gridCol w:w="211"/>
        <w:gridCol w:w="721"/>
        <w:gridCol w:w="109"/>
        <w:gridCol w:w="109"/>
        <w:gridCol w:w="109"/>
        <w:gridCol w:w="109"/>
        <w:gridCol w:w="211"/>
        <w:gridCol w:w="721"/>
        <w:gridCol w:w="109"/>
        <w:gridCol w:w="109"/>
        <w:gridCol w:w="109"/>
        <w:gridCol w:w="109"/>
        <w:gridCol w:w="424"/>
        <w:gridCol w:w="939"/>
        <w:gridCol w:w="223"/>
        <w:gridCol w:w="109"/>
        <w:gridCol w:w="109"/>
        <w:gridCol w:w="109"/>
        <w:gridCol w:w="365"/>
        <w:gridCol w:w="365"/>
        <w:gridCol w:w="521"/>
      </w:tblGrid>
      <w:tr>
        <w:trPr/>
        <w:tc>
          <w:tcPr>
            <w:tcW w:w="146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 (a)</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NM - Greater than 100% change or otherwise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Certain consolidated statistical information for the Company's operations for the three months ended March 31 is as follows:</w:t>
      </w:r>
    </w:p>
    <w:tbl>
      <w:tblPr>
        <w:tblW w:w="10205" w:type="dxa"/>
        <w:jc w:val="left"/>
        <w:tblInd w:w="0" w:type="dxa"/>
        <w:tblLayout w:type="fixed"/>
        <w:tblCellMar>
          <w:top w:w="28" w:type="dxa"/>
          <w:left w:w="28" w:type="dxa"/>
          <w:bottom w:w="28" w:type="dxa"/>
          <w:right w:w="28" w:type="dxa"/>
        </w:tblCellMar>
      </w:tblPr>
      <w:tblGrid>
        <w:gridCol w:w="1611"/>
        <w:gridCol w:w="1415"/>
        <w:gridCol w:w="1423"/>
        <w:gridCol w:w="241"/>
        <w:gridCol w:w="585"/>
        <w:gridCol w:w="271"/>
        <w:gridCol w:w="109"/>
        <w:gridCol w:w="109"/>
        <w:gridCol w:w="109"/>
        <w:gridCol w:w="241"/>
        <w:gridCol w:w="585"/>
        <w:gridCol w:w="271"/>
        <w:gridCol w:w="109"/>
        <w:gridCol w:w="109"/>
        <w:gridCol w:w="109"/>
        <w:gridCol w:w="381"/>
        <w:gridCol w:w="963"/>
        <w:gridCol w:w="199"/>
        <w:gridCol w:w="109"/>
        <w:gridCol w:w="109"/>
        <w:gridCol w:w="109"/>
        <w:gridCol w:w="303"/>
        <w:gridCol w:w="303"/>
        <w:gridCol w:w="432"/>
      </w:tblGrid>
      <w:tr>
        <w:trPr/>
        <w:tc>
          <w:tcPr>
            <w:tcW w:w="16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Passengers (thousands) (a)</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passenger miles ("RPMs" or "traffic") (millions) (b)</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 seat miles ("ASMs" or "capacity") (millions) (c)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Passenger load factor (d)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 per available seat mile ("PRASM")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per ASM ("TRASM")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yield per revenue passenger mile ("Yield") (cents) (e)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Cargo revenue ton miles ("CTM") (millions) (f)</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per ASM ("CASM")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headcount, as of March 31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 The number of revenue passengers measured by each flight segment flown.</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 The number of scheduled miles flown by revenue passengers.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 The number of seats available for passengers multiplied by the number of scheduled miles those seats are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 Revenue passenger miles divided by available seat miles.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 The average passenger revenue received for each revenue passenger mile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 The number of cargo revenue tons transported multiplied by the number of miles flown.</w:t>
            </w:r>
          </w:p>
        </w:tc>
      </w:tr>
    </w:tbl>
    <w:p>
      <w:pPr>
        <w:pStyle w:val="TextBody"/>
        <w:bidi w:val="0"/>
        <w:spacing w:lineRule="auto" w:line="288" w:before="180" w:after="100"/>
        <w:jc w:val="left"/>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The table below shows year-over-year comparisons by type of operating revenue for the three months ended March 31 (in millions, except for percentage changes):</w:t>
      </w:r>
    </w:p>
    <w:tbl>
      <w:tblPr>
        <w:tblW w:w="7938"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469"/>
        <w:gridCol w:w="1039"/>
        <w:gridCol w:w="247"/>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selected passenger revenue and operating data, broken out by geographic region, expressed as year-over-year changes:</w:t>
      </w:r>
    </w:p>
    <w:tbl>
      <w:tblPr>
        <w:tblW w:w="8642" w:type="dxa"/>
        <w:jc w:val="left"/>
        <w:tblInd w:w="0" w:type="dxa"/>
        <w:tblLayout w:type="fixed"/>
        <w:tblCellMar>
          <w:top w:w="28" w:type="dxa"/>
          <w:left w:w="28" w:type="dxa"/>
          <w:bottom w:w="28" w:type="dxa"/>
          <w:right w:w="28" w:type="dxa"/>
        </w:tblCellMar>
      </w:tblPr>
      <w:tblGrid>
        <w:gridCol w:w="962"/>
        <w:gridCol w:w="843"/>
        <w:gridCol w:w="849"/>
        <w:gridCol w:w="211"/>
        <w:gridCol w:w="466"/>
        <w:gridCol w:w="271"/>
        <w:gridCol w:w="109"/>
        <w:gridCol w:w="109"/>
        <w:gridCol w:w="109"/>
        <w:gridCol w:w="211"/>
        <w:gridCol w:w="361"/>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Increase (decrease) from 2024: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fare per passenger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Yield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PRASM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Passenger load factor (points)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Passenger revenue increased $547 million, or 4.8%, in the first quarter of 2025 as compared to the year-ago period, primarily due to a 4.9% increase in capacity, a 3.8% increase in the number of passengers flown and a 1.2% increase in yield.</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Cargo revenue increased $38 million, or 9.7%, in the first quarter of 2025 as compared to the year-ago period, primarily due to higher tonnage and yields.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revenue increased $88 million, or 10.5%, in the first quarter of 2025 as compared to the year-ago period, primarily due to an increase in mileage revenue from non-airline partners, including credit card spending with our co-branded credit card partner, JPMorgan Chase Bank, N.A., as well as an increase in the purchases of United Club memberships.</w:t>
      </w:r>
    </w:p>
    <w:p>
      <w:pPr>
        <w:pStyle w:val="TextBody"/>
        <w:bidi w:val="0"/>
        <w:spacing w:lineRule="auto" w:line="288" w:before="180" w:after="100"/>
        <w:jc w:val="left"/>
        <w:rPr/>
      </w:pPr>
      <w:r>
        <w:rPr>
          <w:rFonts w:ascii="Times New Roman;sans-serif" w:hAnsi="Times New Roman;sans-serif"/>
          <w:b/>
          <w:i/>
          <w:color w:val="000000"/>
          <w:sz w:val="20"/>
        </w:rPr>
        <w:t xml:space="preserve">Operating Expenses. </w:t>
      </w:r>
      <w:r>
        <w:rPr>
          <w:rFonts w:ascii="Times New Roman;sans-serif" w:hAnsi="Times New Roman;sans-serif"/>
          <w:b w:val="false"/>
          <w:color w:val="000000"/>
          <w:sz w:val="20"/>
        </w:rPr>
        <w:t>The table below includes data related to the Company's operating expenses for the three months ended March 31 (in millions, except for percentage changes):</w:t>
      </w:r>
    </w:p>
    <w:tbl>
      <w:tblPr>
        <w:tblW w:w="10024" w:type="dxa"/>
        <w:jc w:val="left"/>
        <w:tblInd w:w="0" w:type="dxa"/>
        <w:tblLayout w:type="fixed"/>
        <w:tblCellMar>
          <w:top w:w="28" w:type="dxa"/>
          <w:left w:w="28" w:type="dxa"/>
          <w:bottom w:w="28" w:type="dxa"/>
          <w:right w:w="28" w:type="dxa"/>
        </w:tblCellMar>
      </w:tblPr>
      <w:tblGrid>
        <w:gridCol w:w="1512"/>
        <w:gridCol w:w="1326"/>
        <w:gridCol w:w="1332"/>
        <w:gridCol w:w="211"/>
        <w:gridCol w:w="721"/>
        <w:gridCol w:w="109"/>
        <w:gridCol w:w="109"/>
        <w:gridCol w:w="109"/>
        <w:gridCol w:w="109"/>
        <w:gridCol w:w="211"/>
        <w:gridCol w:w="721"/>
        <w:gridCol w:w="109"/>
        <w:gridCol w:w="109"/>
        <w:gridCol w:w="109"/>
        <w:gridCol w:w="109"/>
        <w:gridCol w:w="469"/>
        <w:gridCol w:w="1039"/>
        <w:gridCol w:w="247"/>
        <w:gridCol w:w="109"/>
        <w:gridCol w:w="109"/>
        <w:gridCol w:w="109"/>
        <w:gridCol w:w="303"/>
        <w:gridCol w:w="303"/>
        <w:gridCol w:w="430"/>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costs increased $223 million, or 5.7%, in the first quarter of 2025 as compared to the year-ago period, primarily due to increased pay as a result of the increase in flying activity, a 4.5% increase in headcount, and increase in pay rates for eligible employee groups.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Aircraft fuel decreased by $253 million, or 8.6%, in the first quarter of 2025 as compared to the year-ago period, due to a lower average price per gallon of fuel, partially offset by increased consumption from higher flying activity.</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Landing fees and other rent increased $69 million, or 8.6%, in the first quarter of 2025 as compared to the year-ago period, primarily due to rate increases at various airports and higher landed weight volume due to increased flight activity.</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Aircraft maintenance materials and outside repairs decreased $42 million, or 5.4%, in the first quarter of 2025 as compared to the year-ago period, primarily due to lower volumes of engine overhauls.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Regional capacity purchase increased $65 million, or 11.1%, in the first quarter of 2025 as compared to the year-ago period, primarily due to an approximately 17% increase in regional capacity.</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details on the Company's Special charges (credits), see Note 10 to the financial statements included in Part I, Item 1 of this report for additional information.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increased $178 million, or 8.3%, in the first quarter of 2025 as compared to the year ago period, primarily due to an increase in flying activity, including increased costs for onboard catering and amenities, ground and cargo handling, airport lounge operations and passenger services, as well as expenditures related to employee uniforms and information technology projects and services.</w:t>
      </w:r>
    </w:p>
    <w:p>
      <w:pPr>
        <w:pStyle w:val="TextBody"/>
        <w:bidi w:val="0"/>
        <w:spacing w:lineRule="auto" w:line="288" w:before="180" w:after="100"/>
        <w:jc w:val="left"/>
        <w:rPr/>
      </w:pPr>
      <w:r>
        <w:rPr>
          <w:rFonts w:ascii="Times New Roman;sans-serif" w:hAnsi="Times New Roman;sans-serif"/>
          <w:b/>
          <w:i/>
          <w:color w:val="000000"/>
          <w:sz w:val="20"/>
        </w:rPr>
        <w:t>Nonoperating Income (Expense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table below shows year-over-year comparisons of the Company's nonoperating income (expense) for the three months ended March 31 (in millions, except for percentage changes): </w:t>
      </w:r>
    </w:p>
    <w:tbl>
      <w:tblPr>
        <w:tblW w:w="8643" w:type="dxa"/>
        <w:jc w:val="left"/>
        <w:tblInd w:w="0" w:type="dxa"/>
        <w:tblLayout w:type="fixed"/>
        <w:tblCellMar>
          <w:top w:w="28" w:type="dxa"/>
          <w:left w:w="28" w:type="dxa"/>
          <w:bottom w:w="28" w:type="dxa"/>
          <w:right w:w="28" w:type="dxa"/>
        </w:tblCellMar>
      </w:tblPr>
      <w:tblGrid>
        <w:gridCol w:w="1141"/>
        <w:gridCol w:w="999"/>
        <w:gridCol w:w="1009"/>
        <w:gridCol w:w="211"/>
        <w:gridCol w:w="541"/>
        <w:gridCol w:w="109"/>
        <w:gridCol w:w="109"/>
        <w:gridCol w:w="109"/>
        <w:gridCol w:w="109"/>
        <w:gridCol w:w="211"/>
        <w:gridCol w:w="541"/>
        <w:gridCol w:w="109"/>
        <w:gridCol w:w="109"/>
        <w:gridCol w:w="109"/>
        <w:gridCol w:w="109"/>
        <w:gridCol w:w="462"/>
        <w:gridCol w:w="1054"/>
        <w:gridCol w:w="239"/>
        <w:gridCol w:w="109"/>
        <w:gridCol w:w="109"/>
        <w:gridCol w:w="109"/>
        <w:gridCol w:w="303"/>
        <w:gridCol w:w="303"/>
        <w:gridCol w:w="430"/>
      </w:tblGrid>
      <w:tr>
        <w:trPr/>
        <w:tc>
          <w:tcPr>
            <w:tcW w:w="11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$98 million, or 21.6%, in the first quarter of 2025 as compared to the year-ago period, primarily due to lower debt balances as a result of various debt prepayments and scheduled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 changed by $46 million in the first quarter of 2025 as compared to the year-ago period, primarily due to $35 million of debt extinguishment and modification fees related to the refinancing of the Company's 2021 term loans recorded in the year-ago period.</w:t>
      </w:r>
    </w:p>
    <w:p>
      <w:pPr>
        <w:pStyle w:val="TextBody"/>
        <w:bidi w:val="0"/>
        <w:spacing w:lineRule="auto" w:line="288" w:before="180" w:after="100"/>
        <w:jc w:val="left"/>
        <w:rPr/>
      </w:pPr>
      <w:r>
        <w:rPr>
          <w:rFonts w:ascii="Times New Roman;sans-serif" w:hAnsi="Times New Roman;sans-serif"/>
          <w:b w:val="false"/>
          <w:i/>
          <w:color w:val="000000"/>
          <w:sz w:val="20"/>
        </w:rPr>
        <w:t>I</w:t>
      </w:r>
      <w:r>
        <w:rPr>
          <w:rFonts w:ascii="Times New Roman;sans-serif" w:hAnsi="Times New Roman;sans-serif"/>
          <w:b/>
          <w:i/>
          <w:color w:val="000000"/>
          <w:sz w:val="20"/>
        </w:rPr>
        <w:t>ncome Taxes.</w:t>
      </w:r>
      <w:r>
        <w:rPr>
          <w:color w:val="000000"/>
        </w:rPr>
        <w:t xml:space="preserve"> </w:t>
      </w:r>
      <w:r>
        <w:rPr>
          <w:rFonts w:ascii="Times New Roman;sans-serif" w:hAnsi="Times New Roman;sans-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Current Liquidity</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deploy a disciplined and balanced approach to capital allocation, including returns to shareholders through potential share repurchases. As of March 31, 2025, the Company had $15.3 billion in unrestricted cash, cash equivalents and short-term investments, as compared to $14.5 billion at December 31, 2024.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$2.965 billion revolving credit facility as of March 31, 2025, of which $2.95 billion expires February 15, 2029 and $15 million expires April 21, 2025. The revolving credit facility is secured by certain route authorities and airport slots and gates. No borrowings were outstanding under the revolving credit facility as of March 31, 2025.</w:t>
      </w:r>
    </w:p>
    <w:p>
      <w:pPr>
        <w:pStyle w:val="TextBody"/>
        <w:bidi w:val="0"/>
        <w:spacing w:lineRule="auto" w:line="288" w:before="180" w:after="10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significant amount of fixed obligations, including debt, leases of aircraft, airport and other facilities, and pension funding obligations. As of March 31, 2025, the Company had approximately $32.9 billion of debt, finance lease, operating lease and other financial liabilities, including $3.8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March 31, 2025, the Company was in compliance with its debt covenants under these agreements. As of March 31, 2025, a substantial portion of the Company's assets, principally aircraft and certain related assets, its loyalty program,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pStyle w:val="TextBody"/>
        <w:bidi w:val="0"/>
        <w:spacing w:lineRule="auto" w:line="26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backstop financing commitments available from certain of its aircraft manufacturers for a limited number of its future aircraft deliveries, subject to certain customary conditions. See Note 9 to the financial statements included in Part I, Item 1 of this report for additional information on commitments. </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United had firm commitments to purchase aircraft from The Boeing Company ("Boeing") and Airbus S.A.S. ("Airbus") as presented in the table below:</w:t>
      </w:r>
    </w:p>
    <w:tbl>
      <w:tblPr>
        <w:tblW w:w="10205" w:type="dxa"/>
        <w:jc w:val="left"/>
        <w:tblInd w:w="0" w:type="dxa"/>
        <w:tblLayout w:type="fixed"/>
        <w:tblCellMar>
          <w:top w:w="28" w:type="dxa"/>
          <w:left w:w="28" w:type="dxa"/>
          <w:bottom w:w="28" w:type="dxa"/>
          <w:right w:w="28" w:type="dxa"/>
        </w:tblCellMar>
      </w:tblPr>
      <w:tblGrid>
        <w:gridCol w:w="495"/>
        <w:gridCol w:w="315"/>
        <w:gridCol w:w="316"/>
        <w:gridCol w:w="120"/>
        <w:gridCol w:w="120"/>
        <w:gridCol w:w="120"/>
        <w:gridCol w:w="509"/>
        <w:gridCol w:w="509"/>
        <w:gridCol w:w="511"/>
        <w:gridCol w:w="120"/>
        <w:gridCol w:w="120"/>
        <w:gridCol w:w="120"/>
        <w:gridCol w:w="327"/>
        <w:gridCol w:w="327"/>
        <w:gridCol w:w="328"/>
        <w:gridCol w:w="135"/>
        <w:gridCol w:w="135"/>
        <w:gridCol w:w="135"/>
        <w:gridCol w:w="224"/>
        <w:gridCol w:w="224"/>
        <w:gridCol w:w="179"/>
        <w:gridCol w:w="135"/>
        <w:gridCol w:w="135"/>
        <w:gridCol w:w="135"/>
        <w:gridCol w:w="322"/>
        <w:gridCol w:w="233"/>
        <w:gridCol w:w="223"/>
        <w:gridCol w:w="120"/>
        <w:gridCol w:w="120"/>
        <w:gridCol w:w="120"/>
        <w:gridCol w:w="327"/>
        <w:gridCol w:w="327"/>
        <w:gridCol w:w="328"/>
        <w:gridCol w:w="135"/>
        <w:gridCol w:w="135"/>
        <w:gridCol w:w="135"/>
        <w:gridCol w:w="224"/>
        <w:gridCol w:w="224"/>
        <w:gridCol w:w="179"/>
        <w:gridCol w:w="135"/>
        <w:gridCol w:w="135"/>
        <w:gridCol w:w="135"/>
        <w:gridCol w:w="316"/>
        <w:gridCol w:w="228"/>
        <w:gridCol w:w="310"/>
      </w:tblGrid>
      <w:tr>
        <w:trPr/>
        <w:tc>
          <w:tcPr>
            <w:tcW w:w="4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Contractual Aircraft Deliveries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Expected Aircraft Deliveries (b)</w:t>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Aircraft Type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Firm</w:t>
              <w:br/>
              <w:t> Commitments (a)</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Last Nine Months</w:t>
              <w:br/>
              <w:t>of 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Last Nine Months</w:t>
              <w:br/>
              <w:t>of 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2026</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737 MAX 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737 MAX 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737 MAX 10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A321neo</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A321XLR</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A350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United also has options and purchase rights for additional aircraft.</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 Expected aircraft deliveries reflect adjustments communicated by Boeing and Airbus or estimated by United. However, aircraft deliveries are subject to a number of variables, as further described in Part I, Item 1A. Risk Factors of the 2024 Form 10-K, and we cannot guarantee delivery of any particular aircraft at any specific time notwithstanding firm purchase commitments.</w:t>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pursuant to the relevant agreements to cancel deliveries or modify the timing of deliveries; or (iii) the aircraft manufacturers are unable to deliver in accordance with the terms of those orders. See Note 9 to the financial statements included in Part I, Item 1 of this report for additional information on these purchase commitments. </w:t>
      </w:r>
    </w:p>
    <w:p>
      <w:pPr>
        <w:pStyle w:val="TextBody"/>
        <w:bidi w:val="0"/>
        <w:spacing w:lineRule="auto" w:line="288" w:before="240" w:after="100"/>
        <w:jc w:val="left"/>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months ended March 31 (in millions):</w:t>
      </w:r>
    </w:p>
    <w:tbl>
      <w:tblPr>
        <w:tblW w:w="9362" w:type="dxa"/>
        <w:jc w:val="left"/>
        <w:tblInd w:w="0" w:type="dxa"/>
        <w:tblLayout w:type="fixed"/>
        <w:tblCellMar>
          <w:top w:w="28" w:type="dxa"/>
          <w:left w:w="28" w:type="dxa"/>
          <w:bottom w:w="28" w:type="dxa"/>
          <w:right w:w="28" w:type="dxa"/>
        </w:tblCellMar>
      </w:tblPr>
      <w:tblGrid>
        <w:gridCol w:w="1706"/>
        <w:gridCol w:w="1496"/>
        <w:gridCol w:w="1508"/>
        <w:gridCol w:w="109"/>
        <w:gridCol w:w="109"/>
        <w:gridCol w:w="109"/>
        <w:gridCol w:w="211"/>
        <w:gridCol w:w="616"/>
        <w:gridCol w:w="109"/>
        <w:gridCol w:w="109"/>
        <w:gridCol w:w="109"/>
        <w:gridCol w:w="109"/>
        <w:gridCol w:w="211"/>
        <w:gridCol w:w="616"/>
        <w:gridCol w:w="109"/>
        <w:gridCol w:w="109"/>
        <w:gridCol w:w="109"/>
        <w:gridCol w:w="109"/>
        <w:gridCol w:w="359"/>
        <w:gridCol w:w="1178"/>
        <w:gridCol w:w="262"/>
      </w:tblGrid>
      <w:tr>
        <w:trPr/>
        <w:tc>
          <w:tcPr>
            <w:tcW w:w="170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Cash flows provided by operating activities increased approximately $0.9 billion in the first three months of 2025 as compared to the year-ago period, primarily due to an operating income increase period-over-period and a net change in various working capital items.</w:t>
      </w:r>
    </w:p>
    <w:p>
      <w:pPr>
        <w:pStyle w:val="TextBody"/>
        <w:bidi w:val="0"/>
        <w:spacing w:lineRule="auto" w:line="288" w:before="180" w:after="100"/>
        <w:jc w:val="left"/>
        <w:rPr/>
      </w:pPr>
      <w:r>
        <w:rPr>
          <w:rFonts w:ascii="Times New Roman;sans-serif" w:hAnsi="Times New Roman;sans-serif"/>
          <w:b/>
          <w:i/>
          <w:color w:val="000000"/>
          <w:sz w:val="20"/>
        </w:rPr>
        <w:t>Investing Activities.</w:t>
      </w:r>
      <w:r>
        <w:rPr>
          <w:color w:val="000000"/>
        </w:rPr>
        <w:t xml:space="preserve"> </w:t>
      </w:r>
      <w:r>
        <w:rPr>
          <w:rFonts w:ascii="Times New Roman;sans-serif" w:hAnsi="Times New Roman;sans-serif"/>
          <w:b w:val="false"/>
          <w:color w:val="000000"/>
          <w:sz w:val="20"/>
        </w:rPr>
        <w:t>Cash flows used in investing activities increased $2.9 billion in the first three months of 2025 as compared to the year-ago period, primarily due to a decrease in net proceeds of short-term and other investments.</w:t>
      </w:r>
    </w:p>
    <w:p>
      <w:pPr>
        <w:pStyle w:val="TextBody"/>
        <w:bidi w:val="0"/>
        <w:spacing w:lineRule="auto" w:line="288" w:before="180" w:after="100"/>
        <w:jc w:val="left"/>
        <w:rPr/>
      </w:pPr>
      <w:r>
        <w:rPr>
          <w:rFonts w:ascii="Times New Roman;sans-serif" w:hAnsi="Times New Roman;sans-serif"/>
          <w:b/>
          <w:i/>
          <w:color w:val="000000"/>
          <w:sz w:val="20"/>
        </w:rPr>
        <w:t>Financing Activities.</w:t>
      </w:r>
      <w:r>
        <w:rPr>
          <w:color w:val="000000"/>
        </w:rPr>
        <w:t xml:space="preserve"> </w:t>
      </w:r>
      <w:r>
        <w:rPr>
          <w:rFonts w:ascii="Times New Roman;sans-serif" w:hAnsi="Times New Roman;sans-serif"/>
          <w:b w:val="false"/>
          <w:color w:val="000000"/>
          <w:sz w:val="20"/>
        </w:rPr>
        <w:t>Significant financing events in the three months ended March 31, 2025 were as follows:</w:t>
      </w:r>
    </w:p>
    <w:p>
      <w:pPr>
        <w:pStyle w:val="TextBody"/>
        <w:bidi w:val="0"/>
        <w:spacing w:lineRule="auto" w:line="288" w:before="180" w:after="100"/>
        <w:jc w:val="left"/>
        <w:rPr/>
      </w:pPr>
      <w:r>
        <w:rPr>
          <w:rFonts w:ascii="Times New Roman;sans-serif" w:hAnsi="Times New Roman;sans-serif"/>
          <w:b w:val="false"/>
          <w:i/>
          <w:color w:val="000000"/>
          <w:sz w:val="20"/>
        </w:rPr>
        <w:t>Debt, Finance Lease and Other Financial Liability Principal Payments</w:t>
      </w:r>
      <w:r>
        <w:rPr>
          <w:rFonts w:ascii="Times New Roman;sans-serif" w:hAnsi="Times New Roman;sans-serif"/>
          <w:b w:val="false"/>
          <w:color w:val="000000"/>
          <w:sz w:val="20"/>
        </w:rPr>
        <w:t>. During the three months ended March 31, 2025, the Company made payments for debt, finance leases, and other financial liabilities of $1.0 billion.</w:t>
      </w:r>
    </w:p>
    <w:p>
      <w:pPr>
        <w:pStyle w:val="TextBody"/>
        <w:bidi w:val="0"/>
        <w:spacing w:lineRule="auto" w:line="288" w:before="180" w:after="100"/>
        <w:jc w:val="left"/>
        <w:rPr/>
      </w:pPr>
      <w:r>
        <w:rPr>
          <w:rFonts w:ascii="Times New Roman;sans-serif" w:hAnsi="Times New Roman;sans-serif"/>
          <w:b w:val="false"/>
          <w:i/>
          <w:color w:val="000000"/>
          <w:sz w:val="20"/>
        </w:rPr>
        <w:t xml:space="preserve">Share repurchase. </w:t>
      </w:r>
      <w:r>
        <w:rPr>
          <w:rFonts w:ascii="Times New Roman;sans-serif" w:hAnsi="Times New Roman;sans-serif"/>
          <w:b w:val="false"/>
          <w:color w:val="000000"/>
          <w:sz w:val="20"/>
        </w:rPr>
        <w:t>As part of our capital deployment program, the Company's Board of Directors authorized a share repurchase program in October 2024. In the three months ended March 31, 2025, the Company repurchased, through open market purchases, approximately 4.0 million shares of UAL common stock for a total of approximately $0.4 billion as part of its share repurchase program. See Note 3 to the financial statements in Part I, Item 1 of this report and Note 3 to the financial statements in Part II, Item 8 of the 2024 Form 10-K for additional information on the share repurchase program.</w:t>
      </w:r>
    </w:p>
    <w:p>
      <w:pPr>
        <w:pStyle w:val="TextBody"/>
        <w:bidi w:val="0"/>
        <w:spacing w:lineRule="auto" w:line="288" w:before="180" w:after="100"/>
        <w:jc w:val="left"/>
        <w:rPr/>
      </w:pPr>
      <w:r>
        <w:rPr>
          <w:rFonts w:ascii="Times New Roman;sans-serif" w:hAnsi="Times New Roman;sans-serif"/>
          <w:b/>
          <w:i/>
          <w:color w:val="000000"/>
          <w:sz w:val="20"/>
        </w:rPr>
        <w:t>Credit Ratings.</w:t>
      </w:r>
      <w:r>
        <w:rPr>
          <w:color w:val="000000"/>
        </w:rPr>
        <w:t xml:space="preserve"> </w:t>
      </w:r>
      <w:r>
        <w:rPr>
          <w:rFonts w:ascii="Times New Roman;sans-serif" w:hAnsi="Times New Roman;sans-serif"/>
          <w:b w:val="false"/>
          <w:color w:val="000000"/>
          <w:sz w:val="20"/>
        </w:rPr>
        <w:t>As of the filing date of this report, UAL and United had the following corporate credit ratings:</w:t>
      </w:r>
    </w:p>
    <w:tbl>
      <w:tblPr>
        <w:tblW w:w="7039" w:type="dxa"/>
        <w:jc w:val="center"/>
        <w:tblInd w:w="0" w:type="dxa"/>
        <w:tblLayout w:type="fixed"/>
        <w:tblCellMar>
          <w:top w:w="28" w:type="dxa"/>
          <w:left w:w="28" w:type="dxa"/>
          <w:bottom w:w="28" w:type="dxa"/>
          <w:right w:w="28" w:type="dxa"/>
        </w:tblCellMar>
      </w:tblPr>
      <w:tblGrid>
        <w:gridCol w:w="471"/>
        <w:gridCol w:w="413"/>
        <w:gridCol w:w="420"/>
        <w:gridCol w:w="210"/>
        <w:gridCol w:w="210"/>
        <w:gridCol w:w="210"/>
        <w:gridCol w:w="297"/>
        <w:gridCol w:w="297"/>
        <w:gridCol w:w="301"/>
        <w:gridCol w:w="210"/>
        <w:gridCol w:w="210"/>
        <w:gridCol w:w="210"/>
        <w:gridCol w:w="521"/>
        <w:gridCol w:w="521"/>
        <w:gridCol w:w="523"/>
        <w:gridCol w:w="210"/>
        <w:gridCol w:w="210"/>
        <w:gridCol w:w="210"/>
        <w:gridCol w:w="337"/>
        <w:gridCol w:w="337"/>
        <w:gridCol w:w="339"/>
        <w:gridCol w:w="109"/>
        <w:gridCol w:w="109"/>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Fitch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w:t>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agency does not issue corporate credit ratings for subsidiary entities.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been able to secure financing with investment grade credit ratings for certain enhanced equipment trust certificates ("EETCs"), term loans and secured bond financings. 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 Currently Moody's and Fitch have assigned the Company a positive outlook, while S&amp;P maintains a stable outlook.</w:t>
      </w:r>
    </w:p>
    <w:p>
      <w:pPr>
        <w:pStyle w:val="TextBody"/>
        <w:bidi w:val="0"/>
        <w:spacing w:lineRule="auto" w:line="288" w:before="180" w:after="100"/>
        <w:jc w:val="left"/>
        <w:rPr/>
      </w:pPr>
      <w:r>
        <w:rPr>
          <w:rFonts w:ascii="Times New Roman;sans-serif" w:hAnsi="Times New Roman;sans-serif"/>
          <w:b/>
          <w:i/>
          <w:color w:val="000000"/>
          <w:sz w:val="20"/>
        </w:rPr>
        <w:t xml:space="preserve">Commitments, Contingencies and Liquidity Matters. </w:t>
      </w:r>
      <w:r>
        <w:rPr>
          <w:rFonts w:ascii="Times New Roman;sans-serif" w:hAnsi="Times New Roman;sans-serif"/>
          <w:b w:val="false"/>
          <w:color w:val="000000"/>
          <w:sz w:val="20"/>
        </w:rPr>
        <w:t>As described in the 2024 Form 10-K, the Company's liquidity may be adversely impacted by a variety of factors, including, but not limited to, pension funding obligations, reserve requirements associated with credit card processing agreements, guarantees, commitments and contingencies.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the 2024 Form 10-K and Notes 7, 8 and 9 to the financial statements contained in Part I, Item 1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"Critical Accounting Policies" in Part II, Item 7, Management's Discussion and Analysis of Financial Condition and Results of Operations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certain "forward-looking statements," within the meaning of Section 27A of the Securities Act of 1933, as amended, and Section 21E of the Securities Exchange Act of 1934, as amended (the "Exchange Act"), including in Part I, Item 2. Management's Discussion and Analysis of Financial Condition and Results of Operations and elsewhere, relating to, among other things, goals, plans and projections regarding the Company's financial position, results of operations,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including our MileagePlus® senior secured notes;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of our 2024 Form 10-K, and under "Economic and Market Factors" and "Governmental Actions" in Part I, Item 2. Management's Discussion and Analysis of Financial Condition and Results of Operations, of this report, as well as other risks and uncertainties set forth from time to time in the reports we file with the SEC.</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Part II, Item 7A. Quantitative and Qualitative Disclosures About Market Risk,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 and Procedures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March 31, 2025, disclosure controls and procedures were effective.</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 during the Quarter Ended March 31, 2025</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changes in UAL's or United's internal control over financial reporting that materially affected, or are reasonably likely to materially affect, their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Part I, Item 3, Legal Proceedings, of the 2024 Form 10-K for a description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Part I, Item 1A. Risk Factors of the 2024 Form 10-K for a discussion of the risk factors affecting UAL and United.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 Issuer Purchases of Equity Securities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the Company's repurchases of its UAL common stock during the quarter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9"/>
        <w:gridCol w:w="278"/>
        <w:gridCol w:w="280"/>
        <w:gridCol w:w="115"/>
        <w:gridCol w:w="115"/>
        <w:gridCol w:w="115"/>
        <w:gridCol w:w="835"/>
        <w:gridCol w:w="399"/>
        <w:gridCol w:w="401"/>
        <w:gridCol w:w="115"/>
        <w:gridCol w:w="115"/>
        <w:gridCol w:w="115"/>
        <w:gridCol w:w="270"/>
        <w:gridCol w:w="890"/>
        <w:gridCol w:w="150"/>
        <w:gridCol w:w="115"/>
        <w:gridCol w:w="115"/>
        <w:gridCol w:w="115"/>
        <w:gridCol w:w="933"/>
        <w:gridCol w:w="656"/>
        <w:gridCol w:w="658"/>
        <w:gridCol w:w="115"/>
        <w:gridCol w:w="115"/>
        <w:gridCol w:w="115"/>
        <w:gridCol w:w="574"/>
        <w:gridCol w:w="1632"/>
        <w:gridCol w:w="470"/>
      </w:tblGrid>
      <w:tr>
        <w:trPr/>
        <w:tc>
          <w:tcPr>
            <w:tcW w:w="3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br/>
              <w:t>Total number of shares (or units) purchased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br/>
              <w:t>Average price paid per share (or unit)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(or units) purchased as part of publicly announced plans or programs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br/>
              <w:t>Maximum number (or approximate dollar value) of shares (or units) that may yet be purchased under the plans or programs (in millions)</w:t>
            </w:r>
          </w:p>
        </w:tc>
      </w:tr>
      <w:tr>
        <w:trPr/>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408,741 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408,741 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1 - 28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1,344,952 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1,344,952 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2,280,547 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2,280,547 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4,034,240 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4,034,240 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On October 15, 2024, the Company announced that its Board of Directors authorized a new share repurchase program with no stated expiration, allowing for purchases of up to $1.5 billion in the aggregate of outstanding UAL common stock and certain warrants to purchase UAL common stock. Under the share repurchase program, we have repurchased a total of approximately 6.6 million shares of UAL common stock for a total investment of approximately $0.5 billion as of April 10, 2025. See Note 3 to the financial statements in Part I, Item 1 of this report and Note 3 to the financial statements in Part II, Item 8 of the 2024 Form 10-K for additional information on the share repurchase program.</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Average price paid per share is calculated on a settlement basis and excludes commission and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March 31, 2025,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2"/>
        <w:gridCol w:w="116"/>
        <w:gridCol w:w="116"/>
        <w:gridCol w:w="116"/>
        <w:gridCol w:w="116"/>
        <w:gridCol w:w="116"/>
        <w:gridCol w:w="290"/>
        <w:gridCol w:w="290"/>
        <w:gridCol w:w="291"/>
        <w:gridCol w:w="2690"/>
        <w:gridCol w:w="2453"/>
        <w:gridCol w:w="3479"/>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Registrant</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101.htm">
              <w:r>
                <w:rPr>
                  <w:rStyle w:val="InternetLink"/>
                  <w:rFonts w:ascii="Times New Roman;sans-serif" w:hAnsi="Times New Roman;sans-serif"/>
                  <w:b w:val="false"/>
                  <w:color w:val="0000FF"/>
                  <w:sz w:val="20"/>
                  <w:u w:val="single"/>
                </w:rPr>
                <w:t>Amendment No. 7 to the A320 Family Purchase Agreement, effective as of March 6, 2025, between Airbus S.A.S. and United Airlines, Inc.</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102.htm">
              <w:r>
                <w:rPr>
                  <w:rStyle w:val="InternetLink"/>
                  <w:rFonts w:ascii="Times New Roman;sans-serif" w:hAnsi="Times New Roman;sans-serif"/>
                  <w:b w:val="false"/>
                  <w:color w:val="0000FF"/>
                  <w:sz w:val="20"/>
                  <w:u w:val="single"/>
                </w:rPr>
                <w:t>Amendment No. 6, dated as of March 31, 2025, to the Amended and Restated A350-900 Purchase Agreement, dated as of September 1, 2017, including letter agreements related thereto, between Airbus S.A.S and United Airlines, Inc.</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11.htm">
              <w:r>
                <w:rPr>
                  <w:rStyle w:val="InternetLink"/>
                  <w:rFonts w:ascii="Times New Roman;sans-serif" w:hAnsi="Times New Roman;sans-serif"/>
                  <w:b w:val="false"/>
                  <w:color w:val="0000FF"/>
                  <w:sz w:val="20"/>
                  <w:u w:val="single"/>
                </w:rPr>
                <w:t>Certification of the Principal Executive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12.htm">
              <w:r>
                <w:rPr>
                  <w:rStyle w:val="InternetLink"/>
                  <w:rFonts w:ascii="Times New Roman;sans-serif" w:hAnsi="Times New Roman;sans-serif"/>
                  <w:b w:val="false"/>
                  <w:color w:val="0000FF"/>
                  <w:sz w:val="20"/>
                  <w:u w:val="single"/>
                </w:rPr>
                <w:t>Certification of the Principal Financial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13.htm">
              <w:r>
                <w:rPr>
                  <w:rStyle w:val="InternetLink"/>
                  <w:rFonts w:ascii="Times New Roman;sans-serif" w:hAnsi="Times New Roman;sans-serif"/>
                  <w:b w:val="false"/>
                  <w:color w:val="0000FF"/>
                  <w:sz w:val="20"/>
                  <w:u w:val="single"/>
                </w:rPr>
                <w:t>Certification of the Principal Executive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14.htm">
              <w:r>
                <w:rPr>
                  <w:rStyle w:val="InternetLink"/>
                  <w:rFonts w:ascii="Times New Roman;sans-serif" w:hAnsi="Times New Roman;sans-serif"/>
                  <w:b w:val="false"/>
                  <w:color w:val="0000FF"/>
                  <w:sz w:val="20"/>
                  <w:u w:val="single"/>
                </w:rPr>
                <w:t>Certification of the Principal Financial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21.htm">
              <w:r>
                <w:rPr>
                  <w:rStyle w:val="InternetLink"/>
                  <w:rFonts w:ascii="Times New Roman;sans-serif" w:hAnsi="Times New Roman;sans-serif"/>
                  <w:b w:val="false"/>
                  <w:color w:val="0000FF"/>
                  <w:sz w:val="20"/>
                  <w:u w:val="single"/>
                </w:rPr>
                <w:t>Certification of the Chief Executive Officer and Chief Financial Officer of United Airlines Holdings,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2025033110qex322.htm">
              <w:r>
                <w:rPr>
                  <w:rStyle w:val="InternetLink"/>
                  <w:rFonts w:ascii="Times New Roman;sans-serif" w:hAnsi="Times New Roman;sans-serif"/>
                  <w:b w:val="false"/>
                  <w:color w:val="0000FF"/>
                  <w:sz w:val="20"/>
                  <w:u w:val="single"/>
                </w:rPr>
                <w:t>Certification of the Chief Executive Officer and Chief Financial Officer of United Airlines,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combined Quarterly Report of UAL and United on Form 10-Q for the quarter ended March 31, 2025, formatted in Inline XBRL: (i) Statements of Consolidated Operations, (ii) Statements of Consolidated Comprehensive Income, (iii) Consolidated Balance Sheets, (iv) Condensed Statements of Consolidated Cash Flows, (v) Statements of Consolidated Stockholders' Equity and (vi) Combined Notes to Condensed Consolidated Financial Statements, tagged as blocks of text and including detailed tags.</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the referenced exhibit have been omitted pursuant to Item 601(b) of Regulation S-K</w:t>
            </w:r>
          </w:p>
        </w:tc>
      </w:tr>
    </w:tbl>
    <w:p>
      <w:pPr>
        <w:pStyle w:val="TextBody"/>
        <w:bidi w:val="0"/>
        <w:spacing w:before="100" w:after="283"/>
        <w:jc w:val="center"/>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f6477d95c74c12ace3bc27037f1e66_7">
              <w:r>
                <w:rPr>
                  <w:rStyle w:val="InternetLink"/>
                  <w:rFonts w:ascii="Times New Roman;sans-serif" w:hAnsi="Times New Roman;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each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8338"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401"/>
        <w:gridCol w:w="401"/>
        <w:gridCol w:w="401"/>
        <w:gridCol w:w="1446"/>
        <w:gridCol w:w="1446"/>
        <w:gridCol w:w="207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Airlines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Brigitte Bokemeier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Brigitte Bokemeier</w:t>
              <w:br/>
              <w:t>Vice President and Controller</w:t>
              <w:br/>
              <w:t>(Duly Authorized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Airlines,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Brigitte Bokemeier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Brigitte Bokemeier</w:t>
              <w:br/>
              <w:t>Vice President and Controller</w:t>
              <w:br/>
              <w:t>(Duly Authorized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CERTAIN IDENTIFIED INFORMATION HAS BEEN EXCLUDED FROM THE EXHIBIT BECAUSE IT IS BOTH NOT MATERIAL AND IS THE TYPE THAT THE REGISTRANT TREATS AS PRIVATE OR CONFIDENTIAL. OMITTED INFORMATION HAS BEEN REPLACED WITH ASTERISKS.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 NO. 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 THE A320 FAMILY PURCHASE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December 3, 2019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between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AIRBUS S.A.S.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UNITED AIRLINES, INC.</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2"/>
        </w:rPr>
        <w:t>This Amendment No. 7 to the A320 Family Purchase Agreement between Airbus S.A.S. and United Airlines, Inc. (this “</w:t>
      </w:r>
      <w:r>
        <w:rPr>
          <w:rFonts w:ascii="Times New Roman;sans-serif" w:hAnsi="Times New Roman;sans-serif"/>
          <w:b/>
          <w:color w:val="000000"/>
          <w:sz w:val="22"/>
        </w:rPr>
        <w:t>Amendment No. 7</w:t>
      </w:r>
      <w:r>
        <w:rPr>
          <w:color w:val="000000"/>
        </w:rPr>
        <w:t>”</w:t>
      </w:r>
      <w:r>
        <w:rPr>
          <w:rFonts w:ascii="Times New Roman;sans-serif" w:hAnsi="Times New Roman;sans-serif"/>
          <w:b w:val="false"/>
          <w:color w:val="000000"/>
          <w:sz w:val="22"/>
        </w:rPr>
        <w:t xml:space="preserve">), is entered into as of December 26, 2024 by and between Airbus S.A.S., a French </w:t>
      </w:r>
      <w:r>
        <w:rPr>
          <w:rFonts w:ascii="Times New Roman;sans-serif" w:hAnsi="Times New Roman;sans-serif"/>
          <w:b w:val="false"/>
          <w:i/>
          <w:color w:val="000000"/>
          <w:sz w:val="22"/>
        </w:rPr>
        <w:t>société par actions simplifiée</w:t>
      </w:r>
      <w:r>
        <w:rPr>
          <w:rFonts w:ascii="Times New Roman;sans-serif" w:hAnsi="Times New Roman;sans-serif"/>
          <w:b w:val="false"/>
          <w:color w:val="000000"/>
          <w:sz w:val="22"/>
        </w:rPr>
        <w:t>, organized and existing under the laws of France, having its registered office located at 2, rond-point Emile Dewoitine, 31700 Blagnac, France, registered with the Commercial and Companies Register of Toulouse under number 383 474 814 (the “</w:t>
      </w:r>
      <w:r>
        <w:rPr>
          <w:rFonts w:ascii="Times New Roman;sans-serif" w:hAnsi="Times New Roman;sans-serif"/>
          <w:b/>
          <w:color w:val="000000"/>
          <w:sz w:val="22"/>
        </w:rPr>
        <w:t>Seller</w:t>
      </w:r>
      <w:r>
        <w:rPr>
          <w:color w:val="000000"/>
        </w:rPr>
        <w:t>”</w:t>
      </w:r>
      <w:r>
        <w:rPr>
          <w:rFonts w:ascii="Times New Roman;sans-serif" w:hAnsi="Times New Roman;sans-serif"/>
          <w:b w:val="false"/>
          <w:color w:val="000000"/>
          <w:sz w:val="22"/>
        </w:rPr>
        <w:t>), and United Airlines, Inc., a corporation organized and existing under the laws of the State of Delaware, United States of America, having its principal corporate offices located at 233 South Wacker Drive, Chicago, Illinois 60606 (the “</w:t>
      </w:r>
      <w:r>
        <w:rPr>
          <w:rFonts w:ascii="Times New Roman;sans-serif" w:hAnsi="Times New Roman;sans-serif"/>
          <w:b/>
          <w:color w:val="000000"/>
          <w:sz w:val="22"/>
        </w:rPr>
        <w:t>Buyer</w:t>
      </w:r>
      <w:r>
        <w:rPr>
          <w:color w:val="000000"/>
        </w:rPr>
        <w:t>”</w:t>
      </w:r>
      <w:r>
        <w:rPr>
          <w:rFonts w:ascii="Times New Roman;sans-serif" w:hAnsi="Times New Roman;sans-serif"/>
          <w:b w:val="false"/>
          <w:color w:val="000000"/>
          <w:sz w:val="22"/>
        </w:rPr>
        <w: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WITNESSETH:</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2"/>
        </w:rPr>
        <w:t>WHEREAS, the Buyer and the Seller entered into the A320 Family Purchase Agreement dated as of December 3, 2019 (as amended, supplemented or otherwise modified,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xml:space="preserve">); 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Buyer and the Seller have agreed to amend certain terms of the Agreement as set forth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IT IS AGREED AS FOLLOWS: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7050"/>
                <wp:effectExtent l="0" t="0" r="0" b="0"/>
                <wp:wrapNone/>
                <wp:docPr id="32" name="Frame31"/>
                <a:graphic xmlns:a="http://schemas.openxmlformats.org/drawingml/2006/main">
                  <a:graphicData uri="http://schemas.microsoft.com/office/word/2010/wordprocessingShape">
                    <wps:wsp>
                      <wps:cNvSpPr txBox="1"/>
                      <wps:spPr>
                        <a:xfrm>
                          <a:off x="0" y="0"/>
                          <a:ext cx="6480175" cy="52705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AM7-1</w:t>
                            </w:r>
                            <w:r>
                              <w:br w:type="page"/>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    </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0.    </w:t>
      </w:r>
      <w:r>
        <w:rPr>
          <w:rFonts w:ascii="Times New Roman;sans-serif" w:hAnsi="Times New Roman;sans-serif"/>
          <w:b w:val="false"/>
          <w:color w:val="000000"/>
          <w:sz w:val="22"/>
          <w:u w:val="single"/>
        </w:rPr>
        <w:t>CONDITION PRECEDENT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This Amendment No. 7 is conditional upon, and shall only enter into full force and effect, upon </w:t>
      </w:r>
      <w:r>
        <w:rPr>
          <w:rFonts w:ascii="Times New Roman;sans-serif" w:hAnsi="Times New Roman;sans-serif"/>
          <w:b w:val="false"/>
          <w:color w:val="222222"/>
          <w:sz w:val="22"/>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22222"/>
          <w:sz w:val="22"/>
          <w:shd w:fill="FFFFFF" w:val="clear"/>
        </w:rPr>
        <w:t>The date of effectiveness of this Amendment No. 7 shall be deemed to be the earlier of the date that *** and *** (the “</w:t>
      </w:r>
      <w:r>
        <w:rPr>
          <w:rFonts w:ascii="Times New Roman;sans-serif" w:hAnsi="Times New Roman;sans-serif"/>
          <w:b/>
          <w:color w:val="222222"/>
          <w:sz w:val="22"/>
          <w:shd w:fill="FFFFFF" w:val="clear"/>
        </w:rPr>
        <w:t>Amendment No. 7 Effective Date</w:t>
      </w:r>
      <w:r>
        <w:rPr>
          <w:color w:val="222222"/>
          <w:shd w:fill="FFFFFF" w:val="clear"/>
        </w:rPr>
        <w:t>”</w:t>
      </w:r>
      <w:r>
        <w:rPr>
          <w:rFonts w:ascii="Times New Roman;sans-serif" w:hAnsi="Times New Roman;sans-serif"/>
          <w:b w:val="false"/>
          <w:color w:val="222222"/>
          <w:sz w:val="22"/>
          <w:shd w:fill="FFFFFF" w:val="clear"/>
        </w:rPr>
        <w: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DEFINITIONS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1.1    Capitalized terms used herein and not otherwise expressly defined in this Amendment No. 7 shall have the meanings assigned thereto in the Agreement. The terms “herein”, “hereof”, and “hereunder” and words of similar import refer to this Amendment No. 7.</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    The definition of “*** A321 NEO Aircraft” set out in Clause 0 of the Agreement is hereby deleted and replaced by the following:</w:t>
      </w:r>
    </w:p>
    <w:p>
      <w:pPr>
        <w:pStyle w:val="TextBody"/>
        <w:bidi w:val="0"/>
        <w:spacing w:before="0" w:after="0"/>
        <w:jc w:val="both"/>
        <w:rPr/>
      </w:pPr>
      <w:r>
        <w:rPr/>
      </w:r>
    </w:p>
    <w:p>
      <w:pPr>
        <w:pStyle w:val="TextBody"/>
        <w:bidi w:val="0"/>
        <w:spacing w:lineRule="auto" w:line="288" w:before="0" w:after="0"/>
        <w:jc w:val="both"/>
        <w:rPr/>
      </w:pPr>
      <w:r>
        <w:rPr>
          <w:color w:val="000000"/>
          <w:u w:val="single"/>
        </w:rPr>
        <w:t>“</w:t>
      </w:r>
      <w:r>
        <w:rPr>
          <w:rFonts w:ascii="Times New Roman;sans-serif" w:hAnsi="Times New Roman;sans-serif"/>
          <w:b w:val="false"/>
          <w:color w:val="000000"/>
          <w:sz w:val="22"/>
          <w:u w:val="single"/>
        </w:rPr>
        <w:t>*** A321 NEO Aircraft</w:t>
      </w:r>
      <w:r>
        <w:rPr>
          <w:color w:val="000000"/>
        </w:rPr>
        <w:t xml:space="preserve"> – </w:t>
      </w:r>
      <w:r>
        <w:rPr>
          <w:rFonts w:ascii="Times New Roman;sans-serif" w:hAnsi="Times New Roman;sans-serif"/>
          <w:b w:val="false"/>
          <w:color w:val="000000"/>
          <w:sz w:val="22"/>
        </w:rPr>
        <w:t>***.</w:t>
      </w:r>
      <w:r>
        <w:rPr>
          <w:color w:val="222222"/>
        </w:rPr>
        <w:t>”</w:t>
      </w:r>
    </w:p>
    <w:p>
      <w:pPr>
        <w:pStyle w:val="TextBody"/>
        <w:bidi w:val="0"/>
        <w:spacing w:lineRule="auto" w:line="288" w:before="0" w:after="0"/>
        <w:jc w:val="both"/>
        <w:rPr>
          <w:color w:val="222222"/>
          <w:shd w:fill="FFFFFF" w:val="clear"/>
        </w:rPr>
      </w:pPr>
      <w:r>
        <w:rPr>
          <w:color w:val="222222"/>
          <w:shd w:fill="FFFFFF" w:val="clear"/>
        </w:rPr>
        <w:t> </w:t>
      </w:r>
    </w:p>
    <w:p>
      <w:pPr>
        <w:pStyle w:val="TextBody"/>
        <w:bidi w:val="0"/>
        <w:spacing w:lineRule="auto" w:line="288" w:before="0" w:after="0"/>
        <w:ind w:left="0" w:right="0" w:hanging="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 PURCHASE RIGHT EXERCISE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    The Buyer hereby irrevocably exercises the *** Purchase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2.2    For the avoidance of doubt, Paragraph 4.2.3 of Amended and Restated Letter Agreement No. 2 to the Agreement shall apply to each *** Purchase Right Aircraft.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 xml:space="preserve">DELIVERY SCHEDULE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Clause 9.1.1 of the Agreement is amended to add the delivery schedule of the *** Purchase Right Aircraft as follows:</w:t>
      </w:r>
    </w:p>
    <w:p>
      <w:pPr>
        <w:pStyle w:val="TextBody"/>
        <w:bidi w:val="0"/>
        <w:spacing w:before="0" w:after="0"/>
        <w:jc w:val="both"/>
        <w:rPr/>
      </w:pPr>
      <w:r>
        <w:rPr/>
      </w:r>
    </w:p>
    <w:tbl>
      <w:tblPr>
        <w:tblW w:w="5175" w:type="dxa"/>
        <w:jc w:val="left"/>
        <w:tblInd w:w="0" w:type="dxa"/>
        <w:tblLayout w:type="fixed"/>
        <w:tblCellMar>
          <w:top w:w="28" w:type="dxa"/>
          <w:left w:w="28" w:type="dxa"/>
          <w:bottom w:w="28" w:type="dxa"/>
          <w:right w:w="28" w:type="dxa"/>
        </w:tblCellMar>
      </w:tblPr>
      <w:tblGrid>
        <w:gridCol w:w="1042"/>
        <w:gridCol w:w="918"/>
        <w:gridCol w:w="920"/>
        <w:gridCol w:w="671"/>
        <w:gridCol w:w="671"/>
        <w:gridCol w:w="953"/>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12" w:space="0" w:color="000000"/>
              <w:left w:val="single" w:sz="1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A321 NEO AIRCRAFT</w:t>
            </w:r>
          </w:p>
        </w:tc>
        <w:tc>
          <w:tcPr>
            <w:tcW w:w="2295" w:type="dxa"/>
            <w:gridSpan w:val="3"/>
            <w:tcBorders>
              <w:top w:val="single" w:sz="12" w:space="0" w:color="000000"/>
              <w:left w:val="single" w:sz="12" w:space="0" w:color="000000"/>
              <w:right w:val="single" w:sz="12"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DELIVERY PERIOD</w:t>
            </w:r>
          </w:p>
        </w:tc>
      </w:tr>
      <w:tr>
        <w:trPr/>
        <w:tc>
          <w:tcPr>
            <w:tcW w:w="2880" w:type="dxa"/>
            <w:gridSpan w:val="3"/>
            <w:tcBorders>
              <w:top w:val="single" w:sz="12" w:space="0" w:color="000000"/>
              <w:left w:val="single" w:sz="1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295" w:type="dxa"/>
            <w:gridSpan w:val="3"/>
            <w:vMerge w:val="restart"/>
            <w:tcBorders>
              <w:top w:val="single" w:sz="12" w:space="0" w:color="000000"/>
              <w:left w:val="single" w:sz="12" w:space="0" w:color="000000"/>
              <w:bottom w:val="single" w:sz="12" w:space="0" w:color="000000"/>
              <w:right w:val="single" w:sz="12"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880" w:type="dxa"/>
            <w:gridSpan w:val="3"/>
            <w:tcBorders>
              <w:left w:val="single" w:sz="12" w:space="0" w:color="000000"/>
              <w:bottom w:val="single" w:sz="12" w:space="0" w:color="000000"/>
              <w:right w:val="single" w:sz="12" w:space="0" w:color="000000"/>
            </w:tcBorders>
            <w:tcMar>
              <w:top w:w="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295" w:type="dxa"/>
            <w:gridSpan w:val="3"/>
            <w:vMerge w:val="continue"/>
            <w:tcBorders>
              <w:top w:val="single" w:sz="12" w:space="0" w:color="000000"/>
              <w:left w:val="single" w:sz="12" w:space="0" w:color="000000"/>
              <w:bottom w:val="single" w:sz="12" w:space="0" w:color="000000"/>
              <w:right w:val="single" w:sz="12" w:space="0" w:color="000000"/>
            </w:tcBorders>
            <w:tcMar>
              <w:top w:w="30" w:type="dxa"/>
              <w:left w:w="48" w:type="dxa"/>
              <w:bottom w:w="30" w:type="dxa"/>
              <w:right w:w="48" w:type="dxa"/>
            </w:tcMar>
            <w:vAlign w:val="center"/>
          </w:tcPr>
          <w:p>
            <w:pPr>
              <w:pStyle w:val="Normal"/>
              <w:bidi w:val="0"/>
              <w:jc w:val="left"/>
              <w:rPr/>
            </w:pPr>
            <w:r>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SALE AND 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Clause 1 of the Agreement is deleted and replaced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The Seller shall sell and deliver to the Buyer, and the Buyer shall purchase and take delivery of all of the one hundred seventy (170) A321 NEO Aircraft and all of the fifty (50) A321 XLR Aircraft from the Seller, subject to the terms and conditions contained in this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LETTER AGREEMENTS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840"/>
                <wp:effectExtent l="0" t="0" r="0" b="0"/>
                <wp:wrapNone/>
                <wp:docPr id="33" name="Frame32"/>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connection with the parties entering into this Amendment No. 7, as of the </w:t>
      </w:r>
      <w:r>
        <w:rPr>
          <w:rFonts w:ascii="Times New Roman;sans-serif" w:hAnsi="Times New Roman;sans-serif"/>
          <w:b w:val="false"/>
          <w:color w:val="222222"/>
          <w:sz w:val="22"/>
          <w:shd w:fill="FFFFFF" w:val="clear"/>
        </w:rPr>
        <w:t>Amendment No. 7 Effective Date</w:t>
      </w:r>
      <w:r>
        <w:rPr>
          <w:rFonts w:ascii="Times New Roman;sans-serif" w:hAnsi="Times New Roman;sans-serif"/>
          <w:b w:val="false"/>
          <w:color w:val="000000"/>
          <w:sz w:val="22"/>
        </w:rPr>
        <w:t>: (i) Amended and Restated Letter Agreement No. 1 (RE: ***) dated as of June 30, 2023 to the Agreement is hereby deleted and replaced with Amended and Restated Letter Agreement No. 1 (RE: ***) dated as of even date herewith, and (ii) Amended and Restated Letter Agreement No. 3 (RE: ***) dated as of June 30, 2023 to the Agreement is hereby deleted and replaced with Amended and Restated Letter Agreement No. 3 (RE: ***) dated as of even date herewith.</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EFFECT OF THE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Agreement will be deemed amended to the extent herein provided and, except as specifically amended hereby, will continue in full force and effect in accordance with its original terms. This Amendment No. 7 supersedes any previous understandings, commitments, or representations whatsoever, whether oral or written, related to the subject matter of this Amendment No. 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Both parties agree that this Amendment No. 7 will constitute an integral, non-severable part of the Agreement, that the provisions of the Agreement are hereby incorporated herein by reference, and that this Amendment No. 7 will be governed by the provisions of the Agreement, except that if the Agreement and this Amendment No. 7 have specific provisions that are inconsistent, the specific provisions contained in this Amendment No. 7 will govern.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 xml:space="preserve">ASSIGNMENT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Amendment No. 7 and the rights and obligations of the parties hereunder will be subject to the provisions of Clause 21 of the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CONFIDENTIALITY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Amendment No. 7 is subject to the terms and conditions of Clause 22.10 of the Agreement.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GOVERNING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governing law of this Amendment No. 7 shall be as set forth in Clause 22.6 of the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COUNTERPARTS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Amendment No. 7 may be executed by the parties hereto in separate counterparts, each of which when so executed and delivered will be an original, but all such counterparts will together constitute one and the same instrument.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840"/>
                <wp:effectExtent l="0" t="0" r="0" b="0"/>
                <wp:wrapNone/>
                <wp:docPr id="34" name="Frame3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    AM7-2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WITNESS WHEREOF, the Buyer and the Seller have caused this Amendment No. 7 to be executed and delivered by their respective officers thereunto duly authorized as of the day and year first above written.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UNITED AIRLINES, INC.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2"/>
          <w:u w:val="single"/>
        </w:rPr>
        <w:t>/s/ Michael Leskinen</w:t>
      </w:r>
      <w:r>
        <w:rPr>
          <w:rFonts w:ascii="Times New Roman;sans-serif" w:hAnsi="Times New Roman;sans-serif"/>
          <w:b w:val="false"/>
          <w:color w:val="000000"/>
          <w:sz w:val="22"/>
        </w:rPr>
        <w:t>______</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By: Michael Leskinen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Its: EVP and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AIRBUS S.A.S.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2"/>
          <w:u w:val="single"/>
        </w:rPr>
        <w:t>/s/ Paul Meijers</w:t>
      </w:r>
      <w:r>
        <w:rPr>
          <w:rFonts w:ascii="Times New Roman;sans-serif" w:hAnsi="Times New Roman;sans-serif"/>
          <w:b w:val="false"/>
          <w:color w:val="000000"/>
          <w:sz w:val="22"/>
        </w:rPr>
        <w:t>__________</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By:    Paul Meijers</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Its:    Executive Vice President</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Commercial Transactions</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840"/>
                <wp:effectExtent l="0" t="0" r="0" b="0"/>
                <wp:wrapNone/>
                <wp:docPr id="35" name="Frame3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CT1903666 – A320 Family Purchase Agreement – Amendment No. 7 – Execution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AND CONFIDENTIAL</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AMENDED AND RESTATED</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LETTER AGREEMENT NO. 1</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TO THE A320 FAMILY PURCHASE AGREEMENT</w:t>
      </w:r>
    </w:p>
    <w:p>
      <w:pPr>
        <w:pStyle w:val="TextBody"/>
        <w:bidi w:val="0"/>
        <w:spacing w:before="0" w:after="240"/>
        <w:jc w:val="center"/>
        <w:rPr/>
      </w:pPr>
      <w:r>
        <w:rPr/>
      </w:r>
    </w:p>
    <w:p>
      <w:pPr>
        <w:pStyle w:val="TextBody"/>
        <w:bidi w:val="0"/>
        <w:spacing w:lineRule="auto" w:line="288"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As of December 26, 2024</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UNITED AIRLINES,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233 South Wacker Drive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Chicago, Illinois 60606</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USA</w:t>
      </w:r>
    </w:p>
    <w:p>
      <w:pPr>
        <w:pStyle w:val="TextBody"/>
        <w:bidi w:val="0"/>
        <w:spacing w:lineRule="auto" w:line="288" w:before="0" w:after="240"/>
        <w:jc w:val="both"/>
        <w:rPr/>
      </w:pPr>
      <w:r>
        <w:rPr>
          <w:rFonts w:ascii="Times New Roman;sans-serif" w:hAnsi="Times New Roman;sans-serif"/>
          <w:b w:val="false"/>
          <w:color w:val="000000"/>
          <w:sz w:val="22"/>
        </w:rPr>
        <w:t xml:space="preserve">Re: </w:t>
      </w:r>
      <w:r>
        <w:rPr>
          <w:rFonts w:ascii="Times New Roman;sans-serif" w:hAnsi="Times New Roman;sans-serif"/>
          <w:b w:val="false"/>
          <w:color w:val="000000"/>
          <w:sz w:val="22"/>
          <w:u w:val="single"/>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Dear Ladies and Gentlemen,</w:t>
      </w:r>
    </w:p>
    <w:p>
      <w:pPr>
        <w:pStyle w:val="TextBody"/>
        <w:bidi w:val="0"/>
        <w:spacing w:lineRule="auto" w:line="288" w:before="0" w:after="240"/>
        <w:jc w:val="both"/>
        <w:rPr/>
      </w:pPr>
      <w:r>
        <w:rPr>
          <w:rFonts w:ascii="Times New Roman;sans-serif" w:hAnsi="Times New Roman;sans-serif"/>
          <w:b w:val="false"/>
          <w:color w:val="000000"/>
          <w:sz w:val="22"/>
        </w:rPr>
        <w:t>UNITED AIRLINES, INC. (the “</w:t>
      </w:r>
      <w:r>
        <w:rPr>
          <w:rFonts w:ascii="Times New Roman;sans-serif" w:hAnsi="Times New Roman;sans-serif"/>
          <w:b/>
          <w:color w:val="000000"/>
          <w:sz w:val="22"/>
        </w:rPr>
        <w:t>Buyer</w:t>
      </w:r>
      <w:r>
        <w:rPr>
          <w:color w:val="000000"/>
        </w:rPr>
        <w:t>”</w:t>
      </w:r>
      <w:r>
        <w:rPr>
          <w:rFonts w:ascii="Times New Roman;sans-serif" w:hAnsi="Times New Roman;sans-serif"/>
          <w:b w:val="false"/>
          <w:color w:val="000000"/>
          <w:sz w:val="22"/>
        </w:rPr>
        <w:t>), and AIRBUS S.A.S. (the “</w:t>
      </w:r>
      <w:r>
        <w:rPr>
          <w:rFonts w:ascii="Times New Roman;sans-serif" w:hAnsi="Times New Roman;sans-serif"/>
          <w:b/>
          <w:color w:val="000000"/>
          <w:sz w:val="22"/>
        </w:rPr>
        <w:t>Seller</w:t>
      </w:r>
      <w:r>
        <w:rPr>
          <w:color w:val="000000"/>
        </w:rPr>
        <w:t>”</w:t>
      </w:r>
      <w:r>
        <w:rPr>
          <w:rFonts w:ascii="Times New Roman;sans-serif" w:hAnsi="Times New Roman;sans-serif"/>
          <w:b w:val="false"/>
          <w:color w:val="000000"/>
          <w:sz w:val="22"/>
        </w:rPr>
        <w:t>), have entered into an A320 Family Purchase Agreement dated as of December 3, 2019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which covers, among other things, the sale by the Seller and the purchase by the Buyer of certain Aircraft, under the terms and conditions set forth in said Agreement. The Buyer and the Seller have agreed to set forth in this Amended and Restated Letter Agreement No. 1 (this “</w:t>
      </w:r>
      <w:r>
        <w:rPr>
          <w:rFonts w:ascii="Times New Roman;sans-serif" w:hAnsi="Times New Roman;sans-serif"/>
          <w:b/>
          <w:color w:val="000000"/>
          <w:sz w:val="22"/>
        </w:rPr>
        <w:t>Letter Agreement</w:t>
      </w:r>
      <w:r>
        <w:rPr>
          <w:color w:val="000000"/>
        </w:rPr>
        <w:t>”</w:t>
      </w:r>
      <w:r>
        <w:rPr>
          <w:rFonts w:ascii="Times New Roman;sans-serif" w:hAnsi="Times New Roman;sans-serif"/>
          <w:b w:val="false"/>
          <w:color w:val="000000"/>
          <w:sz w:val="22"/>
        </w:rPr>
        <w:t>) certain additional terms and conditions regarding the sale of the Aircraft. Amended and Restated Letter Agreement No. 1 dated as of June 30, 2023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27735"/>
                <wp:effectExtent l="0" t="0" r="0" b="0"/>
                <wp:wrapNone/>
                <wp:docPr id="36" name="Frame35"/>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before="0" w:after="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LA1-1</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LA1-1</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0.    </w:t>
      </w:r>
      <w:r>
        <w:rPr>
          <w:rFonts w:ascii="Times New Roman;sans-serif" w:hAnsi="Times New Roman;sans-serif"/>
          <w:b/>
          <w:color w:val="000000"/>
          <w:sz w:val="22"/>
        </w:rPr>
        <w:t>CONDITION PRECEDENT</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2"/>
        </w:rPr>
        <w:t xml:space="preserve">This Letter Agreement is conditional upon, and shall only enter into full force and effect, upon </w:t>
      </w:r>
      <w:r>
        <w:rPr>
          <w:rFonts w:ascii="Times New Roman;sans-serif" w:hAnsi="Times New Roman;sans-serif"/>
          <w:b w:val="false"/>
          <w:color w:val="222222"/>
          <w:sz w:val="22"/>
          <w:shd w:fill="FFFFFF" w:val="clear"/>
        </w:rPr>
        <w:t>*** (as defined in Amendment No. 7 to the Agreement) on or prior to ***.</w:t>
      </w:r>
    </w:p>
    <w:p>
      <w:pPr>
        <w:pStyle w:val="TextBody"/>
        <w:bidi w:val="0"/>
        <w:spacing w:lineRule="auto" w:line="288" w:before="0" w:after="0"/>
        <w:jc w:val="both"/>
        <w:rPr>
          <w:rFonts w:ascii="Times New Roman;sans-serif" w:hAnsi="Times New Roman;sans-serif"/>
          <w:b w:val="false"/>
          <w:color w:val="222222"/>
          <w:sz w:val="22"/>
          <w:shd w:fill="FFFFFF" w:val="clear"/>
        </w:rPr>
      </w:pPr>
      <w:r>
        <w:rPr>
          <w:rFonts w:ascii="Times New Roman;sans-serif" w:hAnsi="Times New Roman;sans-serif"/>
          <w:b w:val="false"/>
          <w:color w:val="222222"/>
          <w:sz w:val="22"/>
          <w:shd w:fill="FFFFFF" w:val="clear"/>
        </w:rPr>
        <w:t>The date of effectiveness of this Letter Agreement shall be deemed to be the Amendment No. 7 Effective Date (as defined in Amendment No. 7 to the Agreement). ***. </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1.    </w:t>
      </w:r>
      <w:r>
        <w:rPr>
          <w:rFonts w:ascii="Times New Roman;sans-serif" w:hAnsi="Times New Roman;sans-serif"/>
          <w:b/>
          <w:color w:val="000000"/>
          <w:sz w:val="22"/>
        </w:rPr>
        <w: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1.1    Clause 5.3.3 of the Agreement is deleted in its entirety and replaced with the following quoted text: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QUOTE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5.3.3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5.3.3.1    For each Aircraft ***:</w:t>
      </w:r>
    </w:p>
    <w:tbl>
      <w:tblPr>
        <w:tblW w:w="6880" w:type="dxa"/>
        <w:jc w:val="left"/>
        <w:tblInd w:w="0" w:type="dxa"/>
        <w:tblLayout w:type="fixed"/>
        <w:tblCellMar>
          <w:top w:w="28" w:type="dxa"/>
          <w:left w:w="28" w:type="dxa"/>
          <w:bottom w:w="28" w:type="dxa"/>
          <w:right w:w="28" w:type="dxa"/>
        </w:tblCellMar>
      </w:tblPr>
      <w:tblGrid>
        <w:gridCol w:w="754"/>
        <w:gridCol w:w="662"/>
        <w:gridCol w:w="662"/>
        <w:gridCol w:w="794"/>
        <w:gridCol w:w="794"/>
        <w:gridCol w:w="817"/>
        <w:gridCol w:w="444"/>
        <w:gridCol w:w="444"/>
        <w:gridCol w:w="444"/>
        <w:gridCol w:w="312"/>
        <w:gridCol w:w="312"/>
        <w:gridCol w:w="441"/>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48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Payment Date</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05" w:type="dxa"/>
            <w:gridSpan w:val="3"/>
            <w:tcBorders/>
            <w:tcMar>
              <w:top w:w="0" w:type="dxa"/>
              <w:left w:w="0" w:type="dxa"/>
              <w:bottom w:w="0" w:type="dxa"/>
              <w:right w:w="0" w:type="dxa"/>
            </w:tcMar>
            <w:vAlign w:val="center"/>
          </w:tcPr>
          <w:p>
            <w:pPr>
              <w:pStyle w:val="TableContents"/>
              <w:bidi w:val="0"/>
              <w:spacing w:lineRule="auto" w:line="288" w:before="0" w:after="5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 </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32" w:type="dxa"/>
            <w:gridSpan w:val="3"/>
            <w:tcBorders/>
            <w:tcMar>
              <w:top w:w="0" w:type="dxa"/>
              <w:left w:w="0" w:type="dxa"/>
              <w:bottom w:w="0" w:type="dxa"/>
              <w:right w:w="0" w:type="dxa"/>
            </w:tcMar>
            <w:vAlign w:val="center"/>
          </w:tcPr>
          <w:p>
            <w:pPr>
              <w:pStyle w:val="TableContents"/>
              <w:bidi w:val="0"/>
              <w:spacing w:before="0" w:after="240"/>
              <w:jc w:val="center"/>
              <w:rPr/>
            </w:pPr>
            <w:r>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05" w:type="dxa"/>
            <w:gridSpan w:val="3"/>
            <w:tcBorders/>
            <w:tcMar>
              <w:top w:w="0" w:type="dxa"/>
              <w:left w:w="0" w:type="dxa"/>
              <w:bottom w:w="0" w:type="dxa"/>
              <w:right w:w="0" w:type="dxa"/>
            </w:tcMar>
            <w:vAlign w:val="center"/>
          </w:tcPr>
          <w:p>
            <w:pPr>
              <w:pStyle w:val="TableContents"/>
              <w:bidi w:val="0"/>
              <w:spacing w:lineRule="auto" w:line="288" w:before="0" w:after="5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 </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0" w:type="dxa"/>
            <w:gridSpan w:val="12"/>
            <w:tcBorders/>
            <w:tcMar>
              <w:top w:w="0" w:type="dxa"/>
              <w:left w:w="0" w:type="dxa"/>
              <w:bottom w:w="0" w:type="dxa"/>
              <w:right w:w="0" w:type="dxa"/>
            </w:tcMar>
            <w:vAlign w:val="center"/>
          </w:tcPr>
          <w:p>
            <w:pPr>
              <w:pStyle w:val="TableContents"/>
              <w:bidi w:val="0"/>
              <w:spacing w:lineRule="auto" w:line="288" w:before="0" w:after="58"/>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    </w:t>
            </w:r>
          </w:p>
        </w:tc>
      </w:tr>
      <w:tr>
        <w:trPr/>
        <w:tc>
          <w:tcPr>
            <w:tcW w:w="448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DELIVERY </w:t>
            </w:r>
          </w:p>
        </w:tc>
        <w:tc>
          <w:tcPr>
            <w:tcW w:w="239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5.3.3.2    INTENTIONALLY LEFT BLANK</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5.3.3.3 For each *** Aircraft:</w:t>
      </w:r>
    </w:p>
    <w:tbl>
      <w:tblPr>
        <w:tblW w:w="6881" w:type="dxa"/>
        <w:jc w:val="left"/>
        <w:tblInd w:w="0" w:type="dxa"/>
        <w:tblLayout w:type="fixed"/>
        <w:tblCellMar>
          <w:top w:w="28" w:type="dxa"/>
          <w:left w:w="28" w:type="dxa"/>
          <w:bottom w:w="28" w:type="dxa"/>
          <w:right w:w="28" w:type="dxa"/>
        </w:tblCellMar>
      </w:tblPr>
      <w:tblGrid>
        <w:gridCol w:w="873"/>
        <w:gridCol w:w="766"/>
        <w:gridCol w:w="766"/>
        <w:gridCol w:w="923"/>
        <w:gridCol w:w="923"/>
        <w:gridCol w:w="942"/>
        <w:gridCol w:w="494"/>
        <w:gridCol w:w="494"/>
        <w:gridCol w:w="700"/>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519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Payment Date</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t>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78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88"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1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78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 </w:t>
            </w:r>
          </w:p>
        </w:tc>
        <w:tc>
          <w:tcPr>
            <w:tcW w:w="16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6881"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    </w:t>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27735"/>
                <wp:effectExtent l="0" t="0" r="0" b="0"/>
                <wp:wrapNone/>
                <wp:docPr id="37" name="Frame36"/>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before="0" w:after="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LA1-2</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LA1-2</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tbl>
      <w:tblPr>
        <w:tblW w:w="2231" w:type="dxa"/>
        <w:jc w:val="left"/>
        <w:tblInd w:w="0" w:type="dxa"/>
        <w:tblLayout w:type="fixed"/>
        <w:tblCellMar>
          <w:top w:w="28" w:type="dxa"/>
          <w:left w:w="28" w:type="dxa"/>
          <w:bottom w:w="28" w:type="dxa"/>
          <w:right w:w="28" w:type="dxa"/>
        </w:tblCellMar>
      </w:tblPr>
      <w:tblGrid>
        <w:gridCol w:w="319"/>
        <w:gridCol w:w="280"/>
        <w:gridCol w:w="280"/>
        <w:gridCol w:w="280"/>
        <w:gridCol w:w="280"/>
        <w:gridCol w:w="283"/>
        <w:gridCol w:w="149"/>
        <w:gridCol w:w="149"/>
        <w:gridCol w:w="211"/>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DELIVERY </w:t>
            </w:r>
          </w:p>
        </w:tc>
        <w:tc>
          <w:tcPr>
            <w:tcW w:w="50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88" w:before="24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UNQUOTE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1.3    Clause 5.3.5 of the Agreement is deleted in its entirety and replaced with the following quoted text: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QUOTE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5.3.5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UNQUOTE</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    ASSIGNMENT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and the rights and obligations of the parties will be subject to the provisions of Clause 21 of the Agreement.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    CONFIDENTIALITY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is subject to the terms and conditions of Clause 22.10 of the Agreement.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    COUNTERPARTS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may be executed by the parties hereto in separate counterparts, each of which when so executed and delivered will be an original, but all such counterparts will together constitute but one and the same instrument.</w:t>
      </w:r>
    </w:p>
    <w:p>
      <w:pPr>
        <w:pStyle w:val="TextBody"/>
        <w:bidi w:val="0"/>
        <w:spacing w:lineRule="auto" w:line="288" w:before="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27735"/>
                <wp:effectExtent l="0" t="0" r="0" b="0"/>
                <wp:wrapNone/>
                <wp:docPr id="38" name="Frame37"/>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before="0" w:after="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LA1-3</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LA1-3</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foregoing correctly sets forth your understanding, please execute the original and one (1) copy hereof in the space provided below and return a copy to the Seller.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AIRBUS S.A.S.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/s/ Paul Meijers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Paul Meijers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Its:    Executive Vice President</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Commercial Transactions</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UNITED AIRLINES, INC.</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 Michael Leskinen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Michael Leskinen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Its: EVP and Chief Financial Officer     </w:t>
      </w:r>
    </w:p>
    <w:p>
      <w:pPr>
        <w:pStyle w:val="TextBody"/>
        <w:bidi w:val="0"/>
        <w:spacing w:lineRule="auto" w:line="288" w:before="0" w:after="240"/>
        <w:jc w:val="both"/>
        <w:rPr>
          <w:color w:val="000000"/>
        </w:rPr>
      </w:pPr>
      <w:r>
        <w:rPr>
          <w:color w:val="000000"/>
        </w:rPr>
        <w:t>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45515"/>
                <wp:effectExtent l="0" t="0" r="0" b="0"/>
                <wp:wrapNone/>
                <wp:docPr id="39" name="Frame38"/>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before="0" w:after="0"/>
                              <w:jc w:val="both"/>
                              <w:rPr/>
                            </w:pPr>
                            <w:r>
                              <w:rPr/>
                            </w:r>
                            <w:r>
                              <w:br w:type="page"/>
                            </w:r>
                          </w:p>
                          <w:tbl>
                            <w:tblPr>
                              <w:tblW w:w="7092" w:type="dxa"/>
                              <w:jc w:val="left"/>
                              <w:tblInd w:w="0" w:type="dxa"/>
                              <w:tblLayout w:type="fixed"/>
                              <w:tblCellMar>
                                <w:top w:w="28" w:type="dxa"/>
                                <w:left w:w="28" w:type="dxa"/>
                                <w:bottom w:w="28" w:type="dxa"/>
                                <w:right w:w="28" w:type="dxa"/>
                              </w:tblCellMar>
                            </w:tblPr>
                            <w:tblGrid>
                              <w:gridCol w:w="2430"/>
                              <w:gridCol w:w="2142"/>
                              <w:gridCol w:w="2148"/>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both"/>
                        <w:rPr/>
                      </w:pPr>
                      <w:r>
                        <w:rPr/>
                      </w:r>
                    </w:p>
                    <w:tbl>
                      <w:tblPr>
                        <w:tblW w:w="7092" w:type="dxa"/>
                        <w:jc w:val="left"/>
                        <w:tblInd w:w="0" w:type="dxa"/>
                        <w:tblLayout w:type="fixed"/>
                        <w:tblCellMar>
                          <w:top w:w="28" w:type="dxa"/>
                          <w:left w:w="28" w:type="dxa"/>
                          <w:bottom w:w="28" w:type="dxa"/>
                          <w:right w:w="28" w:type="dxa"/>
                        </w:tblCellMar>
                      </w:tblPr>
                      <w:tblGrid>
                        <w:gridCol w:w="2430"/>
                        <w:gridCol w:w="2142"/>
                        <w:gridCol w:w="2148"/>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AMENDED AND RESTATED</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LETTER AGREEMENT NO. 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 THE A320 FAMILY PURCHASE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As of December 26, 2024</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UNITED AIRLINES,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233 South Wacker Drive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Chicago, Illinois 60606</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USA</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2"/>
        </w:rPr>
        <w:t xml:space="preserve">Re: </w:t>
      </w:r>
      <w:r>
        <w:rPr>
          <w:rFonts w:ascii="Times New Roman;sans-serif" w:hAnsi="Times New Roman;sans-serif"/>
          <w:b w:val="false"/>
          <w:color w:val="000000"/>
          <w:sz w:val="22"/>
          <w:u w:val="single"/>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Dear Ladies and Gentlemen,</w:t>
      </w:r>
    </w:p>
    <w:p>
      <w:pPr>
        <w:pStyle w:val="TextBody"/>
        <w:bidi w:val="0"/>
        <w:spacing w:lineRule="auto" w:line="288" w:before="0" w:after="240"/>
        <w:jc w:val="both"/>
        <w:rPr/>
      </w:pPr>
      <w:r>
        <w:rPr>
          <w:rFonts w:ascii="Times New Roman;sans-serif" w:hAnsi="Times New Roman;sans-serif"/>
          <w:b w:val="false"/>
          <w:color w:val="000000"/>
          <w:sz w:val="22"/>
        </w:rPr>
        <w:t>UNITED AIRLINES, INC. (the “</w:t>
      </w:r>
      <w:r>
        <w:rPr>
          <w:rFonts w:ascii="Times New Roman;sans-serif" w:hAnsi="Times New Roman;sans-serif"/>
          <w:b/>
          <w:color w:val="000000"/>
          <w:sz w:val="22"/>
        </w:rPr>
        <w:t>Buyer</w:t>
      </w:r>
      <w:r>
        <w:rPr>
          <w:color w:val="000000"/>
        </w:rPr>
        <w:t>”</w:t>
      </w:r>
      <w:r>
        <w:rPr>
          <w:rFonts w:ascii="Times New Roman;sans-serif" w:hAnsi="Times New Roman;sans-serif"/>
          <w:b w:val="false"/>
          <w:color w:val="000000"/>
          <w:sz w:val="22"/>
        </w:rPr>
        <w:t>), and AIRBUS S.A.S. (the “</w:t>
      </w:r>
      <w:r>
        <w:rPr>
          <w:rFonts w:ascii="Times New Roman;sans-serif" w:hAnsi="Times New Roman;sans-serif"/>
          <w:b/>
          <w:color w:val="000000"/>
          <w:sz w:val="22"/>
        </w:rPr>
        <w:t>Seller</w:t>
      </w:r>
      <w:r>
        <w:rPr>
          <w:color w:val="000000"/>
        </w:rPr>
        <w:t>”</w:t>
      </w:r>
      <w:r>
        <w:rPr>
          <w:rFonts w:ascii="Times New Roman;sans-serif" w:hAnsi="Times New Roman;sans-serif"/>
          <w:b w:val="false"/>
          <w:color w:val="000000"/>
          <w:sz w:val="22"/>
        </w:rPr>
        <w:t>), have entered into an A320 Family Purchase Agreement dated as of December 3, 2019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which covers, among other things, the sale by the Seller and the purchase by the Buyer of certain Aircraft, under the terms and conditions set forth in said Agreement. The Buyer and the Seller have agreed to set forth in this Amended and Restated Letter Agreement No. 3 (this “</w:t>
      </w:r>
      <w:r>
        <w:rPr>
          <w:rFonts w:ascii="Times New Roman;sans-serif" w:hAnsi="Times New Roman;sans-serif"/>
          <w:b/>
          <w:color w:val="000000"/>
          <w:sz w:val="22"/>
        </w:rPr>
        <w:t>Letter Agreement</w:t>
      </w:r>
      <w:r>
        <w:rPr>
          <w:color w:val="000000"/>
        </w:rPr>
        <w:t>”</w:t>
      </w:r>
      <w:r>
        <w:rPr>
          <w:rFonts w:ascii="Times New Roman;sans-serif" w:hAnsi="Times New Roman;sans-serif"/>
          <w:b w:val="false"/>
          <w:color w:val="000000"/>
          <w:sz w:val="22"/>
        </w:rPr>
        <w:t>) certain additional terms and conditions regarding the sale of the Aircraft. Amended and Restated Letter Agreement No. 3 dated as of June 30, 2023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spacing w:before="0" w:after="240"/>
        <w:jc w:val="both"/>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80135"/>
                <wp:effectExtent l="0" t="0" r="0" b="0"/>
                <wp:wrapNone/>
                <wp:docPr id="40" name="Frame39"/>
                <a:graphic xmlns:a="http://schemas.openxmlformats.org/drawingml/2006/main">
                  <a:graphicData uri="http://schemas.microsoft.com/office/word/2010/wordprocessingShape">
                    <wps:wsp>
                      <wps:cNvSpPr txBox="1"/>
                      <wps:spPr>
                        <a:xfrm>
                          <a:off x="0" y="0"/>
                          <a:ext cx="6480175" cy="1080135"/>
                        </a:xfrm>
                        <a:prstGeom prst="rect"/>
                        <a:solidFill>
                          <a:srgbClr val="FFFFFF"/>
                        </a:solidFill>
                      </wps:spPr>
                      <wps:txbx>
                        <w:txbxContent>
                          <w:p>
                            <w:pPr>
                              <w:pStyle w:val="TextBody"/>
                              <w:bidi w:val="0"/>
                              <w:spacing w:before="0" w:after="24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LA3-1</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LA3-1</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0    CONDITION PRECEDENT</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2"/>
        </w:rPr>
        <w:t xml:space="preserve">This Letter Agreement is conditional upon, and shall only enter into full force and effect, upon </w:t>
      </w:r>
      <w:r>
        <w:rPr>
          <w:rFonts w:ascii="Times New Roman;sans-serif" w:hAnsi="Times New Roman;sans-serif"/>
          <w:b w:val="false"/>
          <w:color w:val="222222"/>
          <w:sz w:val="22"/>
          <w:shd w:fill="FFFFFF" w:val="clear"/>
        </w:rPr>
        <w:t>*** (as defined in Amendment No. 7 to the Agreement) on or prior to ***.</w:t>
      </w:r>
    </w:p>
    <w:p>
      <w:pPr>
        <w:pStyle w:val="TextBody"/>
        <w:bidi w:val="0"/>
        <w:spacing w:lineRule="auto" w:line="288" w:before="0" w:after="0"/>
        <w:jc w:val="both"/>
        <w:rPr>
          <w:rFonts w:ascii="Times New Roman;sans-serif" w:hAnsi="Times New Roman;sans-serif"/>
          <w:b w:val="false"/>
          <w:color w:val="222222"/>
          <w:sz w:val="22"/>
          <w:shd w:fill="FFFFFF" w:val="clear"/>
        </w:rPr>
      </w:pPr>
      <w:r>
        <w:rPr>
          <w:rFonts w:ascii="Times New Roman;sans-serif" w:hAnsi="Times New Roman;sans-serif"/>
          <w:b w:val="false"/>
          <w:color w:val="222222"/>
          <w:sz w:val="22"/>
          <w:shd w:fill="FFFFFF" w:val="clear"/>
        </w:rPr>
        <w:t>The date of effectiveness of this Letter Agreement shall be deemed to be the Amendment No. 7 Effective Date (as defined in Amendment No. 7 to the Agreement). ***.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    DEFINITIONS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Clause 0 to the Agreement is amended to add the following defined terms:</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 A321 NEO Aircraft ***</w:t>
      </w:r>
      <w:r>
        <w:rPr>
          <w:color w:val="000000"/>
        </w:rPr>
        <w:t xml:space="preserve"> – </w:t>
      </w:r>
      <w:r>
        <w:rPr>
          <w:rFonts w:ascii="Times New Roman;sans-serif" w:hAnsi="Times New Roman;sans-serif"/>
          <w:b w:val="false"/>
          <w:color w:val="000000"/>
          <w:sz w:val="22"/>
        </w:rPr>
        <w:t>as defined in Paragraph 2.3.3.1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Aircraft *** Notice</w:t>
      </w:r>
      <w:r>
        <w:rPr>
          <w:color w:val="000000"/>
        </w:rPr>
        <w:t xml:space="preserve"> – </w:t>
      </w:r>
      <w:r>
        <w:rPr>
          <w:rFonts w:ascii="Times New Roman;sans-serif" w:hAnsi="Times New Roman;sans-serif"/>
          <w:b w:val="false"/>
          <w:color w:val="000000"/>
          <w:sz w:val="22"/>
        </w:rPr>
        <w:t>as defined in Paragraph 2.3.3.1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Aircraft *** Notice</w:t>
      </w:r>
      <w:r>
        <w:rPr>
          <w:color w:val="000000"/>
        </w:rPr>
        <w:t xml:space="preserve"> – </w:t>
      </w:r>
      <w:r>
        <w:rPr>
          <w:rFonts w:ascii="Times New Roman;sans-serif" w:hAnsi="Times New Roman;sans-serif"/>
          <w:b w:val="false"/>
          <w:color w:val="000000"/>
          <w:sz w:val="22"/>
        </w:rPr>
        <w:t>as defined in Paragraph 2.3.3.2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w:t>
      </w:r>
      <w:r>
        <w:rPr>
          <w:color w:val="000000"/>
        </w:rPr>
        <w:t xml:space="preserve"> – </w:t>
      </w:r>
      <w:r>
        <w:rPr>
          <w:rFonts w:ascii="Times New Roman;sans-serif" w:hAnsi="Times New Roman;sans-serif"/>
          <w:b w:val="false"/>
          <w:color w:val="000000"/>
          <w:sz w:val="22"/>
        </w:rPr>
        <w:t>as defined in Paragraph 2.3.3.1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w:t>
      </w:r>
      <w:r>
        <w:rPr>
          <w:color w:val="000000"/>
        </w:rPr>
        <w:t xml:space="preserve"> – </w:t>
      </w:r>
      <w:r>
        <w:rPr>
          <w:rFonts w:ascii="Times New Roman;sans-serif" w:hAnsi="Times New Roman;sans-serif"/>
          <w:b w:val="false"/>
          <w:color w:val="000000"/>
          <w:sz w:val="22"/>
        </w:rPr>
        <w:t>as defined in Paragraph 2.1.1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 Aircraft</w:t>
      </w:r>
      <w:r>
        <w:rPr>
          <w:color w:val="000000"/>
        </w:rPr>
        <w:t xml:space="preserve"> – </w:t>
      </w:r>
      <w:r>
        <w:rPr>
          <w:rFonts w:ascii="Times New Roman;sans-serif" w:hAnsi="Times New Roman;sans-serif"/>
          <w:b w:val="false"/>
          <w:color w:val="000000"/>
          <w:sz w:val="22"/>
        </w:rPr>
        <w:t>as defined in Paragraph 2.1.2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 Fee ***</w:t>
      </w:r>
      <w:r>
        <w:rPr>
          <w:color w:val="000000"/>
        </w:rPr>
        <w:t xml:space="preserve"> – </w:t>
      </w:r>
      <w:r>
        <w:rPr>
          <w:rFonts w:ascii="Times New Roman;sans-serif" w:hAnsi="Times New Roman;sans-serif"/>
          <w:b w:val="false"/>
          <w:color w:val="000000"/>
          <w:sz w:val="22"/>
        </w:rPr>
        <w:t>as defined in Paragraph 2.2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w:t>
      </w:r>
      <w:r>
        <w:rPr>
          <w:color w:val="000000"/>
        </w:rPr>
        <w:t xml:space="preserve"> – </w:t>
      </w:r>
      <w:r>
        <w:rPr>
          <w:rFonts w:ascii="Times New Roman;sans-serif" w:hAnsi="Times New Roman;sans-serif"/>
          <w:b w:val="false"/>
          <w:color w:val="000000"/>
          <w:sz w:val="22"/>
        </w:rPr>
        <w:t>as defined in Paragraph 2.3.4.1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xml:space="preserve">*** A321 NEO *** </w:t>
      </w:r>
      <w:r>
        <w:rPr>
          <w:color w:val="000000"/>
        </w:rPr>
        <w:t xml:space="preserve">– </w:t>
      </w:r>
      <w:r>
        <w:rPr>
          <w:rFonts w:ascii="Times New Roman;sans-serif" w:hAnsi="Times New Roman;sans-serif"/>
          <w:b w:val="false"/>
          <w:color w:val="000000"/>
          <w:sz w:val="22"/>
        </w:rPr>
        <w:t>as defined in Paragraph 2.1.1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 Aircraft</w:t>
      </w:r>
      <w:r>
        <w:rPr>
          <w:color w:val="000000"/>
        </w:rPr>
        <w:t xml:space="preserve"> – </w:t>
      </w:r>
      <w:r>
        <w:rPr>
          <w:rFonts w:ascii="Times New Roman;sans-serif" w:hAnsi="Times New Roman;sans-serif"/>
          <w:b w:val="false"/>
          <w:color w:val="000000"/>
          <w:sz w:val="22"/>
        </w:rPr>
        <w:t>as defined in Paragraph 2.1.2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 Fee ***</w:t>
      </w:r>
      <w:r>
        <w:rPr>
          <w:color w:val="000000"/>
        </w:rPr>
        <w:t xml:space="preserve"> – </w:t>
      </w:r>
      <w:r>
        <w:rPr>
          <w:rFonts w:ascii="Times New Roman;sans-serif" w:hAnsi="Times New Roman;sans-serif"/>
          <w:b w:val="false"/>
          <w:color w:val="000000"/>
          <w:sz w:val="22"/>
        </w:rPr>
        <w:t>as defined in Paragraph 2.2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Fee ***</w:t>
      </w:r>
      <w:r>
        <w:rPr>
          <w:color w:val="000000"/>
        </w:rPr>
        <w:t xml:space="preserve"> – </w:t>
      </w:r>
      <w:r>
        <w:rPr>
          <w:rFonts w:ascii="Times New Roman;sans-serif" w:hAnsi="Times New Roman;sans-serif"/>
          <w:b w:val="false"/>
          <w:color w:val="000000"/>
          <w:sz w:val="22"/>
        </w:rPr>
        <w:t>as defined in Paragraph 2.2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w:t>
      </w:r>
      <w:r>
        <w:rPr>
          <w:color w:val="000000"/>
        </w:rPr>
        <w:t xml:space="preserve"> – </w:t>
      </w:r>
      <w:r>
        <w:rPr>
          <w:rFonts w:ascii="Times New Roman;sans-serif" w:hAnsi="Times New Roman;sans-serif"/>
          <w:b w:val="false"/>
          <w:color w:val="000000"/>
          <w:sz w:val="22"/>
        </w:rPr>
        <w:t>as defined in Paragraph 2.3.2.1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Notice</w:t>
      </w:r>
      <w:r>
        <w:rPr>
          <w:color w:val="000000"/>
        </w:rPr>
        <w:t xml:space="preserve"> – </w:t>
      </w:r>
      <w:r>
        <w:rPr>
          <w:rFonts w:ascii="Times New Roman;sans-serif" w:hAnsi="Times New Roman;sans-serif"/>
          <w:b w:val="false"/>
          <w:color w:val="000000"/>
          <w:sz w:val="22"/>
        </w:rPr>
        <w:t>as defined in Paragraph 2.3.2.1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w:t>
      </w:r>
      <w:r>
        <w:rPr>
          <w:color w:val="000000"/>
        </w:rPr>
        <w:t xml:space="preserve"> – </w:t>
      </w:r>
      <w:r>
        <w:rPr>
          <w:rFonts w:ascii="Times New Roman;sans-serif" w:hAnsi="Times New Roman;sans-serif"/>
          <w:b w:val="false"/>
          <w:color w:val="000000"/>
          <w:sz w:val="22"/>
        </w:rPr>
        <w:t>as defined in Paragraph 2.1.1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Aircraft</w:t>
      </w:r>
      <w:r>
        <w:rPr>
          <w:color w:val="000000"/>
        </w:rPr>
        <w:t xml:space="preserve"> – </w:t>
      </w:r>
      <w:r>
        <w:rPr>
          <w:rFonts w:ascii="Times New Roman;sans-serif" w:hAnsi="Times New Roman;sans-serif"/>
          <w:b w:val="false"/>
          <w:color w:val="000000"/>
          <w:sz w:val="22"/>
        </w:rPr>
        <w:t>as defined in Paragraph 2.1.2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Fee ***</w:t>
      </w:r>
      <w:r>
        <w:rPr>
          <w:color w:val="000000"/>
        </w:rPr>
        <w:t xml:space="preserve"> – </w:t>
      </w:r>
      <w:r>
        <w:rPr>
          <w:rFonts w:ascii="Times New Roman;sans-serif" w:hAnsi="Times New Roman;sans-serif"/>
          <w:b w:val="false"/>
          <w:color w:val="000000"/>
          <w:sz w:val="22"/>
        </w:rPr>
        <w:t>as defined in Paragraph 2.2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Fee ***</w:t>
      </w:r>
      <w:r>
        <w:rPr>
          <w:color w:val="000000"/>
        </w:rPr>
        <w:t xml:space="preserve"> – </w:t>
      </w:r>
      <w:r>
        <w:rPr>
          <w:rFonts w:ascii="Times New Roman;sans-serif" w:hAnsi="Times New Roman;sans-serif"/>
          <w:b w:val="false"/>
          <w:color w:val="000000"/>
          <w:sz w:val="22"/>
        </w:rPr>
        <w:t>as defined in Paragraph 2.2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A320 Family *** Notice</w:t>
      </w:r>
      <w:r>
        <w:rPr>
          <w:color w:val="000000"/>
        </w:rPr>
        <w:t xml:space="preserve"> – </w:t>
      </w:r>
      <w:r>
        <w:rPr>
          <w:rFonts w:ascii="Times New Roman;sans-serif" w:hAnsi="Times New Roman;sans-serif"/>
          <w:b w:val="false"/>
          <w:color w:val="000000"/>
          <w:sz w:val="22"/>
        </w:rPr>
        <w:t>as defined in Paragraph 2.3.2.2 of Letter Agreement No. 3.</w:t>
      </w:r>
    </w:p>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80135"/>
                <wp:effectExtent l="0" t="0" r="0" b="0"/>
                <wp:wrapNone/>
                <wp:docPr id="41" name="Frame40"/>
                <a:graphic xmlns:a="http://schemas.openxmlformats.org/drawingml/2006/main">
                  <a:graphicData uri="http://schemas.microsoft.com/office/word/2010/wordprocessingShape">
                    <wps:wsp>
                      <wps:cNvSpPr txBox="1"/>
                      <wps:spPr>
                        <a:xfrm>
                          <a:off x="0" y="0"/>
                          <a:ext cx="6480175" cy="1080135"/>
                        </a:xfrm>
                        <a:prstGeom prst="rect"/>
                        <a:solidFill>
                          <a:srgbClr val="FFFFFF"/>
                        </a:solidFill>
                      </wps:spPr>
                      <wps:txbx>
                        <w:txbxContent>
                          <w:p>
                            <w:pPr>
                              <w:pStyle w:val="TextBody"/>
                              <w:bidi w:val="0"/>
                              <w:spacing w:before="0" w:after="24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LA3-2</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LA3-2</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u w:val="single"/>
        </w:rPr>
        <w:t>*** A320 Family Aircraft</w:t>
      </w:r>
      <w:r>
        <w:rPr>
          <w:color w:val="000000"/>
        </w:rPr>
        <w:t xml:space="preserve"> – </w:t>
      </w:r>
      <w:r>
        <w:rPr>
          <w:rFonts w:ascii="Times New Roman;sans-serif" w:hAnsi="Times New Roman;sans-serif"/>
          <w:b w:val="false"/>
          <w:color w:val="000000"/>
          <w:sz w:val="22"/>
        </w:rPr>
        <w:t>as defined in Paragraph 2.3.2.1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A321 NEO Aircraft</w:t>
      </w:r>
      <w:r>
        <w:rPr>
          <w:color w:val="000000"/>
        </w:rPr>
        <w:t xml:space="preserve"> – </w:t>
      </w:r>
      <w:r>
        <w:rPr>
          <w:rFonts w:ascii="Times New Roman;sans-serif" w:hAnsi="Times New Roman;sans-serif"/>
          <w:b w:val="false"/>
          <w:color w:val="000000"/>
          <w:sz w:val="22"/>
        </w:rPr>
        <w:t>as defined in Paragraph 2.3.3.1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Deadlines</w:t>
      </w:r>
      <w:r>
        <w:rPr>
          <w:color w:val="000000"/>
        </w:rPr>
        <w:t xml:space="preserve"> – </w:t>
      </w:r>
      <w:r>
        <w:rPr>
          <w:rFonts w:ascii="Times New Roman;sans-serif" w:hAnsi="Times New Roman;sans-serif"/>
          <w:b w:val="false"/>
          <w:color w:val="000000"/>
          <w:sz w:val="22"/>
        </w:rPr>
        <w:t>as defined in Paragraph 2.3.4.1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 Aircraft</w:t>
      </w:r>
      <w:r>
        <w:rPr>
          <w:color w:val="000000"/>
        </w:rPr>
        <w:t xml:space="preserve"> – </w:t>
      </w:r>
      <w:r>
        <w:rPr>
          <w:rFonts w:ascii="Times New Roman;sans-serif" w:hAnsi="Times New Roman;sans-serif"/>
          <w:b w:val="false"/>
          <w:color w:val="000000"/>
          <w:sz w:val="22"/>
        </w:rPr>
        <w:t>as defined in Paragraph 2.1.2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w:t>
      </w:r>
      <w:r>
        <w:rPr>
          <w:color w:val="000000"/>
        </w:rPr>
        <w:t xml:space="preserve"> – </w:t>
      </w:r>
      <w:r>
        <w:rPr>
          <w:rFonts w:ascii="Times New Roman;sans-serif" w:hAnsi="Times New Roman;sans-serif"/>
          <w:b w:val="false"/>
          <w:color w:val="000000"/>
          <w:sz w:val="22"/>
        </w:rPr>
        <w:t>as defined in Paragraph 2.1.1 of Letter Agreement No. 3.</w:t>
      </w:r>
    </w:p>
    <w:p>
      <w:pPr>
        <w:pStyle w:val="TextBody"/>
        <w:bidi w:val="0"/>
        <w:spacing w:lineRule="auto" w:line="288" w:before="0" w:after="240"/>
        <w:jc w:val="both"/>
        <w:rPr/>
      </w:pPr>
      <w:r>
        <w:rPr>
          <w:rFonts w:ascii="Times New Roman;sans-serif" w:hAnsi="Times New Roman;sans-serif"/>
          <w:b w:val="false"/>
          <w:color w:val="000000"/>
          <w:sz w:val="22"/>
          <w:u w:val="single"/>
        </w:rPr>
        <w:t>***</w:t>
      </w:r>
      <w:r>
        <w:rPr>
          <w:color w:val="000000"/>
        </w:rPr>
        <w:t xml:space="preserve"> – </w:t>
      </w:r>
      <w:r>
        <w:rPr>
          <w:rFonts w:ascii="Times New Roman;sans-serif" w:hAnsi="Times New Roman;sans-serif"/>
          <w:b w:val="false"/>
          <w:color w:val="000000"/>
          <w:sz w:val="22"/>
        </w:rPr>
        <w:t>as defined in Paragraph 2.3.2.1 of Letter Agreement No. 3.”</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2    PURCHASE RIGHT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Purchase Right Aircraft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    The Seller grants the Buyer the right to purchase: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    ASSIGNMENT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and the rights and obligations of the parties will be subject to the provisions of Clause 21 of the Agreement.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    CONFIDENTIALITY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is subject to the terms and conditions of Clause 22.10 of the Agreement.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    COUNTERPARTS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Agreement may be executed by the parties hereto in separate counterparts, each of which when so executed and delivered will be an original, but all such counterparts will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80135"/>
                <wp:effectExtent l="0" t="0" r="0" b="0"/>
                <wp:wrapNone/>
                <wp:docPr id="42" name="Frame41"/>
                <a:graphic xmlns:a="http://schemas.openxmlformats.org/drawingml/2006/main">
                  <a:graphicData uri="http://schemas.microsoft.com/office/word/2010/wordprocessingShape">
                    <wps:wsp>
                      <wps:cNvSpPr txBox="1"/>
                      <wps:spPr>
                        <a:xfrm>
                          <a:off x="0" y="0"/>
                          <a:ext cx="6480175" cy="1080135"/>
                        </a:xfrm>
                        <a:prstGeom prst="rect"/>
                        <a:solidFill>
                          <a:srgbClr val="FFFFFF"/>
                        </a:solidFill>
                      </wps:spPr>
                      <wps:txbx>
                        <w:txbxContent>
                          <w:p>
                            <w:pPr>
                              <w:pStyle w:val="TextBody"/>
                              <w:bidi w:val="0"/>
                              <w:spacing w:before="0" w:after="240"/>
                              <w:jc w:val="both"/>
                              <w:rPr/>
                            </w:pPr>
                            <w:r>
                              <w:rPr/>
                            </w:r>
                            <w:r>
                              <w:br w:type="page"/>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LA3-3</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bl>
                      <w:tblPr>
                        <w:tblW w:w="7785" w:type="dxa"/>
                        <w:jc w:val="left"/>
                        <w:tblInd w:w="0" w:type="dxa"/>
                        <w:tblLayout w:type="fixed"/>
                        <w:tblCellMar>
                          <w:top w:w="28" w:type="dxa"/>
                          <w:left w:w="28" w:type="dxa"/>
                          <w:bottom w:w="28" w:type="dxa"/>
                          <w:right w:w="28" w:type="dxa"/>
                        </w:tblCellMar>
                      </w:tblPr>
                      <w:tblGrid>
                        <w:gridCol w:w="2430"/>
                        <w:gridCol w:w="2142"/>
                        <w:gridCol w:w="2148"/>
                        <w:gridCol w:w="311"/>
                        <w:gridCol w:w="311"/>
                        <w:gridCol w:w="443"/>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A&amp;R LA3-3</w:t>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106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foregoing correctly sets forth your understanding, please execute the original and one (1) copy hereof in the space provided below and return a copy to the Seller.</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AIRBUS S.A.S.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 Paul Meijers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Paul Meijers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Its:    Executive Vice President</w:t>
      </w:r>
    </w:p>
    <w:p>
      <w:pPr>
        <w:pStyle w:val="TextBody"/>
        <w:bidi w:val="0"/>
        <w:spacing w:lineRule="auto" w:line="288" w:before="0" w:after="0"/>
        <w:ind w:left="0" w:right="0" w:firstLine="720"/>
        <w:jc w:val="both"/>
        <w:rPr>
          <w:color w:val="000000"/>
        </w:rPr>
      </w:pPr>
      <w:r>
        <w:rPr>
          <w:color w:val="000000"/>
        </w:rPr>
        <w:t>    </w:t>
      </w:r>
      <w:r>
        <w:rPr>
          <w:rFonts w:ascii="Times New Roman;sans-serif" w:hAnsi="Times New Roman;sans-serif"/>
          <w:b w:val="false"/>
          <w:color w:val="000000"/>
          <w:sz w:val="22"/>
        </w:rPr>
        <w:t>Commercial Transactions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UNITED AIRLINES, INC.</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 Michael Leskinen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Michael Leskinen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Its: EVP and Chief Financial Officer     </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97915"/>
                <wp:effectExtent l="0" t="0" r="0" b="0"/>
                <wp:wrapNone/>
                <wp:docPr id="43" name="Frame42"/>
                <a:graphic xmlns:a="http://schemas.openxmlformats.org/drawingml/2006/main">
                  <a:graphicData uri="http://schemas.microsoft.com/office/word/2010/wordprocessingShape">
                    <wps:wsp>
                      <wps:cNvSpPr txBox="1"/>
                      <wps:spPr>
                        <a:xfrm>
                          <a:off x="0" y="0"/>
                          <a:ext cx="6480175" cy="1097915"/>
                        </a:xfrm>
                        <a:prstGeom prst="rect"/>
                        <a:solidFill>
                          <a:srgbClr val="FFFFFF"/>
                        </a:solidFill>
                      </wps:spPr>
                      <wps:txbx>
                        <w:txbxContent>
                          <w:p>
                            <w:pPr>
                              <w:pStyle w:val="TextBody"/>
                              <w:bidi w:val="0"/>
                              <w:spacing w:before="0" w:after="240"/>
                              <w:jc w:val="both"/>
                              <w:rPr/>
                            </w:pPr>
                            <w:r>
                              <w:rPr/>
                            </w:r>
                          </w:p>
                          <w:tbl>
                            <w:tblPr>
                              <w:tblW w:w="7092" w:type="dxa"/>
                              <w:jc w:val="left"/>
                              <w:tblInd w:w="0" w:type="dxa"/>
                              <w:tblLayout w:type="fixed"/>
                              <w:tblCellMar>
                                <w:top w:w="28" w:type="dxa"/>
                                <w:left w:w="28" w:type="dxa"/>
                                <w:bottom w:w="28" w:type="dxa"/>
                                <w:right w:w="28" w:type="dxa"/>
                              </w:tblCellMar>
                            </w:tblPr>
                            <w:tblGrid>
                              <w:gridCol w:w="2430"/>
                              <w:gridCol w:w="2142"/>
                              <w:gridCol w:w="2148"/>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4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40"/>
                        <w:jc w:val="both"/>
                        <w:rPr/>
                      </w:pPr>
                      <w:r>
                        <w:rPr/>
                      </w:r>
                    </w:p>
                    <w:tbl>
                      <w:tblPr>
                        <w:tblW w:w="7092" w:type="dxa"/>
                        <w:jc w:val="left"/>
                        <w:tblInd w:w="0" w:type="dxa"/>
                        <w:tblLayout w:type="fixed"/>
                        <w:tblCellMar>
                          <w:top w:w="28" w:type="dxa"/>
                          <w:left w:w="28" w:type="dxa"/>
                          <w:bottom w:w="28" w:type="dxa"/>
                          <w:right w:w="28" w:type="dxa"/>
                        </w:tblCellMar>
                      </w:tblPr>
                      <w:tblGrid>
                        <w:gridCol w:w="2430"/>
                        <w:gridCol w:w="2142"/>
                        <w:gridCol w:w="2148"/>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CT1903666 – A320 Family Purchase Agreement – Execution</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4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FROM THE EXHIBIT BECAUSE IT IS BOTH NOT MATERIAL AND IS THE TYPE THAT THE REGISTRANT TREATS AS PRIVATE OR CONFIDENTIAL. OMITTED INFORMATION HAS BEEN REPLACED WITH ASTERISKS.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AMENDMENT NO. 6</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TO THE AMENDED AND RESTATED A350-900 PURCHASE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September 1, 2017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AIRBUS S.A.S.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UNITED AIRLINES, INC.</w: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This Amendment No. 6 to the Amended and Restated A350-900 Purchase Agreement between Airbus S.A.S. and United Airlines, Inc. (hereinafter referred to as this “</w:t>
      </w: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 xml:space="preserve">) is entered into as of March 31, 2025 by and between AIRBUS S.A.S., a </w:t>
      </w:r>
      <w:r>
        <w:rPr>
          <w:rFonts w:ascii="Times New Roman;sans-serif" w:hAnsi="Times New Roman;sans-serif"/>
          <w:b w:val="false"/>
          <w:i/>
          <w:color w:val="000000"/>
          <w:sz w:val="24"/>
        </w:rPr>
        <w:t>société par actions simplifiée</w:t>
      </w:r>
      <w:r>
        <w:rPr>
          <w:rFonts w:ascii="Times New Roman;sans-serif" w:hAnsi="Times New Roman;sans-serif"/>
          <w:b w:val="false"/>
          <w:color w:val="000000"/>
          <w:sz w:val="24"/>
        </w:rPr>
        <w:t>, organized and existing under the laws of the Republic of France, having its registered office located at 2, Rond Point Emile Dewoitine, 31700 Blagnac, France (hereinafter referred to as the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sans-serif" w:hAnsi="Times New Roman;sans-serif"/>
          <w:b/>
          <w:color w:val="000000"/>
          <w:sz w:val="24"/>
        </w:rPr>
        <w:t>Buyer</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WITNESSETH: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Buyer and the Seller have agreed to *** regarding (i) the ***, with the parties working in good faith to agree to such *** and (ii) a potential ***,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Buyer understands that the Seller *** at the date of this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Buyer and the Seller have agreed to amend certain terms of the Agreement as set forth herein.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IT IS AGREED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65480"/>
                <wp:effectExtent l="0" t="0" r="0" b="0"/>
                <wp:wrapNone/>
                <wp:docPr id="44" name="Frame43"/>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AM6-1</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AM6-1</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DEFINITIONS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herein and not otherwise expressly defined in this Amendment shall have the meanings assigned thereto in the Agreement. The terms “herein”, “hereof”, and “hereunder” and words of similar import refer to this Amendment.</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 xml:space="preserve">LETTER AGREEMENTS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     Letter Agreement No.2 to the Agreement dated as of September 1, 2017 and as amended from time to time, is hereby deleted and replaced with the Amended and Restated Letter Agreement No. 2 dated as of even date herewith.</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2.2    Amended and Restated Letter Agreement No. 14 to the Agreement dated as of December 26, 2024 is hereby deleted and replaced with the Amended and Restated Letter Agreement No. 14 dated as of even date herewith.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EFFECT OF THE AMENDMENT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 xml:space="preserve">ASSIGNMENT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and the rights and obligations of the parties shall be subject to the provisions of Clause 21 of the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CONFIDENTIALITY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This Amendment is subject to the terms and conditions of Clause 22.10 of the Agreement.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GOVERNING LAW</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The governing law shall be as set forth in Clause 22.6 of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64185"/>
                <wp:effectExtent l="0" t="0" r="0" b="0"/>
                <wp:wrapNone/>
                <wp:docPr id="45" name="Frame44"/>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AM6-1</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AM6-1</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COUNTERPARTS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Amendment may be executed by the parties hereto in separate counterparts, each of which when so executed and delivered will be an original, but all such counterparts will together constitute one and the same instrument.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64185"/>
                <wp:effectExtent l="0" t="0" r="0" b="0"/>
                <wp:wrapNone/>
                <wp:docPr id="46" name="Frame45"/>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AM6-2</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    AM6-2</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WITNESS WHEREOF, this Amendment was entered into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AIRLINES, INC.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John Gebo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Senior Vice President Treasury, Fleet &amp; Fuel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AIRBUS S.A.S.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Olivier Marty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Vice President Contracts</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65480"/>
                <wp:effectExtent l="0" t="0" r="0" b="0"/>
                <wp:wrapNone/>
                <wp:docPr id="47" name="Frame46"/>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Amendment No. 6 – Execution Version</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LETTER AGREEMENT NO. 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TO THE AMENDED AND RESTATED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A350-900 PURCHASE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As of 31 March 2025</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UNITED AIRLINES, INC.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233 South Wacker Drive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Chicago, Illinois 60606</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USA</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Re: </w:t>
      </w:r>
      <w:r>
        <w:rPr>
          <w:rFonts w:ascii="Times New Roman;sans-serif" w:hAnsi="Times New Roman;sans-serif"/>
          <w:b w:val="false"/>
          <w:color w:val="000000"/>
          <w:sz w:val="24"/>
          <w:u w:val="single"/>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Dear Ladies and Gentlemen,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UNITED AIRLINES, INC. (the “Buyer”), and AIRBUS S.A.S. (the “Seller”), have entered into an Amended and Restated A350-900 Purchase Agreement dated as of September 1, 2017 (the “Agreement”), which covers, among other things, the sale by the Seller and the purchase by the Buyer of certain Aircraft, under the terms and conditions set forth in said Agreement. The Buyer and the Seller have agreed to set forth in this Amended and Restated Letter Agreement No. 2 (this “</w:t>
      </w:r>
      <w:r>
        <w:rPr>
          <w:rFonts w:ascii="Times New Roman;sans-serif" w:hAnsi="Times New Roman;sans-serif"/>
          <w:b/>
          <w:color w:val="000000"/>
          <w:sz w:val="24"/>
        </w:rPr>
        <w:t>Letter Agreement</w:t>
      </w:r>
      <w:r>
        <w:rPr>
          <w:color w:val="000000"/>
        </w:rPr>
        <w:t>”</w:t>
      </w:r>
      <w:r>
        <w:rPr>
          <w:rFonts w:ascii="Times New Roman;sans-serif" w:hAnsi="Times New Roman;sans-serif"/>
          <w:b w:val="false"/>
          <w:color w:val="000000"/>
          <w:sz w:val="24"/>
        </w:rPr>
        <w:t xml:space="preserve">) certain additional terms and conditions regarding the sale of the Aircraft. Letter Agreement No. 2 dated as of September 1, 2017 to the Agreement (as amended from time to time), is hereby amended and restated in its entirety to read as set forth herein.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2580"/>
                <wp:effectExtent l="0" t="0" r="0" b="0"/>
                <wp:wrapNone/>
                <wp:docPr id="48" name="Frame4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LA2-1</w:t>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v:textbox>
                <w10:wrap type="none"/>
              </v:rect>
            </w:pict>
          </mc:Fallback>
        </mc:AlternateContent>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Clause 5 of the Agreement is deleted in its entirety and replaced with the following quoted text: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QUOTE</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5 -     PAYMENT TERMS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Seller’s Account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The Buyer will pay the ***, the Balance of the Final Price of the Aircraft and any other amount due hereunder in immediately available funds in United States dollars to: ***, or to such other account as may be designated by the Seller in writing to the Buyer.</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5.2.1    *** </w:t>
      </w:r>
    </w:p>
    <w:p>
      <w:pPr>
        <w:pStyle w:val="TextBody"/>
        <w:bidi w:val="0"/>
        <w:spacing w:lineRule="auto" w:line="288" w:before="0" w:after="0"/>
        <w:ind w:left="0" w:right="0" w:hanging="1080"/>
        <w:jc w:val="both"/>
        <w:rPr>
          <w:color w:val="000000"/>
        </w:rPr>
      </w:pPr>
      <w:r>
        <w:rPr>
          <w:color w:val="000000"/>
        </w:rPr>
        <w:t>    </w:t>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5.2.2    The *** for an Aircraft to be delivered in calendar year T is determined in accordance with the following formula:</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5.2.3    *** will be paid according to the following schedules.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5.2.3.1    For the ***:</w:t>
      </w:r>
    </w:p>
    <w:p>
      <w:pPr>
        <w:pStyle w:val="TextBody"/>
        <w:bidi w:val="0"/>
        <w:spacing w:before="0" w:after="0"/>
        <w:ind w:left="0" w:right="0" w:hanging="1080"/>
        <w:jc w:val="both"/>
        <w:rPr/>
      </w:pPr>
      <w:r>
        <w:rPr/>
      </w:r>
    </w:p>
    <w:tbl>
      <w:tblPr>
        <w:tblW w:w="2336" w:type="dxa"/>
        <w:jc w:val="left"/>
        <w:tblInd w:w="0" w:type="dxa"/>
        <w:tblLayout w:type="fixed"/>
        <w:tblCellMar>
          <w:top w:w="28" w:type="dxa"/>
          <w:left w:w="28" w:type="dxa"/>
          <w:bottom w:w="28" w:type="dxa"/>
          <w:right w:w="28" w:type="dxa"/>
        </w:tblCellMar>
      </w:tblPr>
      <w:tblGrid>
        <w:gridCol w:w="338"/>
        <w:gridCol w:w="297"/>
        <w:gridCol w:w="297"/>
        <w:gridCol w:w="297"/>
        <w:gridCol w:w="297"/>
        <w:gridCol w:w="301"/>
        <w:gridCol w:w="149"/>
        <w:gridCol w:w="149"/>
        <w:gridCol w:w="211"/>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27" w:type="dxa"/>
            <w:gridSpan w:val="6"/>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Date</w:t>
            </w:r>
          </w:p>
        </w:tc>
        <w:tc>
          <w:tcPr>
            <w:tcW w:w="509" w:type="dxa"/>
            <w:gridSpan w:val="3"/>
            <w:tcBorders>
              <w:top w:val="single" w:sz="4" w:space="0" w:color="000000"/>
              <w:left w:val="single" w:sz="4" w:space="0" w:color="000000"/>
              <w:right w:val="single" w:sz="4" w:space="0" w:color="000000"/>
            </w:tcBorders>
            <w:tcMar>
              <w:top w:w="30" w:type="dxa"/>
              <w:left w:w="8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932" w:type="dxa"/>
            <w:gridSpan w:val="3"/>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895" w:type="dxa"/>
            <w:gridSpan w:val="3"/>
            <w:tcBorders>
              <w:top w:val="single" w:sz="4" w:space="0" w:color="000000"/>
              <w:left w:val="single" w:sz="4" w:space="0" w:color="000000"/>
              <w:bottom w:val="single" w:sz="4"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left w:w="54" w:type="dxa"/>
              <w:bottom w:w="0" w:type="dxa"/>
              <w:right w:w="54"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27" w:type="dxa"/>
            <w:gridSpan w:val="6"/>
            <w:tcBorders>
              <w:top w:val="single" w:sz="4" w:space="0" w:color="000000"/>
              <w:left w:val="single" w:sz="4" w:space="0" w:color="000000"/>
              <w:bottom w:val="single" w:sz="4"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 DELIVERY </w:t>
            </w:r>
          </w:p>
        </w:tc>
        <w:tc>
          <w:tcPr>
            <w:tcW w:w="509" w:type="dxa"/>
            <w:gridSpan w:val="3"/>
            <w:tcBorders>
              <w:top w:val="single" w:sz="4" w:space="0" w:color="000000"/>
              <w:left w:val="single" w:sz="4" w:space="0" w:color="000000"/>
              <w:bottom w:val="single" w:sz="4" w:space="0" w:color="000000"/>
              <w:right w:val="single" w:sz="4" w:space="0" w:color="000000"/>
            </w:tcBorders>
            <w:tcMar>
              <w:top w:w="30" w:type="dxa"/>
              <w:left w:w="8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it is agreed that with respect to Aircraft ***.</w: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5.2.3.2    ***:</w:t>
      </w:r>
    </w:p>
    <w:p>
      <w:pPr>
        <w:pStyle w:val="TextBody"/>
        <w:bidi w:val="0"/>
        <w:spacing w:before="0" w:after="0"/>
        <w:ind w:left="0" w:right="0" w:hanging="1080"/>
        <w:jc w:val="both"/>
        <w:rPr/>
      </w:pPr>
      <w:r>
        <w:rPr/>
      </w:r>
    </w:p>
    <w:tbl>
      <w:tblPr>
        <w:tblW w:w="1454" w:type="dxa"/>
        <w:jc w:val="left"/>
        <w:tblInd w:w="0" w:type="dxa"/>
        <w:tblLayout w:type="fixed"/>
        <w:tblCellMar>
          <w:top w:w="28" w:type="dxa"/>
          <w:left w:w="28" w:type="dxa"/>
          <w:bottom w:w="28" w:type="dxa"/>
          <w:right w:w="28" w:type="dxa"/>
        </w:tblCellMar>
      </w:tblPr>
      <w:tblGrid>
        <w:gridCol w:w="174"/>
        <w:gridCol w:w="153"/>
        <w:gridCol w:w="153"/>
        <w:gridCol w:w="155"/>
        <w:gridCol w:w="155"/>
        <w:gridCol w:w="155"/>
        <w:gridCol w:w="149"/>
        <w:gridCol w:w="149"/>
        <w:gridCol w:w="2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45" w:type="dxa"/>
            <w:gridSpan w:val="6"/>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left w:w="8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480" w:type="dxa"/>
            <w:gridSpan w:val="3"/>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465" w:type="dxa"/>
            <w:gridSpan w:val="3"/>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left w:w="54" w:type="dxa"/>
              <w:bottom w:w="0" w:type="dxa"/>
              <w:right w:w="54"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2580"/>
                <wp:effectExtent l="0" t="0" r="0" b="0"/>
                <wp:wrapNone/>
                <wp:docPr id="49" name="Frame4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LA2-2</w:t>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v:textbox>
                <w10:wrap type="none"/>
              </v:rect>
            </w:pict>
          </mc:Fallback>
        </mc:AlternateContent>
      </w:r>
    </w:p>
    <w:tbl>
      <w:tblPr>
        <w:tblW w:w="2291" w:type="dxa"/>
        <w:jc w:val="left"/>
        <w:tblInd w:w="0" w:type="dxa"/>
        <w:tblLayout w:type="fixed"/>
        <w:tblCellMar>
          <w:top w:w="28" w:type="dxa"/>
          <w:left w:w="28" w:type="dxa"/>
          <w:bottom w:w="28" w:type="dxa"/>
          <w:right w:w="28" w:type="dxa"/>
        </w:tblCellMar>
      </w:tblPr>
      <w:tblGrid>
        <w:gridCol w:w="339"/>
        <w:gridCol w:w="297"/>
        <w:gridCol w:w="297"/>
        <w:gridCol w:w="297"/>
        <w:gridCol w:w="297"/>
        <w:gridCol w:w="300"/>
        <w:gridCol w:w="136"/>
        <w:gridCol w:w="136"/>
        <w:gridCol w:w="192"/>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6"/>
            <w:tcBorders>
              <w:top w:val="single" w:sz="8" w:space="0" w:color="000000"/>
              <w:left w:val="single" w:sz="4" w:space="0" w:color="000000"/>
              <w:bottom w:val="single" w:sz="4"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 DELIVERY </w:t>
            </w:r>
          </w:p>
        </w:tc>
        <w:tc>
          <w:tcPr>
            <w:tcW w:w="464" w:type="dxa"/>
            <w:gridSpan w:val="3"/>
            <w:tcBorders>
              <w:top w:val="single" w:sz="8" w:space="0" w:color="000000"/>
              <w:left w:val="single" w:sz="4" w:space="0" w:color="000000"/>
              <w:bottom w:val="single" w:sz="4" w:space="0" w:color="000000"/>
              <w:right w:val="single" w:sz="4" w:space="0" w:color="000000"/>
            </w:tcBorders>
            <w:tcMar>
              <w:top w:w="30" w:type="dxa"/>
              <w:left w:w="8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5.2.3.3    For *** Aircraft:</w:t>
      </w:r>
    </w:p>
    <w:p>
      <w:pPr>
        <w:pStyle w:val="TextBody"/>
        <w:bidi w:val="0"/>
        <w:spacing w:before="0" w:after="0"/>
        <w:ind w:left="0" w:right="0" w:hanging="1080"/>
        <w:jc w:val="both"/>
        <w:rPr/>
      </w:pPr>
      <w:r>
        <w:rPr/>
      </w:r>
    </w:p>
    <w:tbl>
      <w:tblPr>
        <w:tblW w:w="2336" w:type="dxa"/>
        <w:jc w:val="left"/>
        <w:tblInd w:w="0" w:type="dxa"/>
        <w:tblLayout w:type="fixed"/>
        <w:tblCellMar>
          <w:top w:w="28" w:type="dxa"/>
          <w:left w:w="28" w:type="dxa"/>
          <w:bottom w:w="28" w:type="dxa"/>
          <w:right w:w="28" w:type="dxa"/>
        </w:tblCellMar>
      </w:tblPr>
      <w:tblGrid>
        <w:gridCol w:w="338"/>
        <w:gridCol w:w="297"/>
        <w:gridCol w:w="297"/>
        <w:gridCol w:w="297"/>
        <w:gridCol w:w="297"/>
        <w:gridCol w:w="301"/>
        <w:gridCol w:w="149"/>
        <w:gridCol w:w="149"/>
        <w:gridCol w:w="211"/>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27" w:type="dxa"/>
            <w:gridSpan w:val="6"/>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Date</w:t>
            </w:r>
          </w:p>
        </w:tc>
        <w:tc>
          <w:tcPr>
            <w:tcW w:w="509" w:type="dxa"/>
            <w:gridSpan w:val="3"/>
            <w:tcBorders>
              <w:top w:val="single" w:sz="4" w:space="0" w:color="000000"/>
              <w:left w:val="single" w:sz="4" w:space="0" w:color="000000"/>
              <w:right w:val="single" w:sz="4" w:space="0" w:color="000000"/>
            </w:tcBorders>
            <w:tcMar>
              <w:top w:w="30" w:type="dxa"/>
              <w:left w:w="8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932" w:type="dxa"/>
            <w:gridSpan w:val="3"/>
            <w:tcBorders>
              <w:top w:val="single" w:sz="4" w:space="0" w:color="000000"/>
              <w:left w:val="single" w:sz="4"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895" w:type="dxa"/>
            <w:gridSpan w:val="3"/>
            <w:tcBorders>
              <w:top w:val="single" w:sz="4" w:space="0" w:color="000000"/>
              <w:left w:val="single" w:sz="4" w:space="0" w:color="000000"/>
              <w:bottom w:val="single" w:sz="4"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left w:w="8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27" w:type="dxa"/>
            <w:gridSpan w:val="6"/>
            <w:tcBorders>
              <w:top w:val="single" w:sz="4" w:space="0" w:color="000000"/>
              <w:left w:val="single" w:sz="4" w:space="0" w:color="000000"/>
              <w:bottom w:val="single" w:sz="4"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 DELIVERY </w:t>
            </w:r>
          </w:p>
        </w:tc>
        <w:tc>
          <w:tcPr>
            <w:tcW w:w="509" w:type="dxa"/>
            <w:gridSpan w:val="3"/>
            <w:tcBorders>
              <w:top w:val="single" w:sz="4" w:space="0" w:color="000000"/>
              <w:left w:val="single" w:sz="4" w:space="0" w:color="000000"/>
              <w:bottom w:val="single" w:sz="4" w:space="0" w:color="000000"/>
              <w:right w:val="single" w:sz="4" w:space="0" w:color="000000"/>
            </w:tcBorders>
            <w:tcMar>
              <w:top w:w="30" w:type="dxa"/>
              <w:left w:w="8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it is agreed that with respect to Aircraft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5.2.4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5.2.5    ***</w:t>
      </w:r>
    </w:p>
    <w:p>
      <w:pPr>
        <w:pStyle w:val="TextBody"/>
        <w:bidi w:val="0"/>
        <w:spacing w:lineRule="auto" w:line="288" w:before="0" w:after="0"/>
        <w:ind w:left="0" w:right="0" w:hanging="1080"/>
        <w:jc w:val="both"/>
        <w:rPr>
          <w:color w:val="000000"/>
        </w:rPr>
      </w:pPr>
      <w:r>
        <w:rPr>
          <w:color w:val="000000"/>
        </w:rPr>
        <w:t>    </w:t>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5.4    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5.4.1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5.5    </w:t>
      </w:r>
      <w:r>
        <w:rPr>
          <w:rFonts w:ascii="Times New Roman;sans-serif" w:hAnsi="Times New Roman;sans-serif"/>
          <w:b w:val="false"/>
          <w:color w:val="000000"/>
          <w:sz w:val="24"/>
          <w:u w:val="single"/>
        </w:rPr>
        <w:t>Payment of Balance of the Final Price of the Aircraft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5.6    </w:t>
      </w:r>
      <w:r>
        <w:rPr>
          <w:rFonts w:ascii="Times New Roman;sans-serif" w:hAnsi="Times New Roman;sans-serif"/>
          <w:b w:val="false"/>
          <w:color w:val="000000"/>
          <w:sz w:val="24"/>
          <w:u w:val="single"/>
        </w:rPr>
        <w:t>Taxes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5.6.1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5.6.2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5.6.3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5.6.4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color w:val="000000"/>
        </w:rPr>
        <w:t>    “</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means any present or future tax, stamp or other taxes, levies, imposts, duties, charges, fees, deductions or withholdings, now or hereafter imposed, levied, collected, withheld or assessed by any governmental authority or any political subdivision or taxing authority thereof or therein.</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5.7    </w:t>
      </w:r>
      <w:r>
        <w:rPr>
          <w:rFonts w:ascii="Times New Roman;sans-serif" w:hAnsi="Times New Roman;sans-serif"/>
          <w:b w:val="false"/>
          <w:color w:val="000000"/>
          <w:sz w:val="24"/>
          <w:u w:val="single"/>
        </w:rPr>
        <w:t>Application of Payments</w:t>
      </w:r>
    </w:p>
    <w:p>
      <w:pPr>
        <w:pStyle w:val="TextBody"/>
        <w:bidi w:val="0"/>
        <w:ind w:left="0" w:right="0" w:hanging="108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2580"/>
                <wp:effectExtent l="0" t="0" r="0" b="0"/>
                <wp:wrapNone/>
                <wp:docPr id="50" name="Frame4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LA2-3</w:t>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v:textbox>
                <w10:wrap type="none"/>
              </v:rect>
            </w:pict>
          </mc:Fallback>
        </mc:AlternateContent>
      </w:r>
    </w:p>
    <w:p>
      <w:pPr>
        <w:pStyle w:val="TextBody"/>
        <w:bidi w:val="0"/>
        <w:spacing w:lineRule="auto" w:line="288" w:before="0" w:after="0"/>
        <w:ind w:left="0" w:right="0" w:hanging="108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rights the Seller may have at contract or at law, the Buyer and the Seller hereby agree that should any amount (whether under this Agreement or under any other agreement between the Buyer or a direct or indirect subsidiary of the Buyer on the one hand and the Seller or any of the Seller’s Affiliates on the other hand) become due and payable by the Buyer or an Affiliate of the Buyer,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5.8    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5.9    </w:t>
      </w:r>
      <w:r>
        <w:rPr>
          <w:rFonts w:ascii="Times New Roman;sans-serif" w:hAnsi="Times New Roman;sans-serif"/>
          <w:b w:val="false"/>
          <w:color w:val="000000"/>
          <w:sz w:val="24"/>
          <w:u w:val="single"/>
        </w:rPr>
        <w:t>Overdue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If any *** due to the Seller is not received by the Seller on the date or dates agreed upon between the Buyer and the Seller, the Seller will have the right to claim from the Buyer and the Buyer will promptly pay to the Seller upon receipt of such claim, interest at the rate of ***. The Seller's right to receive such interest will be in addition to any other rights of the Seller hereunder or at law.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5.10    </w:t>
      </w:r>
      <w:r>
        <w:rPr>
          <w:rFonts w:ascii="Times New Roman;sans-serif" w:hAnsi="Times New Roman;sans-serif"/>
          <w:b w:val="false"/>
          <w:color w:val="000000"/>
          <w:sz w:val="24"/>
          <w:u w:val="single"/>
        </w:rPr>
        <w:t>Proprietary Interest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Notwithstanding any provision of law to the contrary, the Buyer will not, by virtue of anything contained in this Agreement (including, without limitation, any *** or *** hereunder, or any designation or identification by the Seller of a particular aircraft as an Aircraft to which any of the provisions of this Agreement refers) acquire any proprietary, insurable or other interest whatsoever in any Aircraft before Delivery of and payment for such Aircraft, as provided in this Agreement.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5.11    </w:t>
      </w:r>
      <w:r>
        <w:rPr>
          <w:rFonts w:ascii="Times New Roman;sans-serif" w:hAnsi="Times New Roman;sans-serif"/>
          <w:b w:val="false"/>
          <w:color w:val="000000"/>
          <w:sz w:val="24"/>
          <w:u w:val="single"/>
        </w:rPr>
        <w:t>Payment in Full</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    </w:t>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5.12    </w:t>
      </w:r>
      <w:r>
        <w:rPr>
          <w:rFonts w:ascii="Times New Roman;sans-serif" w:hAnsi="Times New Roman;sans-serif"/>
          <w:b w:val="false"/>
          <w:color w:val="000000"/>
          <w:sz w:val="24"/>
          <w:u w:val="single"/>
        </w:rPr>
        <w:t>Other Charges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UNQUOTE</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ASSIGNMENT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This Letter Agreement and the rights and obligations of the parties will be subject to the provisions of Clause 21 of the Agreement.</w: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ind w:left="0" w:right="0" w:hanging="108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2580"/>
                <wp:effectExtent l="0" t="0" r="0" b="0"/>
                <wp:wrapNone/>
                <wp:docPr id="51" name="Frame5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LA2-4</w:t>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v:textbox>
                <w10:wrap type="none"/>
              </v:rect>
            </w:pict>
          </mc:Fallback>
        </mc:AlternateConten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CONFIDENTIALITY</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This Letter Agreement is subject to the terms and conditions of Clause 22.10 of the Agreement.</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COUNTERPARTS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This Letter Agreement may be executed by the parties hereto in separate counterparts, each of which when so executed and delivered will be an original, but all such counterparts will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2580"/>
                <wp:effectExtent l="0" t="0" r="0" b="0"/>
                <wp:wrapNone/>
                <wp:docPr id="52" name="Frame5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LA2-5</w:t>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A&amp;R LA2-5</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correctly sets forth your understanding, please execute the original and one (1) copy hereof in the space provided below and return a copy to the Seller.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AIRBUS S.A.S.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Olivier Marty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Vice President Contracts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AIRLINES,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John Gebo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Senior Vice President Treasury, Fleet &amp; Fuel</w:t>
      </w:r>
    </w:p>
    <w:p>
      <w:pPr>
        <w:pStyle w:val="TextBody"/>
        <w:bidi w:val="0"/>
        <w:spacing w:before="0" w:after="0"/>
        <w:jc w:val="left"/>
        <w:rPr/>
      </w:pPr>
      <w:r>
        <w:rPr/>
      </w:r>
    </w:p>
    <w:p>
      <w:pPr>
        <w:pStyle w:val="TextBody"/>
        <w:bidi w:val="0"/>
        <w:spacing w:before="0" w:after="0"/>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2310"/>
                <wp:effectExtent l="0" t="0" r="0" b="0"/>
                <wp:wrapNone/>
                <wp:docPr id="53" name="Frame5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LA2-6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CT1706024 – Amended and Restated A350-900 Purchase Agreement – Execution Version    LA2-6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AIRBUS S.A.S. &amp; UNITED AIRLINES, INC. – PROPRIETARY AND CONFIDENTIAL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LETTER AGREEMENT NO. 14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TO THE AMENDED AND RESTATED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A350-900 PURCHASE AGREEMENT</w:t>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As of March 31, 2025</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UNITED AIRLINES, INC.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233 South Wacker Drive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Chicago, Illinois 60606</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Re: </w:t>
      </w:r>
      <w:r>
        <w:rPr>
          <w:rFonts w:ascii="Times New Roman;sans-serif" w:hAnsi="Times New Roman;sans-serif"/>
          <w:b w:val="false"/>
          <w:color w:val="000000"/>
          <w:sz w:val="24"/>
          <w:u w:val="single"/>
        </w:rPr>
        <w:t>AIRCRAFT ORDER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Dear Ladies and Gentlemen,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UNITED AIRLINES, INC. (the “</w:t>
      </w:r>
      <w:r>
        <w:rPr>
          <w:rFonts w:ascii="Times New Roman;sans-serif" w:hAnsi="Times New Roman;sans-serif"/>
          <w:b/>
          <w:color w:val="000000"/>
          <w:sz w:val="24"/>
        </w:rPr>
        <w:t>Buyer</w:t>
      </w:r>
      <w:r>
        <w:rPr>
          <w:color w:val="000000"/>
        </w:rPr>
        <w:t>”</w:t>
      </w:r>
      <w:r>
        <w:rPr>
          <w:rFonts w:ascii="Times New Roman;sans-serif" w:hAnsi="Times New Roman;sans-serif"/>
          <w:b w:val="false"/>
          <w:color w:val="000000"/>
          <w:sz w:val="24"/>
        </w:rPr>
        <w:t>), and AIRBUS S.A.S. (the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have entered into an Amended and Restated A350-900 Purchase Agreement dated as of September 1, 2017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sans-serif" w:hAnsi="Times New Roman;sans-serif"/>
          <w:b/>
          <w:color w:val="000000"/>
          <w:sz w:val="24"/>
        </w:rPr>
        <w:t>Letter Agreement</w:t>
      </w:r>
      <w:r>
        <w:rPr>
          <w:color w:val="000000"/>
        </w:rPr>
        <w:t>”</w:t>
      </w:r>
      <w:r>
        <w:rPr>
          <w:rFonts w:ascii="Times New Roman;sans-serif" w:hAnsi="Times New Roman;sans-serif"/>
          <w:b w:val="false"/>
          <w:color w:val="000000"/>
          <w:sz w:val="24"/>
        </w:rPr>
        <w:t>) certain additional terms and conditions regarding the sale of the Aircraft. Amended and Restated Letter Agreement No. 14 dated as of December 26, 2024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65480"/>
                <wp:effectExtent l="0" t="0" r="0" b="0"/>
                <wp:wrapNone/>
                <wp:docPr id="54" name="Frame53"/>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LA14-1</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1.1    The Seller offers the Buyer the *** certain Aircraft under the Agreement (the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subject to the following terms and conditions: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(i)    The *** is only granted to the Buyer for *** of the following Aircraft which are included in the Buyer’s *** order of *** Aircraft, as follows (each a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2"/>
        <w:jc w:val="both"/>
        <w:rPr/>
      </w:pPr>
      <w:r>
        <w:rPr>
          <w:rFonts w:ascii="Times New Roman;sans-serif" w:hAnsi="Times New Roman;sans-serif"/>
          <w:b w:val="false"/>
          <w:color w:val="000000"/>
          <w:sz w:val="24"/>
          <w:u w:val="single"/>
        </w:rPr>
        <w:t>Aircraft number</w:t>
      </w:r>
      <w:r>
        <w:rPr>
          <w:color w:val="000000"/>
        </w:rPr>
        <w:t>    </w:t>
      </w:r>
      <w:r>
        <w:rPr>
          <w:rFonts w:ascii="Times New Roman;sans-serif" w:hAnsi="Times New Roman;sans-serif"/>
          <w:b w:val="false"/>
          <w:color w:val="000000"/>
          <w:sz w:val="24"/>
          <w:u w:val="single"/>
        </w:rPr>
        <w:t>Aircraft type</w:t>
      </w:r>
      <w:r>
        <w:rPr>
          <w:color w:val="000000"/>
        </w:rPr>
        <w:t>            </w:t>
      </w:r>
      <w:r>
        <w:rPr>
          <w:rFonts w:ascii="Times New Roman;sans-serif" w:hAnsi="Times New Roman;sans-serif"/>
          <w:b w:val="false"/>
          <w:color w:val="000000"/>
          <w:sz w:val="24"/>
          <w:u w:val="single"/>
        </w:rPr>
        <w:t xml:space="preserve">Scheduled Delivery </w:t>
      </w:r>
    </w:p>
    <w:p>
      <w:pPr>
        <w:pStyle w:val="TextBody"/>
        <w:bidi w:val="0"/>
        <w:spacing w:lineRule="auto" w:line="288" w:before="0" w:after="0"/>
        <w:ind w:left="0" w:right="0" w:firstLine="12"/>
        <w:jc w:val="both"/>
        <w:rPr/>
      </w:pPr>
      <w:r>
        <w:rPr>
          <w:color w:val="000000"/>
        </w:rPr>
        <w:t>                    </w:t>
      </w:r>
      <w:r>
        <w:rPr>
          <w:rFonts w:ascii="Times New Roman;sans-serif" w:hAnsi="Times New Roman;sans-serif"/>
          <w:b w:val="false"/>
          <w:color w:val="000000"/>
          <w:sz w:val="24"/>
          <w:u w:val="single"/>
        </w:rPr>
        <w:t>***</w:t>
      </w:r>
    </w:p>
    <w:p>
      <w:pPr>
        <w:pStyle w:val="TextBody"/>
        <w:bidi w:val="0"/>
        <w:spacing w:before="0" w:after="0"/>
        <w:ind w:left="0" w:right="0" w:firstLine="12"/>
        <w:jc w:val="both"/>
        <w:rPr/>
      </w:pPr>
      <w:r>
        <w:rPr/>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lineRule="auto" w:line="288" w:before="0" w:after="0"/>
        <w:ind w:left="0" w:right="0" w:firstLine="12"/>
        <w:jc w:val="both"/>
        <w:rPr>
          <w:rFonts w:ascii="Times New Roman;sans-serif" w:hAnsi="Times New Roman;sans-serif"/>
          <w:b w:val="false"/>
          <w:color w:val="000000"/>
          <w:sz w:val="24"/>
        </w:rPr>
      </w:pPr>
      <w:r>
        <w:rPr>
          <w:rFonts w:ascii="Times New Roman;sans-serif" w:hAnsi="Times New Roman;sans-serif"/>
          <w:b w:val="false"/>
          <w:color w:val="000000"/>
          <w:sz w:val="24"/>
        </w:rPr>
        <w:t>Aircraft ***        A350-900 Aircraft        ***</w:t>
      </w:r>
    </w:p>
    <w:p>
      <w:pPr>
        <w:pStyle w:val="TextBody"/>
        <w:bidi w:val="0"/>
        <w:spacing w:before="0" w:after="0"/>
        <w:ind w:left="0" w:right="0" w:firstLine="1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(ii)    The Buyer will give the *** a one-time written notice of *** on a date falling between *** and *** (the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Such notice shall identify all of the *** with respect to which the Buyer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(iii)    Any *** for which the (x) *** or (y) *** under the conditions set out in this Clause 1 shall be referred to as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and the order for such particular Aircraft will be deemed ***, and the terms of this Clause 1 hereof shall apply.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    Any *** for which the Buyer has *** under the conditions set out in this Clause 1 shall remain an Aircraft under the Agreement, and the Buyer’s *** with respect to such Aircraft shall lapse.</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Should the Buyer not *** its *** pursuant to this Clause, the Buyer’s *** will lapse with respect to all ***, and the Buyer and ***.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(vi)    Notwithstanding the *** set out in this Clause 1.1, the Buyer grants the Seller a *** to *** the *** (the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(vii)    The Seller will give *** a one-time written notice of its desire *** on a date falling not later than *** (the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Such notice shall identify all of the *** with respect to which the Seller wishes to ***.</w:t>
      </w:r>
    </w:p>
    <w:p>
      <w:pPr>
        <w:pStyle w:val="TextBody"/>
        <w:bidi w:val="0"/>
        <w:spacing w:before="0" w:after="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88925"/>
                <wp:effectExtent l="0" t="0" r="0" b="0"/>
                <wp:wrapNone/>
                <wp:docPr id="55" name="Frame5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(viii)    Should the Seller *** its *** pursuant to this Clause, the *** in respect of the *** shall be considered void and of no effect. The *** defined under Clause 1.1(i) a. to f. shall be understood to be revised by *** and the *** shall be reduced accordingly. </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    Should the Seller not *** its Seller’s *** pursuant to this Clause, the Seller’s *** will lapse with respect to all ***. </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    Should the Buyer or the Seller *** the *** or the ***, respectively, with respect to ***, which shall in such case be Aircraft ***, then:</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 made by the Buyer with respect to such *** and shall apply such ***, without the ***. Upon *** of the *** or *** will *** under this Agreement with respect to any such ***, and</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 advanced under the *** of even date hereof at the *** (as such terms are defined in such Financing Letter Agreement) shall ***. </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1.3    Should the Buyer or the Seller *** the ***, respectively, with respect to ***, then *** with respect to any such *** and shall apply *** scheduled under ***. Upon *** of the *** or *** will *** under this Agreement with respect to any such ***. For the avoidance of doubt, any *** for *** which have become *** shall not be used to *** of the Agreement.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    The exercise of the *** or *** shall not in any way be deemed *** of this Agreement or any other agreement involving Buyer or Seller.  Nor shall such exercise *** in this Clause 1.</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INTENTIONALLY LEFT BLANK</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 xml:space="preserve">INTENTIONALLY LEFT BLANK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Should the Buyer or the Seller *** the *** or the ***, respectively, with respect to any of the *** in accordance with this Letter Agreement, then all *** based on a fleet size of *** A350-900 Aircraft ***, in a methodologically consistent manner.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ASSIGNMENT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and the rights and obligations of the parties will be subject to the provisions of Clause 21 of the Agreement.</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CONFIDENTIALITY</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is subject to the terms and conditions of Clause 22.10 of the Agreement.</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COUNTERPARTS</w:t>
      </w:r>
    </w:p>
    <w:p>
      <w:pPr>
        <w:pStyle w:val="TextBody"/>
        <w:bidi w:val="0"/>
        <w:ind w:left="0" w:right="0" w:hanging="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88925"/>
                <wp:effectExtent l="0" t="0" r="0" b="0"/>
                <wp:wrapNone/>
                <wp:docPr id="56" name="Frame5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executed by the parties hereto in separate counterparts, each of which when so executed and delivered will be an original, but all such counterparts will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88925"/>
                <wp:effectExtent l="0" t="0" r="0" b="0"/>
                <wp:wrapNone/>
                <wp:docPr id="57" name="Frame5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    A&amp;R LA14-4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correctly sets forth your understanding, please execute the original and one (1) copy hereof in the space provided below and return a copy to the Seller.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AIRBUS S.A.S.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Olivier Marty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Vice President Contracts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AIRLINES,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John Gebo</w:t>
      </w:r>
    </w:p>
    <w:p>
      <w:pPr>
        <w:pStyle w:val="TextBody"/>
        <w:bidi w:val="0"/>
        <w:spacing w:before="0" w:after="0"/>
        <w:jc w:val="left"/>
        <w:rPr/>
      </w:pPr>
      <w:r>
        <w:rPr/>
      </w:r>
    </w:p>
    <w:p>
      <w:pPr>
        <w:pStyle w:val="TextBody"/>
        <w:bidi w:val="0"/>
        <w:spacing w:lineRule="auto" w:line="288" w:before="0" w:after="0"/>
        <w:ind w:left="0" w:right="0" w:hanging="1080"/>
        <w:jc w:val="both"/>
        <w:rPr>
          <w:color w:val="000000"/>
        </w:rPr>
      </w:pPr>
      <w:r>
        <w:rPr>
          <w:color w:val="000000"/>
        </w:rPr>
        <w:t>    </w:t>
      </w:r>
      <w:r>
        <w:rPr>
          <w:rFonts w:ascii="Times New Roman;sans-serif" w:hAnsi="Times New Roman;sans-serif"/>
          <w:b w:val="false"/>
          <w:color w:val="000000"/>
          <w:sz w:val="24"/>
        </w:rPr>
        <w:t>Its:      Senior Vice President Treasury, Fleet &amp; Fuel</w: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10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64185"/>
                <wp:effectExtent l="0" t="0" r="0" b="0"/>
                <wp:wrapNone/>
                <wp:docPr id="58" name="Frame57"/>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CT1706024 – Amended and Restated A350-900 Purchase Agreement – Execution Version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15 U.S.C. 78m(a) or 78o(d)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 Scott Kirby, certify that:</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March 31, 2025 of United Airlines Holdings, Inc. (the "Company");</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16,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15 U.S.C. 78m(a) or 78o(d)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Leskinen, certify that: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March 31, 2025 of United Airlines Holdings, Inc. (the "Company");</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16,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15 U.S.C. 78m(a) or 78o(d)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 Scott Kirby, certify that: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March 31, 2025 of United Airlines, Inc. (the "Company");</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20"/>
        </w:rPr>
        <w:t xml:space="preserve">Date: April 16, 2025 </w:t>
      </w:r>
      <w:r>
        <w:rPr>
          <w:color w:val="000000"/>
        </w:rPr>
        <w:t> </w:t>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15 U.S.C. 78m(a) or 78o(d)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Leskinen, certify that: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March 31, 2025 of United Airlines, Inc. (the "Company");</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 </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16, 2025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United Airlines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undersigned officer certifies that to the best of his knowledge based on a review of the quarterly report on Form 10-Q for the quarterly period ended March 31, 2025 of United Airlines Holdings, Inc. (the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United Airlines Holdings, Inc.</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16, 2025 </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26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United Airlines,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undersigned officer certifies that to the best of his knowledge based on a review of the quarterly report on Form 10-Q for the quarterly period ended March 31, 2025 of United Airlines, Inc. (the "Report"):</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United Airlines, Inc.</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16, 2025 </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19970</Words>
  <Characters>108709</Characters>
  <CharactersWithSpaces>128032</CharactersWithSpaces>
  <Paragraphs>2860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